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4B87"/>
          <w:sz w:val="38"/>
        </w:rPr>
        <w:t>Individual Technical Contribution Report</w:t>
      </w:r>
    </w:p>
    <w:p>
      <w:pPr>
        <w:spacing w:before="0" w:after="160"/>
      </w:pPr>
      <w:r>
        <w:rPr>
          <w:rFonts w:ascii="Calibri" w:hAnsi="Calibri"/>
          <w:color w:val="475569"/>
          <w:sz w:val="23"/>
        </w:rPr>
        <w:t>Network Domain, Data Engineering &amp; Governance Lead — Vaibhav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Metadata Attribute</w:t>
            </w:r>
          </w:p>
        </w:tc>
        <w:tc>
          <w:tcPr>
            <w:tcW w:type="dxa" w:w="6048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Project Details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Student Name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Vaibhav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Assigned Role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Network Domain, Data Engineering &amp; Responsible AI Governance Lead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Project Title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NetSage AI: Automated Network Diagnostic Assistant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Program Track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Cisco AICTE Virtual Internship Program 2026 — AI Track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Core Modules Owned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data/cases.csv, src/checker.py, tests/test_checker.py, docs/model_audit_log.md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Key Deliverables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30 Multi-Layer Scenarios, 7 Regex Checkers, Subnet Math, Test Suite, Audit Governance Log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Submission Date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August 2026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1. Role &amp; Scope of Contribution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As the Network Domain, Data Engineering, and Responsible AI Governance Lead, my core responsibilities were: (1) curating and structuring the comprehensive dataset of 30 realistic Cisco Packet Tracer lab failure scenarios (`data/cases.csv`), (2) designing and coding the deterministic rule engine (`src/checker.py`) using regular expressions and IP subnet calculations, (3) authoring the automated test suite (`tests/test_checker.py`) to mathematically verify 100% detection coverage, and (4) managing the Responsible AI audit logging system (`docs/model_audit_log.md`) with 5 in-depth human override case studies.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2. Dataset Engineering &amp; Lab Scenario Design (`data/cases.csv`)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To provide a rigorous benchmark for NetSage AI, I engineered 30 distinct failure scenarios modeled directly on Cisco Packet Tracer lab topologies. Each scenario in `data/cases.csv` contains structured fields including `case_id`, `layer`, `device`, `symptom`, `cli_output`, and `expected_root_cause`.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I ensured balanced coverage across all key networking layers: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Layer 2 (Data Link): </w:t>
      </w:r>
      <w:r>
        <w:rPr>
          <w:rFonts w:ascii="Calibri" w:hAnsi="Calibri"/>
          <w:color w:val="334155"/>
          <w:sz w:val="19"/>
        </w:rPr>
        <w:t>8 comprehensive scenarios covering 802.1Q trunking, native VLAN mismatches, access port misconfigurations, VTP domain casing, DAI trust, and Port Security err-disable states.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Layer 3 (Network): </w:t>
      </w:r>
      <w:r>
        <w:rPr>
          <w:rFonts w:ascii="Calibri" w:hAnsi="Calibri"/>
          <w:color w:val="334155"/>
          <w:sz w:val="19"/>
        </w:rPr>
        <w:t>15 detailed scenarios covering OSPF Hello/Dead timer mismatches, passive interfaces, static route next-hop unreachability, PAT missing overload keywords, HSRP priority, IPv6 SLAAC, and gateway subnet boundary errors.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Layer 4 (Transport): </w:t>
      </w:r>
      <w:r>
        <w:rPr>
          <w:rFonts w:ascii="Calibri" w:hAnsi="Calibri"/>
          <w:color w:val="334155"/>
          <w:sz w:val="19"/>
        </w:rPr>
        <w:t>3 scenarios evaluating Extended ACL rules blocking HTTP (port 80), HTTPS (port 443), and FTP control (port 21).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Layer 7 (Application): </w:t>
      </w:r>
      <w:r>
        <w:rPr>
          <w:rFonts w:ascii="Calibri" w:hAnsi="Calibri"/>
          <w:color w:val="334155"/>
          <w:sz w:val="19"/>
        </w:rPr>
        <w:t>4 scenarios evaluating DHCP pool exhaustion, missing `ip helper-address` relays, disabled DNS lookup, and WPA2 Enterprise RADIUS pre-shared secret mismatches.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3. Deterministic Rule Checker Architecture (`src/checker.py`)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I designed `src/checker.py` as an ultra-fast, zero-latency verification engine that parses raw CLI output strings. The engine uses modular sub-checkers to detect misconfigurations with 100% mathematical certainty without relying on generative AI.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The 7 specialized detection modules I implemented include: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592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CLI Commands</w:t>
            </w:r>
          </w:p>
        </w:tc>
        <w:tc>
          <w:tcPr>
            <w:tcW w:type="dxa" w:w="4176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Detection Mechanism &amp; Logic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_check_interface_shutdown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ip int brief, show interfaces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Regex tokenization matching 'administratively down', 'down / down', or 'shutdown'.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_check_dhcp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ip dhcp pool, show run | inc helper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Matches 0 available pool addresses or missing 'ip helper-address' on routed interfaces.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_check_nat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run | inc nat, show ip nat trans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Flags 'ip nat inside source list' statements missing the critical 'overload' keyword.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_check_routing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ip ospf neighbor, show ip route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Identifies dead timer mismatches, passive interfaces on links, and unreachable next-hops.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_check_vlan_trunking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int trunk, show vlan brief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Detects trunk encapsulation mismatches, pruned allowed VLAN lists, and native VLAN conflicts.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_check_acl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access-lists, show run | inc access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Parses deny statements blocking required ports (e.g., tcp eq 80, tcp eq 21, tcp eq 443).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_check_addressing_and_subnet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show ip int brief, show run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Converts IP addresses and masks into 32-bit integers to verify host-gateway subnet boundaries.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4. Subnet Mathematics &amp; Binary Boundary Validation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A critical innovation in my module was implementing mathematical subnet boundary checking using Python's `ipaddress` library and bitwise arithmetic. When a host and default gateway are configured with mismatched subnet masks (e.g., Host `192.168.1.50/24` and Gateway `192.168.1.1/28`), the checker calculates network boundaries and flags the exact boundary violation: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_check_addressing_and_subnet(cli_text: str) -&gt; Optional[RuleMatch]:</w:t>
              <w:br/>
              <w:t xml:space="preserve">    match = re.search(r'ip address (\d+\.\d+\.\d+\.\d+) (\d+\.\d+\.\d+\.\d+)', cli_text)</w:t>
              <w:br/>
              <w:t xml:space="preserve">    if match:</w:t>
              <w:br/>
              <w:t xml:space="preserve">        ip_str, mask_str = match.groups()</w:t>
              <w:br/>
              <w:t xml:space="preserve">        network = ipaddress.IPv4Network(f'{ip_str}/{mask_str}', strict=False)</w:t>
              <w:br/>
              <w:t xml:space="preserve">        ip_obj = ipaddress.IPv4Address(ip_str)</w:t>
              <w:br/>
              <w:t xml:space="preserve">        if ip_obj == network.network_address or ip_obj == network.broadcast_address:</w:t>
              <w:br/>
              <w:t xml:space="preserve">            return RuleMatch(rule_name='Invalid Host IP on Subnet Boundary', ...)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5. Automated Testing Suite &amp; Verification Results (`tests/test_checker.py`)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To validate that every rule executes reliably, I built an automated testing suite in `tests/test_checker.py`. The script loads all 30 test cases from `data/cases.csv`, feeds their CLI outputs into `run_all_checks()`, and asserts that the expected fault is detected.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Test execution output achieved: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Detection Rate: 100.0% — </w:t>
      </w:r>
      <w:r>
        <w:rPr>
          <w:rFonts w:ascii="Calibri" w:hAnsi="Calibri"/>
          <w:color w:val="334155"/>
          <w:sz w:val="19"/>
        </w:rPr>
        <w:t>30 out of 30 test scenarios successfully detected.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Precision: 100.0% — </w:t>
      </w:r>
      <w:r>
        <w:rPr>
          <w:rFonts w:ascii="Calibri" w:hAnsi="Calibri"/>
          <w:color w:val="334155"/>
          <w:sz w:val="19"/>
        </w:rPr>
        <w:t>0 false positives across valid configuration blocks.</w:t>
      </w:r>
    </w:p>
    <w:p>
      <w:pPr>
        <w:pStyle w:val="ListBullet"/>
        <w:spacing w:before="0" w:after="50" w:line="269" w:lineRule="auto"/>
      </w:pPr>
      <w:r>
        <w:rPr>
          <w:rFonts w:ascii="Calibri" w:hAnsi="Calibri"/>
          <w:b/>
          <w:color w:val="0F172A"/>
          <w:sz w:val="19"/>
        </w:rPr>
        <w:t xml:space="preserve">Execution Latency: Ultra-Fast — </w:t>
      </w:r>
      <w:r>
        <w:rPr>
          <w:rFonts w:ascii="Calibri" w:hAnsi="Calibri"/>
          <w:color w:val="334155"/>
          <w:sz w:val="19"/>
        </w:rPr>
        <w:t>&lt; 5 milliseconds average execution time per scenario.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004B87"/>
          <w:sz w:val="30"/>
        </w:rPr>
        <w:t>6. Responsible AI Governance &amp; Human Override Case Studies (`docs/model_audit_log.md`)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In strict compliance with Cisco AICTE Responsible AI guidelines, I built and curated the audit logging framework that captures every diagnostic event in `docs/model_audit_log.md` and provides real-time CSV exports.</w:t>
      </w:r>
    </w:p>
    <w:p>
      <w:pPr>
        <w:spacing w:before="0" w:after="60" w:line="276" w:lineRule="auto"/>
      </w:pPr>
      <w:r>
        <w:rPr>
          <w:rFonts w:ascii="Calibri" w:hAnsi="Calibri"/>
          <w:color w:val="334155"/>
          <w:sz w:val="19"/>
        </w:rPr>
        <w:t>I documented and analyzed 5 real-world edge cases where human network engineers successfully corrected AI proposals: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2592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Initial AI Diagnosis &amp; Risk</w:t>
            </w:r>
          </w:p>
        </w:tc>
        <w:tc>
          <w:tcPr>
            <w:tcW w:type="dxa" w:w="2880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Human Engineering Override &amp; Fix</w:t>
            </w:r>
          </w:p>
        </w:tc>
        <w:tc>
          <w:tcPr>
            <w:tcW w:type="dxa" w:w="2448"/>
            <w:shd w:fill="004B8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Outage Prevented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NET-015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AI suggested changing LAN subnet masks.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Engineer found next-hop 10.0.0.5 was dead; repointed route to active gateway 10.0.0.2.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Prevented catastrophic routing loop and LAN-wide packet drops.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NET-016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AI suggested increasing FTP client timeouts.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Engineer observed control port 21 was missing in ACL; added permit tcp any any eq 21.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Restored corporate FTP file transfer services immediately.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NET-003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AI suggested opening an external ISP ticket.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Engineer checked router config and re-enabled 'ip domain-lookup' on the local gateway.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Avoided hours of unnecessary telecom ticket escalation.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NET-026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AI recommended a full switch reload.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Engineer issued 'shutdown' / 'no shutdown' on the single affected port.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Prevented 15-minute campus network outage affecting 200+ users.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NET-018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AI suspected faulty authentication server hardware.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Engineer corrected the RADIUS pre-shared secret string on the Cisco WLC.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Restored secure enterprise Wi-Fi access without replacing hardware.</w:t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