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rsidTr="008A6F96">
        <w:trPr>
          <w:trHeight w:val="1600"/>
        </w:trPr>
        <w:tc>
          <w:tcPr>
            <w:tcW w:w="3914" w:type="dxa"/>
          </w:tcPr>
          <w:p w:rsidR="0031790E" w:rsidRPr="00ED14EE" w:rsidRDefault="0004530C" w:rsidP="005A514D">
            <w:pPr>
              <w:pStyle w:val="Adressat"/>
            </w:pPr>
            <w:bookmarkStart w:id="0" w:name="Addressee"/>
            <w:bookmarkStart w:id="1" w:name="_GoBack"/>
            <w:bookmarkEnd w:id="1"/>
            <w:r>
              <w:t>Överförmyndarnämnden</w:t>
            </w:r>
            <w:bookmarkEnd w:id="0"/>
          </w:p>
        </w:tc>
      </w:tr>
    </w:tbl>
    <w:p w:rsidR="001A6211" w:rsidRPr="008A6F96" w:rsidRDefault="0004530C" w:rsidP="00ED14EE">
      <w:pPr>
        <w:pStyle w:val="Rubrik1"/>
      </w:pPr>
      <w:bookmarkStart w:id="2" w:name="Subject"/>
      <w:r>
        <w:t>Intern budget</w:t>
      </w:r>
      <w:bookmarkEnd w:id="2"/>
      <w:r w:rsidR="00A93E4A">
        <w:t xml:space="preserve"> 2015 för överförmyndarnämnden</w:t>
      </w:r>
    </w:p>
    <w:p w:rsidR="0004530C" w:rsidRDefault="0004530C" w:rsidP="00246804">
      <w:pPr>
        <w:pStyle w:val="Rubrik2"/>
      </w:pPr>
      <w:bookmarkStart w:id="3" w:name="Text"/>
      <w:bookmarkEnd w:id="3"/>
      <w:r>
        <w:t>Förslag till beslut</w:t>
      </w:r>
    </w:p>
    <w:p w:rsidR="00E85588" w:rsidRDefault="00E85588" w:rsidP="00A35062"/>
    <w:p w:rsidR="00A35062" w:rsidRDefault="00A35062" w:rsidP="00A35062">
      <w:r>
        <w:t>Överförmyndarnämnden fastställer internbudget för år 2015</w:t>
      </w:r>
      <w:r w:rsidR="00E85588">
        <w:t>.</w:t>
      </w:r>
    </w:p>
    <w:p w:rsidR="00E85588" w:rsidRDefault="00E85588" w:rsidP="00A35062"/>
    <w:p w:rsidR="00A35062" w:rsidRDefault="00A35062" w:rsidP="00A35062">
      <w:r>
        <w:t>Överförmyndarnämnden fastställer nyckeltal och målnivåer</w:t>
      </w:r>
      <w:r w:rsidR="00E85588">
        <w:t>.</w:t>
      </w:r>
    </w:p>
    <w:p w:rsidR="00E85588" w:rsidRDefault="00E85588" w:rsidP="00A35062"/>
    <w:p w:rsidR="00A35062" w:rsidRDefault="00A35062" w:rsidP="00A35062">
      <w:r>
        <w:t>Överförmyndarnämnden fastställer uppf</w:t>
      </w:r>
      <w:r w:rsidR="00E85588">
        <w:t>öljningsplan och intern kontroll.</w:t>
      </w:r>
    </w:p>
    <w:p w:rsidR="0004530C" w:rsidRPr="001742C3" w:rsidRDefault="0004530C" w:rsidP="001742C3"/>
    <w:p w:rsidR="0004530C" w:rsidRDefault="0004530C" w:rsidP="00246804">
      <w:pPr>
        <w:pStyle w:val="Rubrik2"/>
      </w:pPr>
      <w:r>
        <w:t>Sammanfattning</w:t>
      </w:r>
    </w:p>
    <w:p w:rsidR="00067C54" w:rsidRDefault="00067C54" w:rsidP="00067C54">
      <w:r>
        <w:t>Överförmyndarnämndens budget för 2015 har fastställts till 7407 tkr en ökning med 200 tkr för täcka driftskostnaderna för det nya ärendehanteringssystemet.</w:t>
      </w:r>
      <w:r w:rsidR="00EB2EA3">
        <w:t xml:space="preserve"> Nyckeltalen för uppföljning av de strategiska målen är oförändrade, med undantag för en omformulering av ett nyckeltal. Vissa justeringar av målnivåer föreslås. Internkontrollplanen är </w:t>
      </w:r>
      <w:r w:rsidR="00BC7736">
        <w:t>den samma, men undantag att en punkt byts ut. För uppföljning av gode männens kunskap och kompetens införs nu kunskapsprov för nya gode män.</w:t>
      </w:r>
    </w:p>
    <w:p w:rsidR="00067C54" w:rsidRDefault="00067C54" w:rsidP="00067C54"/>
    <w:p w:rsidR="00EB2EA3" w:rsidRDefault="00EB2EA3" w:rsidP="00EB2EA3">
      <w:pPr>
        <w:pStyle w:val="Rubrik2"/>
      </w:pPr>
      <w:r>
        <w:t>Bakgrund</w:t>
      </w:r>
    </w:p>
    <w:p w:rsidR="00662239" w:rsidRDefault="00662239" w:rsidP="001C1519">
      <w:r>
        <w:t>Kommunfullmäktige fastställ</w:t>
      </w:r>
      <w:r w:rsidR="001C1519">
        <w:t xml:space="preserve">de 2014-11-24 </w:t>
      </w:r>
      <w:r>
        <w:t xml:space="preserve"> driftsbudget och strategiska mål för överförmyndarnämnden </w:t>
      </w:r>
      <w:r w:rsidR="001C1519">
        <w:t xml:space="preserve">år </w:t>
      </w:r>
      <w:r>
        <w:t xml:space="preserve">2015 enligt </w:t>
      </w:r>
      <w:r w:rsidR="00EB2EA3">
        <w:t>kommunstyrelsens</w:t>
      </w:r>
      <w:r w:rsidR="001C1519">
        <w:t xml:space="preserve"> </w:t>
      </w:r>
      <w:r w:rsidR="00EB2EA3">
        <w:t>förslag, vilket var i linje med det som nämnden föreslagit.</w:t>
      </w:r>
    </w:p>
    <w:p w:rsidR="00EB2EA3" w:rsidRDefault="00EB2EA3" w:rsidP="001C1519"/>
    <w:p w:rsidR="00EB2EA3" w:rsidRPr="009C2C63" w:rsidRDefault="00EB2EA3" w:rsidP="00EB2EA3">
      <w:pPr>
        <w:pStyle w:val="Rubrik2"/>
      </w:pPr>
      <w:r w:rsidRPr="009C2C63">
        <w:t>Resursfördelning</w:t>
      </w:r>
    </w:p>
    <w:p w:rsidR="009C2C63" w:rsidRDefault="009C2C63" w:rsidP="009C2C63">
      <w:r>
        <w:t xml:space="preserve">Nämnden har haft en tillfällig utökning av budgetramen under 2014 med 600 tkr för att införa e-tjänster. När denna ram nu får behållas kan den utökade bemanningen för </w:t>
      </w:r>
      <w:r w:rsidR="00EB2EA3">
        <w:t xml:space="preserve">utökat utredningsansvar </w:t>
      </w:r>
      <w:r>
        <w:t>rymmas inom denna ram. Därutöver får nämnden en utökning av ramen med 200 tkr för täcka driftskostnaderna för det nya ärendehanteringssystemet.</w:t>
      </w:r>
    </w:p>
    <w:p w:rsidR="009C2C63" w:rsidRDefault="009C2C63" w:rsidP="009C2C63"/>
    <w:p w:rsidR="009C2C63" w:rsidRDefault="009C2C63" w:rsidP="00662239"/>
    <w:p w:rsidR="007C3DDB" w:rsidRDefault="007C3DDB" w:rsidP="00105FDA">
      <w:pPr>
        <w:pStyle w:val="Rubrik3"/>
      </w:pPr>
      <w:r>
        <w:lastRenderedPageBreak/>
        <w:t>R</w:t>
      </w:r>
      <w:r w:rsidRPr="00AA75E2">
        <w:t>esursfördelning</w:t>
      </w:r>
      <w:r>
        <w:t xml:space="preserve"> överförmyndarnämnden</w:t>
      </w:r>
      <w:r w:rsidRPr="00AA75E2">
        <w:t xml:space="preserve">, nettoredovisning (tkr) </w:t>
      </w:r>
    </w:p>
    <w:p w:rsidR="00BC7736" w:rsidRPr="00BC7736" w:rsidRDefault="00BC7736" w:rsidP="00BC7736"/>
    <w:tbl>
      <w:tblPr>
        <w:tblW w:w="10632" w:type="dxa"/>
        <w:tblInd w:w="-567" w:type="dxa"/>
        <w:tblLayout w:type="fixed"/>
        <w:tblCellMar>
          <w:left w:w="70" w:type="dxa"/>
          <w:right w:w="70" w:type="dxa"/>
        </w:tblCellMar>
        <w:tblLook w:val="04A0" w:firstRow="1" w:lastRow="0" w:firstColumn="1" w:lastColumn="0" w:noHBand="0" w:noVBand="1"/>
      </w:tblPr>
      <w:tblGrid>
        <w:gridCol w:w="2694"/>
        <w:gridCol w:w="992"/>
        <w:gridCol w:w="949"/>
        <w:gridCol w:w="1035"/>
        <w:gridCol w:w="664"/>
        <w:gridCol w:w="944"/>
        <w:gridCol w:w="872"/>
        <w:gridCol w:w="1009"/>
        <w:gridCol w:w="764"/>
        <w:gridCol w:w="709"/>
      </w:tblGrid>
      <w:tr w:rsidR="00542829" w:rsidRPr="0088656D" w:rsidTr="00CA4014">
        <w:trPr>
          <w:trHeight w:val="315"/>
        </w:trPr>
        <w:tc>
          <w:tcPr>
            <w:tcW w:w="2694" w:type="dxa"/>
            <w:tcBorders>
              <w:top w:val="single" w:sz="4" w:space="0" w:color="auto"/>
              <w:left w:val="nil"/>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 </w:t>
            </w:r>
          </w:p>
        </w:tc>
        <w:tc>
          <w:tcPr>
            <w:tcW w:w="992" w:type="dxa"/>
            <w:tcBorders>
              <w:top w:val="single" w:sz="4" w:space="0" w:color="auto"/>
              <w:left w:val="single" w:sz="4" w:space="0" w:color="auto"/>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 </w:t>
            </w:r>
          </w:p>
        </w:tc>
        <w:tc>
          <w:tcPr>
            <w:tcW w:w="949" w:type="dxa"/>
            <w:tcBorders>
              <w:top w:val="single" w:sz="4" w:space="0" w:color="auto"/>
              <w:left w:val="single" w:sz="4" w:space="0" w:color="auto"/>
              <w:bottom w:val="single" w:sz="4" w:space="0" w:color="auto"/>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 </w:t>
            </w:r>
          </w:p>
        </w:tc>
        <w:tc>
          <w:tcPr>
            <w:tcW w:w="1035" w:type="dxa"/>
            <w:tcBorders>
              <w:top w:val="single" w:sz="4" w:space="0" w:color="auto"/>
              <w:left w:val="nil"/>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Prognos</w:t>
            </w:r>
          </w:p>
        </w:tc>
        <w:tc>
          <w:tcPr>
            <w:tcW w:w="2480" w:type="dxa"/>
            <w:gridSpan w:val="3"/>
            <w:tcBorders>
              <w:top w:val="single" w:sz="4" w:space="0" w:color="auto"/>
              <w:left w:val="single" w:sz="4" w:space="0" w:color="auto"/>
              <w:bottom w:val="nil"/>
              <w:right w:val="single" w:sz="4" w:space="0" w:color="000000"/>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Förändring</w:t>
            </w:r>
          </w:p>
        </w:tc>
        <w:tc>
          <w:tcPr>
            <w:tcW w:w="1009" w:type="dxa"/>
            <w:tcBorders>
              <w:top w:val="single" w:sz="4" w:space="0" w:color="auto"/>
              <w:left w:val="nil"/>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 </w:t>
            </w:r>
          </w:p>
        </w:tc>
        <w:tc>
          <w:tcPr>
            <w:tcW w:w="1473" w:type="dxa"/>
            <w:gridSpan w:val="2"/>
            <w:tcBorders>
              <w:top w:val="single" w:sz="4" w:space="0" w:color="auto"/>
              <w:left w:val="single" w:sz="4" w:space="0" w:color="auto"/>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Skillnad budget 14 och ram 15</w:t>
            </w:r>
          </w:p>
        </w:tc>
      </w:tr>
      <w:tr w:rsidR="00542829" w:rsidRPr="0088656D" w:rsidTr="00CA4014">
        <w:trPr>
          <w:trHeight w:val="315"/>
        </w:trPr>
        <w:tc>
          <w:tcPr>
            <w:tcW w:w="2694" w:type="dxa"/>
            <w:tcBorders>
              <w:top w:val="nil"/>
              <w:left w:val="single" w:sz="4" w:space="0" w:color="auto"/>
              <w:bottom w:val="nil"/>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 </w:t>
            </w:r>
          </w:p>
        </w:tc>
        <w:tc>
          <w:tcPr>
            <w:tcW w:w="992" w:type="dxa"/>
            <w:tcBorders>
              <w:top w:val="single" w:sz="4" w:space="0" w:color="auto"/>
              <w:left w:val="single" w:sz="4" w:space="0" w:color="auto"/>
              <w:bottom w:val="nil"/>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Bokslut</w:t>
            </w:r>
          </w:p>
        </w:tc>
        <w:tc>
          <w:tcPr>
            <w:tcW w:w="949" w:type="dxa"/>
            <w:tcBorders>
              <w:top w:val="single" w:sz="4" w:space="0" w:color="auto"/>
              <w:left w:val="single" w:sz="4" w:space="0" w:color="auto"/>
              <w:bottom w:val="nil"/>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Budget</w:t>
            </w:r>
          </w:p>
        </w:tc>
        <w:tc>
          <w:tcPr>
            <w:tcW w:w="1035" w:type="dxa"/>
            <w:tcBorders>
              <w:top w:val="single" w:sz="4" w:space="0" w:color="auto"/>
              <w:left w:val="nil"/>
              <w:bottom w:val="nil"/>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2014</w:t>
            </w:r>
          </w:p>
        </w:tc>
        <w:tc>
          <w:tcPr>
            <w:tcW w:w="664" w:type="dxa"/>
            <w:tcBorders>
              <w:top w:val="single" w:sz="4" w:space="0" w:color="auto"/>
              <w:left w:val="single" w:sz="4" w:space="0" w:color="auto"/>
              <w:bottom w:val="nil"/>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Ram-</w:t>
            </w:r>
          </w:p>
        </w:tc>
        <w:tc>
          <w:tcPr>
            <w:tcW w:w="944" w:type="dxa"/>
            <w:tcBorders>
              <w:top w:val="single" w:sz="4" w:space="0" w:color="auto"/>
              <w:left w:val="nil"/>
              <w:bottom w:val="nil"/>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Nämnd-</w:t>
            </w:r>
          </w:p>
        </w:tc>
        <w:tc>
          <w:tcPr>
            <w:tcW w:w="872" w:type="dxa"/>
            <w:tcBorders>
              <w:top w:val="single" w:sz="4" w:space="0" w:color="auto"/>
              <w:left w:val="nil"/>
              <w:bottom w:val="nil"/>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Majoritets-</w:t>
            </w:r>
          </w:p>
        </w:tc>
        <w:tc>
          <w:tcPr>
            <w:tcW w:w="1009" w:type="dxa"/>
            <w:tcBorders>
              <w:top w:val="single" w:sz="4" w:space="0" w:color="auto"/>
              <w:left w:val="nil"/>
              <w:bottom w:val="nil"/>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Ram</w:t>
            </w:r>
          </w:p>
        </w:tc>
        <w:tc>
          <w:tcPr>
            <w:tcW w:w="1473" w:type="dxa"/>
            <w:gridSpan w:val="2"/>
            <w:tcBorders>
              <w:top w:val="single" w:sz="4" w:space="0" w:color="auto"/>
              <w:left w:val="single" w:sz="4" w:space="0" w:color="auto"/>
              <w:bottom w:val="nil"/>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p>
        </w:tc>
      </w:tr>
      <w:tr w:rsidR="00542829" w:rsidRPr="0088656D" w:rsidTr="00CA4014">
        <w:trPr>
          <w:trHeight w:val="315"/>
        </w:trPr>
        <w:tc>
          <w:tcPr>
            <w:tcW w:w="2694" w:type="dxa"/>
            <w:tcBorders>
              <w:top w:val="nil"/>
              <w:left w:val="single" w:sz="4" w:space="0" w:color="auto"/>
              <w:bottom w:val="single" w:sz="4" w:space="0" w:color="auto"/>
              <w:right w:val="single" w:sz="4" w:space="0" w:color="auto"/>
            </w:tcBorders>
            <w:shd w:val="clear" w:color="000000" w:fill="C0504D"/>
            <w:noWrap/>
            <w:vAlign w:val="bottom"/>
            <w:hideMark/>
          </w:tcPr>
          <w:p w:rsidR="00542829" w:rsidRPr="00067C54" w:rsidRDefault="00542829" w:rsidP="003B6457">
            <w:pPr>
              <w:spacing w:line="240" w:lineRule="auto"/>
              <w:rPr>
                <w:rFonts w:ascii="Gill Sans MT" w:hAnsi="Gill Sans MT"/>
                <w:b/>
                <w:bCs/>
                <w:color w:val="FFFFFF"/>
                <w:sz w:val="22"/>
                <w:szCs w:val="22"/>
              </w:rPr>
            </w:pPr>
            <w:r w:rsidRPr="00067C54">
              <w:rPr>
                <w:rFonts w:ascii="Gill Sans MT" w:hAnsi="Gill Sans MT"/>
                <w:b/>
                <w:bCs/>
                <w:color w:val="FFFFFF"/>
                <w:sz w:val="22"/>
                <w:szCs w:val="22"/>
              </w:rPr>
              <w:t>Verksamhet</w:t>
            </w:r>
          </w:p>
        </w:tc>
        <w:tc>
          <w:tcPr>
            <w:tcW w:w="992" w:type="dxa"/>
            <w:tcBorders>
              <w:top w:val="nil"/>
              <w:left w:val="single" w:sz="4" w:space="0" w:color="auto"/>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2013</w:t>
            </w:r>
          </w:p>
        </w:tc>
        <w:tc>
          <w:tcPr>
            <w:tcW w:w="949" w:type="dxa"/>
            <w:tcBorders>
              <w:top w:val="nil"/>
              <w:left w:val="single" w:sz="4" w:space="0" w:color="auto"/>
              <w:bottom w:val="single" w:sz="4" w:space="0" w:color="auto"/>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2014</w:t>
            </w:r>
          </w:p>
        </w:tc>
        <w:tc>
          <w:tcPr>
            <w:tcW w:w="1035" w:type="dxa"/>
            <w:tcBorders>
              <w:top w:val="nil"/>
              <w:left w:val="nil"/>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tertial 2</w:t>
            </w:r>
          </w:p>
        </w:tc>
        <w:tc>
          <w:tcPr>
            <w:tcW w:w="664" w:type="dxa"/>
            <w:tcBorders>
              <w:top w:val="nil"/>
              <w:left w:val="single" w:sz="4" w:space="0" w:color="auto"/>
              <w:bottom w:val="single" w:sz="4" w:space="0" w:color="auto"/>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ärende</w:t>
            </w:r>
          </w:p>
        </w:tc>
        <w:tc>
          <w:tcPr>
            <w:tcW w:w="944" w:type="dxa"/>
            <w:tcBorders>
              <w:top w:val="nil"/>
              <w:left w:val="nil"/>
              <w:bottom w:val="single" w:sz="4" w:space="0" w:color="auto"/>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yttrande</w:t>
            </w:r>
          </w:p>
        </w:tc>
        <w:tc>
          <w:tcPr>
            <w:tcW w:w="872" w:type="dxa"/>
            <w:tcBorders>
              <w:top w:val="nil"/>
              <w:left w:val="nil"/>
              <w:bottom w:val="single" w:sz="4" w:space="0" w:color="auto"/>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förslag</w:t>
            </w:r>
          </w:p>
        </w:tc>
        <w:tc>
          <w:tcPr>
            <w:tcW w:w="1009" w:type="dxa"/>
            <w:tcBorders>
              <w:top w:val="nil"/>
              <w:left w:val="nil"/>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2015</w:t>
            </w:r>
          </w:p>
        </w:tc>
        <w:tc>
          <w:tcPr>
            <w:tcW w:w="764" w:type="dxa"/>
            <w:tcBorders>
              <w:top w:val="nil"/>
              <w:left w:val="single" w:sz="4" w:space="0" w:color="auto"/>
              <w:bottom w:val="single" w:sz="4" w:space="0" w:color="auto"/>
              <w:right w:val="nil"/>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tkr</w:t>
            </w:r>
          </w:p>
        </w:tc>
        <w:tc>
          <w:tcPr>
            <w:tcW w:w="709" w:type="dxa"/>
            <w:tcBorders>
              <w:top w:val="nil"/>
              <w:left w:val="single" w:sz="4" w:space="0" w:color="auto"/>
              <w:bottom w:val="single" w:sz="4" w:space="0" w:color="auto"/>
              <w:right w:val="single" w:sz="4" w:space="0" w:color="auto"/>
            </w:tcBorders>
            <w:shd w:val="clear" w:color="000000" w:fill="C0504D"/>
            <w:noWrap/>
            <w:vAlign w:val="bottom"/>
            <w:hideMark/>
          </w:tcPr>
          <w:p w:rsidR="00542829" w:rsidRPr="00067C54" w:rsidRDefault="00542829" w:rsidP="003B6457">
            <w:pPr>
              <w:spacing w:line="240" w:lineRule="auto"/>
              <w:jc w:val="center"/>
              <w:rPr>
                <w:rFonts w:ascii="Gill Sans MT" w:hAnsi="Gill Sans MT"/>
                <w:b/>
                <w:bCs/>
                <w:color w:val="FFFFFF"/>
                <w:sz w:val="22"/>
                <w:szCs w:val="22"/>
              </w:rPr>
            </w:pPr>
            <w:r w:rsidRPr="00067C54">
              <w:rPr>
                <w:rFonts w:ascii="Gill Sans MT" w:hAnsi="Gill Sans MT"/>
                <w:b/>
                <w:bCs/>
                <w:color w:val="FFFFFF"/>
                <w:sz w:val="22"/>
                <w:szCs w:val="22"/>
              </w:rPr>
              <w:t>procent</w:t>
            </w:r>
          </w:p>
        </w:tc>
      </w:tr>
      <w:tr w:rsidR="00542829" w:rsidRPr="005627B5" w:rsidTr="00CA4014">
        <w:trPr>
          <w:trHeight w:val="315"/>
        </w:trPr>
        <w:tc>
          <w:tcPr>
            <w:tcW w:w="2694"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rPr>
                <w:rFonts w:ascii="Gill Sans MT" w:hAnsi="Gill Sans MT"/>
                <w:color w:val="000000"/>
                <w:sz w:val="22"/>
                <w:szCs w:val="22"/>
              </w:rPr>
            </w:pPr>
            <w:r w:rsidRPr="00067C54">
              <w:rPr>
                <w:rFonts w:ascii="Gill Sans MT" w:hAnsi="Gill Sans MT"/>
                <w:color w:val="000000"/>
                <w:sz w:val="22"/>
                <w:szCs w:val="22"/>
              </w:rPr>
              <w:t>Överförmyndarverksamhet</w:t>
            </w:r>
          </w:p>
        </w:tc>
        <w:tc>
          <w:tcPr>
            <w:tcW w:w="992" w:type="dxa"/>
            <w:tcBorders>
              <w:top w:val="nil"/>
              <w:left w:val="single" w:sz="4" w:space="0" w:color="auto"/>
              <w:bottom w:val="nil"/>
              <w:right w:val="nil"/>
            </w:tcBorders>
            <w:shd w:val="clear" w:color="auto" w:fill="auto"/>
            <w:noWrap/>
            <w:vAlign w:val="bottom"/>
            <w:hideMark/>
          </w:tcPr>
          <w:p w:rsidR="00542829" w:rsidRPr="00067C54" w:rsidRDefault="00542829" w:rsidP="003B6457">
            <w:pPr>
              <w:spacing w:line="240" w:lineRule="auto"/>
              <w:jc w:val="right"/>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2 269</w:t>
            </w:r>
          </w:p>
        </w:tc>
        <w:tc>
          <w:tcPr>
            <w:tcW w:w="949"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jc w:val="right"/>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2 854</w:t>
            </w:r>
          </w:p>
        </w:tc>
        <w:tc>
          <w:tcPr>
            <w:tcW w:w="1035" w:type="dxa"/>
            <w:tcBorders>
              <w:top w:val="nil"/>
              <w:left w:val="nil"/>
              <w:bottom w:val="nil"/>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2 854</w:t>
            </w:r>
          </w:p>
        </w:tc>
        <w:tc>
          <w:tcPr>
            <w:tcW w:w="664"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r w:rsidRPr="00067C54">
              <w:rPr>
                <w:rFonts w:ascii="Gill Sans MT" w:hAnsi="Gill Sans MT"/>
                <w:color w:val="000000"/>
                <w:sz w:val="22"/>
                <w:szCs w:val="22"/>
              </w:rPr>
              <w:t> 0</w:t>
            </w:r>
          </w:p>
        </w:tc>
        <w:tc>
          <w:tcPr>
            <w:tcW w:w="944" w:type="dxa"/>
            <w:tcBorders>
              <w:top w:val="nil"/>
              <w:left w:val="nil"/>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200 </w:t>
            </w:r>
          </w:p>
        </w:tc>
        <w:tc>
          <w:tcPr>
            <w:tcW w:w="872" w:type="dxa"/>
            <w:tcBorders>
              <w:top w:val="nil"/>
              <w:left w:val="nil"/>
              <w:bottom w:val="nil"/>
              <w:right w:val="single" w:sz="4" w:space="0" w:color="auto"/>
            </w:tcBorders>
            <w:shd w:val="clear" w:color="auto" w:fill="auto"/>
            <w:noWrap/>
            <w:vAlign w:val="bottom"/>
            <w:hideMark/>
          </w:tcPr>
          <w:p w:rsidR="00542829" w:rsidRPr="00067C54" w:rsidRDefault="00CA4014" w:rsidP="003B6457">
            <w:pPr>
              <w:spacing w:line="240" w:lineRule="auto"/>
              <w:jc w:val="center"/>
              <w:rPr>
                <w:rFonts w:ascii="Gill Sans MT" w:hAnsi="Gill Sans MT"/>
                <w:color w:val="000000"/>
                <w:sz w:val="22"/>
                <w:szCs w:val="22"/>
              </w:rPr>
            </w:pPr>
            <w:r>
              <w:rPr>
                <w:rFonts w:ascii="Gill Sans MT" w:hAnsi="Gill Sans MT"/>
                <w:color w:val="000000"/>
                <w:sz w:val="22"/>
                <w:szCs w:val="22"/>
              </w:rPr>
              <w:t>0</w:t>
            </w:r>
            <w:r w:rsidR="00542829" w:rsidRPr="00067C54">
              <w:rPr>
                <w:rFonts w:ascii="Gill Sans MT" w:hAnsi="Gill Sans MT"/>
                <w:color w:val="000000"/>
                <w:sz w:val="22"/>
                <w:szCs w:val="22"/>
              </w:rPr>
              <w:t> </w:t>
            </w:r>
          </w:p>
        </w:tc>
        <w:tc>
          <w:tcPr>
            <w:tcW w:w="1009" w:type="dxa"/>
            <w:tcBorders>
              <w:top w:val="nil"/>
              <w:left w:val="nil"/>
              <w:bottom w:val="nil"/>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3 054</w:t>
            </w:r>
          </w:p>
        </w:tc>
        <w:tc>
          <w:tcPr>
            <w:tcW w:w="764"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200</w:t>
            </w:r>
          </w:p>
        </w:tc>
        <w:tc>
          <w:tcPr>
            <w:tcW w:w="709" w:type="dxa"/>
            <w:tcBorders>
              <w:top w:val="nil"/>
              <w:left w:val="nil"/>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r w:rsidRPr="00067C54">
              <w:rPr>
                <w:rFonts w:ascii="Gill Sans MT" w:hAnsi="Gill Sans MT"/>
                <w:color w:val="000000"/>
                <w:sz w:val="22"/>
                <w:szCs w:val="22"/>
              </w:rPr>
              <w:t>7</w:t>
            </w:r>
          </w:p>
        </w:tc>
      </w:tr>
      <w:tr w:rsidR="00542829" w:rsidRPr="005627B5" w:rsidTr="00CA4014">
        <w:trPr>
          <w:trHeight w:val="315"/>
        </w:trPr>
        <w:tc>
          <w:tcPr>
            <w:tcW w:w="2694"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rPr>
                <w:rFonts w:ascii="Gill Sans MT" w:hAnsi="Gill Sans MT"/>
                <w:color w:val="000000"/>
                <w:sz w:val="22"/>
                <w:szCs w:val="22"/>
              </w:rPr>
            </w:pPr>
            <w:r w:rsidRPr="00067C54">
              <w:rPr>
                <w:rFonts w:ascii="Gill Sans MT" w:hAnsi="Gill Sans MT"/>
                <w:color w:val="000000"/>
                <w:sz w:val="22"/>
                <w:szCs w:val="22"/>
              </w:rPr>
              <w:t>Nämnd &amp; nämndstöd</w:t>
            </w:r>
          </w:p>
        </w:tc>
        <w:tc>
          <w:tcPr>
            <w:tcW w:w="992" w:type="dxa"/>
            <w:tcBorders>
              <w:top w:val="nil"/>
              <w:left w:val="single" w:sz="4" w:space="0" w:color="auto"/>
              <w:bottom w:val="nil"/>
              <w:right w:val="nil"/>
            </w:tcBorders>
            <w:shd w:val="clear" w:color="auto" w:fill="auto"/>
            <w:noWrap/>
            <w:vAlign w:val="bottom"/>
            <w:hideMark/>
          </w:tcPr>
          <w:p w:rsidR="00542829" w:rsidRPr="00067C54" w:rsidRDefault="00542829" w:rsidP="003B6457">
            <w:pPr>
              <w:spacing w:line="240" w:lineRule="auto"/>
              <w:jc w:val="right"/>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189</w:t>
            </w:r>
          </w:p>
        </w:tc>
        <w:tc>
          <w:tcPr>
            <w:tcW w:w="949"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jc w:val="right"/>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170</w:t>
            </w:r>
          </w:p>
        </w:tc>
        <w:tc>
          <w:tcPr>
            <w:tcW w:w="1035" w:type="dxa"/>
            <w:tcBorders>
              <w:top w:val="nil"/>
              <w:left w:val="nil"/>
              <w:bottom w:val="nil"/>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170</w:t>
            </w:r>
          </w:p>
        </w:tc>
        <w:tc>
          <w:tcPr>
            <w:tcW w:w="664"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r w:rsidRPr="00067C54">
              <w:rPr>
                <w:rFonts w:ascii="Gill Sans MT" w:hAnsi="Gill Sans MT"/>
                <w:color w:val="000000"/>
                <w:sz w:val="22"/>
                <w:szCs w:val="22"/>
              </w:rPr>
              <w:t> 0</w:t>
            </w:r>
          </w:p>
        </w:tc>
        <w:tc>
          <w:tcPr>
            <w:tcW w:w="944" w:type="dxa"/>
            <w:tcBorders>
              <w:top w:val="nil"/>
              <w:left w:val="nil"/>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r w:rsidRPr="00067C54">
              <w:rPr>
                <w:rFonts w:ascii="Gill Sans MT" w:hAnsi="Gill Sans MT"/>
                <w:color w:val="000000"/>
                <w:sz w:val="22"/>
                <w:szCs w:val="22"/>
              </w:rPr>
              <w:t> </w:t>
            </w:r>
            <w:r w:rsidR="00CA4014">
              <w:rPr>
                <w:rFonts w:ascii="Gill Sans MT" w:hAnsi="Gill Sans MT"/>
                <w:color w:val="000000"/>
                <w:sz w:val="22"/>
                <w:szCs w:val="22"/>
              </w:rPr>
              <w:t>0</w:t>
            </w:r>
          </w:p>
        </w:tc>
        <w:tc>
          <w:tcPr>
            <w:tcW w:w="872" w:type="dxa"/>
            <w:tcBorders>
              <w:top w:val="nil"/>
              <w:left w:val="nil"/>
              <w:bottom w:val="nil"/>
              <w:right w:val="single" w:sz="4" w:space="0" w:color="auto"/>
            </w:tcBorders>
            <w:shd w:val="clear" w:color="auto" w:fill="auto"/>
            <w:noWrap/>
            <w:vAlign w:val="bottom"/>
            <w:hideMark/>
          </w:tcPr>
          <w:p w:rsidR="00542829" w:rsidRPr="00067C54" w:rsidRDefault="00CA4014" w:rsidP="003B6457">
            <w:pPr>
              <w:spacing w:line="240" w:lineRule="auto"/>
              <w:jc w:val="center"/>
              <w:rPr>
                <w:rFonts w:ascii="Gill Sans MT" w:hAnsi="Gill Sans MT"/>
                <w:color w:val="000000"/>
                <w:sz w:val="22"/>
                <w:szCs w:val="22"/>
              </w:rPr>
            </w:pPr>
            <w:r>
              <w:rPr>
                <w:rFonts w:ascii="Gill Sans MT" w:hAnsi="Gill Sans MT"/>
                <w:color w:val="000000"/>
                <w:sz w:val="22"/>
                <w:szCs w:val="22"/>
              </w:rPr>
              <w:t>0</w:t>
            </w:r>
            <w:r w:rsidR="00542829" w:rsidRPr="00067C54">
              <w:rPr>
                <w:rFonts w:ascii="Gill Sans MT" w:hAnsi="Gill Sans MT"/>
                <w:color w:val="000000"/>
                <w:sz w:val="22"/>
                <w:szCs w:val="22"/>
              </w:rPr>
              <w:t> </w:t>
            </w:r>
          </w:p>
        </w:tc>
        <w:tc>
          <w:tcPr>
            <w:tcW w:w="1009" w:type="dxa"/>
            <w:tcBorders>
              <w:top w:val="nil"/>
              <w:left w:val="nil"/>
              <w:bottom w:val="nil"/>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 xml:space="preserve"> 170</w:t>
            </w:r>
          </w:p>
        </w:tc>
        <w:tc>
          <w:tcPr>
            <w:tcW w:w="764" w:type="dxa"/>
            <w:tcBorders>
              <w:top w:val="nil"/>
              <w:left w:val="single" w:sz="4" w:space="0" w:color="auto"/>
              <w:bottom w:val="nil"/>
              <w:right w:val="single" w:sz="4" w:space="0" w:color="auto"/>
            </w:tcBorders>
            <w:shd w:val="clear" w:color="auto" w:fill="auto"/>
            <w:noWrap/>
            <w:vAlign w:val="bottom"/>
            <w:hideMark/>
          </w:tcPr>
          <w:p w:rsidR="00542829" w:rsidRPr="00067C54" w:rsidRDefault="00CA4014" w:rsidP="003B6457">
            <w:pPr>
              <w:spacing w:line="240" w:lineRule="auto"/>
              <w:jc w:val="center"/>
              <w:rPr>
                <w:rFonts w:ascii="Gill Sans MT" w:hAnsi="Gill Sans MT"/>
                <w:color w:val="000000"/>
                <w:sz w:val="22"/>
                <w:szCs w:val="22"/>
              </w:rPr>
            </w:pPr>
            <w:r>
              <w:rPr>
                <w:rFonts w:ascii="Gill Sans MT" w:hAnsi="Gill Sans MT"/>
                <w:color w:val="000000"/>
                <w:sz w:val="22"/>
                <w:szCs w:val="22"/>
              </w:rPr>
              <w:t>0</w:t>
            </w:r>
          </w:p>
        </w:tc>
        <w:tc>
          <w:tcPr>
            <w:tcW w:w="709" w:type="dxa"/>
            <w:tcBorders>
              <w:top w:val="nil"/>
              <w:left w:val="nil"/>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
        </w:tc>
      </w:tr>
      <w:tr w:rsidR="00542829" w:rsidRPr="005627B5" w:rsidTr="00CA4014">
        <w:trPr>
          <w:trHeight w:val="315"/>
        </w:trPr>
        <w:tc>
          <w:tcPr>
            <w:tcW w:w="2694"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rPr>
                <w:rFonts w:ascii="Gill Sans MT" w:hAnsi="Gill Sans MT"/>
                <w:color w:val="000000"/>
                <w:sz w:val="22"/>
                <w:szCs w:val="22"/>
              </w:rPr>
            </w:pPr>
            <w:r w:rsidRPr="00067C54">
              <w:rPr>
                <w:rFonts w:ascii="Gill Sans MT" w:hAnsi="Gill Sans MT"/>
                <w:color w:val="000000"/>
                <w:sz w:val="22"/>
                <w:szCs w:val="22"/>
              </w:rPr>
              <w:t>Myndighet &amp; huvudmanna</w:t>
            </w:r>
            <w:r w:rsidR="00CA4014">
              <w:rPr>
                <w:rFonts w:ascii="Gill Sans MT" w:hAnsi="Gill Sans MT"/>
                <w:color w:val="000000"/>
                <w:sz w:val="22"/>
                <w:szCs w:val="22"/>
              </w:rPr>
              <w:t>uppgift</w:t>
            </w:r>
          </w:p>
        </w:tc>
        <w:tc>
          <w:tcPr>
            <w:tcW w:w="992" w:type="dxa"/>
            <w:tcBorders>
              <w:top w:val="nil"/>
              <w:left w:val="single" w:sz="4" w:space="0" w:color="auto"/>
              <w:bottom w:val="nil"/>
              <w:right w:val="nil"/>
            </w:tcBorders>
            <w:shd w:val="clear" w:color="auto" w:fill="auto"/>
            <w:noWrap/>
            <w:vAlign w:val="bottom"/>
            <w:hideMark/>
          </w:tcPr>
          <w:p w:rsidR="00542829" w:rsidRPr="00067C54" w:rsidRDefault="00542829" w:rsidP="003B6457">
            <w:pPr>
              <w:spacing w:line="240" w:lineRule="auto"/>
              <w:jc w:val="right"/>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3 592</w:t>
            </w:r>
          </w:p>
        </w:tc>
        <w:tc>
          <w:tcPr>
            <w:tcW w:w="949"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jc w:val="right"/>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4 183</w:t>
            </w:r>
          </w:p>
        </w:tc>
        <w:tc>
          <w:tcPr>
            <w:tcW w:w="1035" w:type="dxa"/>
            <w:tcBorders>
              <w:top w:val="nil"/>
              <w:left w:val="nil"/>
              <w:bottom w:val="nil"/>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4183</w:t>
            </w:r>
          </w:p>
        </w:tc>
        <w:tc>
          <w:tcPr>
            <w:tcW w:w="664" w:type="dxa"/>
            <w:tcBorders>
              <w:top w:val="nil"/>
              <w:left w:val="single" w:sz="4" w:space="0" w:color="auto"/>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r w:rsidRPr="00067C54">
              <w:rPr>
                <w:rFonts w:ascii="Gill Sans MT" w:hAnsi="Gill Sans MT"/>
                <w:color w:val="000000"/>
                <w:sz w:val="22"/>
                <w:szCs w:val="22"/>
              </w:rPr>
              <w:t>0 </w:t>
            </w:r>
          </w:p>
        </w:tc>
        <w:tc>
          <w:tcPr>
            <w:tcW w:w="944" w:type="dxa"/>
            <w:tcBorders>
              <w:top w:val="nil"/>
              <w:left w:val="nil"/>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r w:rsidRPr="00067C54">
              <w:rPr>
                <w:rFonts w:ascii="Gill Sans MT" w:hAnsi="Gill Sans MT"/>
                <w:color w:val="000000"/>
                <w:sz w:val="22"/>
                <w:szCs w:val="22"/>
              </w:rPr>
              <w:t> </w:t>
            </w:r>
            <w:r w:rsidR="00CA4014">
              <w:rPr>
                <w:rFonts w:ascii="Gill Sans MT" w:hAnsi="Gill Sans MT"/>
                <w:color w:val="000000"/>
                <w:sz w:val="22"/>
                <w:szCs w:val="22"/>
              </w:rPr>
              <w:t>0</w:t>
            </w:r>
          </w:p>
        </w:tc>
        <w:tc>
          <w:tcPr>
            <w:tcW w:w="872" w:type="dxa"/>
            <w:tcBorders>
              <w:top w:val="nil"/>
              <w:left w:val="nil"/>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r w:rsidRPr="00067C54">
              <w:rPr>
                <w:rFonts w:ascii="Gill Sans MT" w:hAnsi="Gill Sans MT"/>
                <w:color w:val="000000"/>
                <w:sz w:val="22"/>
                <w:szCs w:val="22"/>
              </w:rPr>
              <w:t> </w:t>
            </w:r>
            <w:r w:rsidR="00CA4014">
              <w:rPr>
                <w:rFonts w:ascii="Gill Sans MT" w:hAnsi="Gill Sans MT"/>
                <w:color w:val="000000"/>
                <w:sz w:val="22"/>
                <w:szCs w:val="22"/>
              </w:rPr>
              <w:t>0</w:t>
            </w:r>
          </w:p>
        </w:tc>
        <w:tc>
          <w:tcPr>
            <w:tcW w:w="1009" w:type="dxa"/>
            <w:tcBorders>
              <w:top w:val="nil"/>
              <w:left w:val="nil"/>
              <w:bottom w:val="nil"/>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roofErr w:type="gramStart"/>
            <w:r w:rsidRPr="00067C54">
              <w:rPr>
                <w:rFonts w:ascii="Gill Sans MT" w:hAnsi="Gill Sans MT"/>
                <w:color w:val="000000"/>
                <w:sz w:val="22"/>
                <w:szCs w:val="22"/>
              </w:rPr>
              <w:t>-</w:t>
            </w:r>
            <w:proofErr w:type="gramEnd"/>
            <w:r w:rsidRPr="00067C54">
              <w:rPr>
                <w:rFonts w:ascii="Gill Sans MT" w:hAnsi="Gill Sans MT"/>
                <w:color w:val="000000"/>
                <w:sz w:val="22"/>
                <w:szCs w:val="22"/>
              </w:rPr>
              <w:t>4 183</w:t>
            </w:r>
          </w:p>
        </w:tc>
        <w:tc>
          <w:tcPr>
            <w:tcW w:w="764" w:type="dxa"/>
            <w:tcBorders>
              <w:top w:val="nil"/>
              <w:left w:val="single" w:sz="4" w:space="0" w:color="auto"/>
              <w:bottom w:val="nil"/>
              <w:right w:val="single" w:sz="4" w:space="0" w:color="auto"/>
            </w:tcBorders>
            <w:shd w:val="clear" w:color="auto" w:fill="auto"/>
            <w:noWrap/>
            <w:vAlign w:val="bottom"/>
            <w:hideMark/>
          </w:tcPr>
          <w:p w:rsidR="00542829" w:rsidRPr="00067C54" w:rsidRDefault="00CA4014" w:rsidP="003B6457">
            <w:pPr>
              <w:spacing w:line="240" w:lineRule="auto"/>
              <w:jc w:val="center"/>
              <w:rPr>
                <w:rFonts w:ascii="Gill Sans MT" w:hAnsi="Gill Sans MT"/>
                <w:color w:val="000000"/>
                <w:sz w:val="22"/>
                <w:szCs w:val="22"/>
              </w:rPr>
            </w:pPr>
            <w:r>
              <w:rPr>
                <w:rFonts w:ascii="Gill Sans MT" w:hAnsi="Gill Sans MT"/>
                <w:color w:val="000000"/>
                <w:sz w:val="22"/>
                <w:szCs w:val="22"/>
              </w:rPr>
              <w:t>0</w:t>
            </w:r>
          </w:p>
        </w:tc>
        <w:tc>
          <w:tcPr>
            <w:tcW w:w="709" w:type="dxa"/>
            <w:tcBorders>
              <w:top w:val="nil"/>
              <w:left w:val="nil"/>
              <w:bottom w:val="nil"/>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color w:val="000000"/>
                <w:sz w:val="22"/>
                <w:szCs w:val="22"/>
              </w:rPr>
            </w:pPr>
          </w:p>
        </w:tc>
      </w:tr>
      <w:tr w:rsidR="00542829" w:rsidRPr="004311F3" w:rsidTr="00CA4014">
        <w:trPr>
          <w:trHeight w:val="315"/>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829" w:rsidRPr="00067C54" w:rsidRDefault="00542829" w:rsidP="003B6457">
            <w:pPr>
              <w:spacing w:line="240" w:lineRule="auto"/>
              <w:rPr>
                <w:rFonts w:ascii="Gill Sans MT" w:hAnsi="Gill Sans MT"/>
                <w:b/>
                <w:bCs/>
                <w:color w:val="000000"/>
                <w:sz w:val="22"/>
                <w:szCs w:val="22"/>
              </w:rPr>
            </w:pPr>
            <w:r w:rsidRPr="00067C54">
              <w:rPr>
                <w:rFonts w:ascii="Gill Sans MT" w:hAnsi="Gill Sans MT"/>
                <w:b/>
                <w:bCs/>
                <w:color w:val="000000"/>
                <w:sz w:val="22"/>
                <w:szCs w:val="22"/>
              </w:rPr>
              <w:t>Summa</w:t>
            </w:r>
          </w:p>
        </w:tc>
        <w:tc>
          <w:tcPr>
            <w:tcW w:w="992" w:type="dxa"/>
            <w:tcBorders>
              <w:top w:val="single" w:sz="4" w:space="0" w:color="auto"/>
              <w:left w:val="single" w:sz="4" w:space="0" w:color="auto"/>
              <w:bottom w:val="single" w:sz="4" w:space="0" w:color="auto"/>
              <w:right w:val="nil"/>
            </w:tcBorders>
            <w:shd w:val="clear" w:color="auto" w:fill="auto"/>
            <w:noWrap/>
            <w:vAlign w:val="bottom"/>
            <w:hideMark/>
          </w:tcPr>
          <w:p w:rsidR="00542829" w:rsidRPr="00067C54" w:rsidRDefault="00542829" w:rsidP="003B6457">
            <w:pPr>
              <w:spacing w:line="240" w:lineRule="auto"/>
              <w:jc w:val="right"/>
              <w:rPr>
                <w:rFonts w:ascii="Gill Sans MT" w:hAnsi="Gill Sans MT"/>
                <w:b/>
                <w:bCs/>
                <w:color w:val="000000"/>
                <w:sz w:val="22"/>
                <w:szCs w:val="22"/>
              </w:rPr>
            </w:pPr>
            <w:proofErr w:type="gramStart"/>
            <w:r w:rsidRPr="00067C54">
              <w:rPr>
                <w:rFonts w:ascii="Gill Sans MT" w:hAnsi="Gill Sans MT"/>
                <w:b/>
                <w:bCs/>
                <w:color w:val="000000"/>
                <w:sz w:val="22"/>
                <w:szCs w:val="22"/>
              </w:rPr>
              <w:t>-</w:t>
            </w:r>
            <w:proofErr w:type="gramEnd"/>
            <w:r w:rsidRPr="00067C54">
              <w:rPr>
                <w:rFonts w:ascii="Gill Sans MT" w:hAnsi="Gill Sans MT"/>
                <w:b/>
                <w:bCs/>
                <w:color w:val="000000"/>
                <w:sz w:val="22"/>
                <w:szCs w:val="22"/>
              </w:rPr>
              <w:t>6 050</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829" w:rsidRPr="00067C54" w:rsidRDefault="00542829" w:rsidP="003B6457">
            <w:pPr>
              <w:jc w:val="right"/>
              <w:rPr>
                <w:rFonts w:ascii="Gill Sans MT" w:hAnsi="Gill Sans MT"/>
                <w:color w:val="000000"/>
                <w:sz w:val="22"/>
                <w:szCs w:val="22"/>
              </w:rPr>
            </w:pPr>
            <w:proofErr w:type="gramStart"/>
            <w:r w:rsidRPr="00067C54">
              <w:rPr>
                <w:rFonts w:ascii="Gill Sans MT" w:hAnsi="Gill Sans MT"/>
                <w:b/>
                <w:bCs/>
                <w:color w:val="000000"/>
                <w:sz w:val="22"/>
                <w:szCs w:val="22"/>
              </w:rPr>
              <w:t>-</w:t>
            </w:r>
            <w:proofErr w:type="gramEnd"/>
            <w:r w:rsidRPr="00067C54">
              <w:rPr>
                <w:rFonts w:ascii="Gill Sans MT" w:hAnsi="Gill Sans MT"/>
                <w:b/>
                <w:bCs/>
                <w:color w:val="000000"/>
                <w:sz w:val="22"/>
                <w:szCs w:val="22"/>
              </w:rPr>
              <w:t>7 207</w:t>
            </w:r>
          </w:p>
        </w:tc>
        <w:tc>
          <w:tcPr>
            <w:tcW w:w="1035" w:type="dxa"/>
            <w:tcBorders>
              <w:top w:val="single" w:sz="4" w:space="0" w:color="auto"/>
              <w:left w:val="nil"/>
              <w:bottom w:val="single" w:sz="4" w:space="0" w:color="auto"/>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b/>
                <w:color w:val="000000"/>
                <w:sz w:val="22"/>
                <w:szCs w:val="22"/>
              </w:rPr>
            </w:pPr>
            <w:r w:rsidRPr="00067C54">
              <w:rPr>
                <w:rFonts w:ascii="Gill Sans MT" w:hAnsi="Gill Sans MT"/>
                <w:b/>
                <w:color w:val="000000"/>
                <w:sz w:val="22"/>
                <w:szCs w:val="22"/>
              </w:rPr>
              <w:t> </w:t>
            </w:r>
            <w:proofErr w:type="gramStart"/>
            <w:r w:rsidRPr="00067C54">
              <w:rPr>
                <w:rFonts w:ascii="Gill Sans MT" w:hAnsi="Gill Sans MT"/>
                <w:b/>
                <w:color w:val="000000"/>
                <w:sz w:val="22"/>
                <w:szCs w:val="22"/>
              </w:rPr>
              <w:t>-</w:t>
            </w:r>
            <w:proofErr w:type="gramEnd"/>
            <w:r w:rsidRPr="00067C54">
              <w:rPr>
                <w:rFonts w:ascii="Gill Sans MT" w:hAnsi="Gill Sans MT"/>
                <w:b/>
                <w:color w:val="000000"/>
                <w:sz w:val="22"/>
                <w:szCs w:val="22"/>
              </w:rPr>
              <w:t>7207</w:t>
            </w:r>
          </w:p>
        </w:tc>
        <w:tc>
          <w:tcPr>
            <w:tcW w:w="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b/>
                <w:color w:val="000000"/>
                <w:sz w:val="22"/>
                <w:szCs w:val="22"/>
              </w:rPr>
            </w:pPr>
            <w:r w:rsidRPr="00067C54">
              <w:rPr>
                <w:rFonts w:ascii="Gill Sans MT" w:hAnsi="Gill Sans MT"/>
                <w:b/>
                <w:color w:val="000000"/>
                <w:sz w:val="22"/>
                <w:szCs w:val="22"/>
              </w:rPr>
              <w:t>0</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b/>
                <w:color w:val="000000"/>
                <w:sz w:val="22"/>
                <w:szCs w:val="22"/>
              </w:rPr>
            </w:pPr>
            <w:proofErr w:type="gramStart"/>
            <w:r w:rsidRPr="00067C54">
              <w:rPr>
                <w:rFonts w:ascii="Gill Sans MT" w:hAnsi="Gill Sans MT"/>
                <w:b/>
                <w:color w:val="000000"/>
                <w:sz w:val="22"/>
                <w:szCs w:val="22"/>
              </w:rPr>
              <w:t>-</w:t>
            </w:r>
            <w:proofErr w:type="gramEnd"/>
            <w:r w:rsidRPr="00067C54">
              <w:rPr>
                <w:rFonts w:ascii="Gill Sans MT" w:hAnsi="Gill Sans MT"/>
                <w:b/>
                <w:color w:val="000000"/>
                <w:sz w:val="22"/>
                <w:szCs w:val="22"/>
              </w:rPr>
              <w:t>200 </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b/>
                <w:color w:val="000000"/>
                <w:sz w:val="22"/>
                <w:szCs w:val="22"/>
              </w:rPr>
            </w:pPr>
            <w:r w:rsidRPr="00067C54">
              <w:rPr>
                <w:rFonts w:ascii="Gill Sans MT" w:hAnsi="Gill Sans MT"/>
                <w:b/>
                <w:color w:val="000000"/>
                <w:sz w:val="22"/>
                <w:szCs w:val="22"/>
              </w:rPr>
              <w:t>0 </w:t>
            </w:r>
          </w:p>
        </w:tc>
        <w:tc>
          <w:tcPr>
            <w:tcW w:w="1009" w:type="dxa"/>
            <w:tcBorders>
              <w:top w:val="single" w:sz="4" w:space="0" w:color="auto"/>
              <w:left w:val="nil"/>
              <w:bottom w:val="single" w:sz="4" w:space="0" w:color="auto"/>
              <w:right w:val="nil"/>
            </w:tcBorders>
            <w:shd w:val="clear" w:color="auto" w:fill="auto"/>
            <w:noWrap/>
            <w:vAlign w:val="bottom"/>
            <w:hideMark/>
          </w:tcPr>
          <w:p w:rsidR="00542829" w:rsidRPr="00067C54" w:rsidRDefault="00542829" w:rsidP="003B6457">
            <w:pPr>
              <w:spacing w:line="240" w:lineRule="auto"/>
              <w:jc w:val="center"/>
              <w:rPr>
                <w:rFonts w:ascii="Gill Sans MT" w:hAnsi="Gill Sans MT"/>
                <w:b/>
                <w:color w:val="000000"/>
                <w:sz w:val="22"/>
                <w:szCs w:val="22"/>
              </w:rPr>
            </w:pPr>
            <w:proofErr w:type="gramStart"/>
            <w:r w:rsidRPr="00067C54">
              <w:rPr>
                <w:rFonts w:ascii="Gill Sans MT" w:hAnsi="Gill Sans MT"/>
                <w:b/>
                <w:color w:val="000000"/>
                <w:sz w:val="22"/>
                <w:szCs w:val="22"/>
              </w:rPr>
              <w:t>-</w:t>
            </w:r>
            <w:proofErr w:type="gramEnd"/>
            <w:r w:rsidRPr="00067C54">
              <w:rPr>
                <w:rFonts w:ascii="Gill Sans MT" w:hAnsi="Gill Sans MT"/>
                <w:b/>
                <w:color w:val="000000"/>
                <w:sz w:val="22"/>
                <w:szCs w:val="22"/>
              </w:rPr>
              <w:t>7 407 </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b/>
                <w:color w:val="000000"/>
                <w:sz w:val="22"/>
                <w:szCs w:val="22"/>
              </w:rPr>
            </w:pPr>
            <w:r w:rsidRPr="00067C54">
              <w:rPr>
                <w:rFonts w:ascii="Gill Sans MT" w:hAnsi="Gill Sans MT"/>
                <w:b/>
                <w:color w:val="000000"/>
                <w:sz w:val="22"/>
                <w:szCs w:val="22"/>
              </w:rPr>
              <w:t> </w:t>
            </w:r>
            <w:proofErr w:type="gramStart"/>
            <w:r w:rsidRPr="00067C54">
              <w:rPr>
                <w:rFonts w:ascii="Gill Sans MT" w:hAnsi="Gill Sans MT"/>
                <w:b/>
                <w:color w:val="000000"/>
                <w:sz w:val="22"/>
                <w:szCs w:val="22"/>
              </w:rPr>
              <w:t>-</w:t>
            </w:r>
            <w:proofErr w:type="gramEnd"/>
            <w:r w:rsidRPr="00067C54">
              <w:rPr>
                <w:rFonts w:ascii="Gill Sans MT" w:hAnsi="Gill Sans MT"/>
                <w:b/>
                <w:color w:val="000000"/>
                <w:sz w:val="22"/>
                <w:szCs w:val="22"/>
              </w:rPr>
              <w:t>200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542829" w:rsidRPr="00067C54" w:rsidRDefault="00542829" w:rsidP="003B6457">
            <w:pPr>
              <w:spacing w:line="240" w:lineRule="auto"/>
              <w:jc w:val="center"/>
              <w:rPr>
                <w:rFonts w:ascii="Gill Sans MT" w:hAnsi="Gill Sans MT"/>
                <w:b/>
                <w:color w:val="000000"/>
                <w:sz w:val="22"/>
                <w:szCs w:val="22"/>
              </w:rPr>
            </w:pPr>
            <w:r w:rsidRPr="00067C54">
              <w:rPr>
                <w:rFonts w:ascii="Gill Sans MT" w:hAnsi="Gill Sans MT"/>
                <w:b/>
                <w:color w:val="000000"/>
                <w:sz w:val="22"/>
                <w:szCs w:val="22"/>
              </w:rPr>
              <w:t>2,8 </w:t>
            </w:r>
          </w:p>
        </w:tc>
      </w:tr>
    </w:tbl>
    <w:p w:rsidR="00542829" w:rsidRDefault="00542829" w:rsidP="00542829"/>
    <w:p w:rsidR="0047199E" w:rsidRDefault="0047199E">
      <w:pPr>
        <w:spacing w:line="240" w:lineRule="auto"/>
      </w:pPr>
    </w:p>
    <w:p w:rsidR="00ED691F" w:rsidRDefault="00ED691F" w:rsidP="00ED691F">
      <w:pPr>
        <w:pStyle w:val="Rubrik3"/>
      </w:pPr>
      <w:r>
        <w:t>Strategiska mål med nyckeltal, målnivå</w:t>
      </w:r>
      <w:r w:rsidR="00105FDA">
        <w:t>er</w:t>
      </w:r>
      <w:r>
        <w:t xml:space="preserve"> och tidigare års utfall</w:t>
      </w:r>
      <w:r w:rsidR="00105FDA">
        <w:t xml:space="preserve"> </w:t>
      </w:r>
    </w:p>
    <w:p w:rsidR="00EB2EA3" w:rsidRDefault="00EB2EA3" w:rsidP="00542829"/>
    <w:p w:rsidR="00542829" w:rsidRDefault="0094096C" w:rsidP="00542829">
      <w:r>
        <w:t>Utfall mätning från 201</w:t>
      </w:r>
      <w:r w:rsidR="0011503F">
        <w:t xml:space="preserve">4 T2 </w:t>
      </w:r>
      <w:r>
        <w:t>där inte annat angetts</w:t>
      </w:r>
    </w:p>
    <w:tbl>
      <w:tblPr>
        <w:tblStyle w:val="Tabellrutnt"/>
        <w:tblW w:w="9215" w:type="dxa"/>
        <w:tblInd w:w="-289" w:type="dxa"/>
        <w:tblLayout w:type="fixed"/>
        <w:tblLook w:val="04A0" w:firstRow="1" w:lastRow="0" w:firstColumn="1" w:lastColumn="0" w:noHBand="0" w:noVBand="1"/>
      </w:tblPr>
      <w:tblGrid>
        <w:gridCol w:w="1418"/>
        <w:gridCol w:w="1985"/>
        <w:gridCol w:w="850"/>
        <w:gridCol w:w="2977"/>
        <w:gridCol w:w="1134"/>
        <w:gridCol w:w="851"/>
      </w:tblGrid>
      <w:tr w:rsidR="0047199E" w:rsidRPr="009B255C" w:rsidTr="004C06F6">
        <w:trPr>
          <w:trHeight w:val="519"/>
        </w:trPr>
        <w:tc>
          <w:tcPr>
            <w:tcW w:w="9215" w:type="dxa"/>
            <w:gridSpan w:val="6"/>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Verksamhetsresultat</w:t>
            </w:r>
          </w:p>
        </w:tc>
      </w:tr>
      <w:tr w:rsidR="004C06F6" w:rsidRPr="009B255C" w:rsidTr="004C06F6">
        <w:tc>
          <w:tcPr>
            <w:tcW w:w="1418"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Övergripande mål</w:t>
            </w:r>
          </w:p>
        </w:tc>
        <w:tc>
          <w:tcPr>
            <w:tcW w:w="1985"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Strategiskt mål</w:t>
            </w:r>
          </w:p>
        </w:tc>
        <w:tc>
          <w:tcPr>
            <w:tcW w:w="850"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Läge</w:t>
            </w:r>
          </w:p>
        </w:tc>
        <w:tc>
          <w:tcPr>
            <w:tcW w:w="2977"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Pr>
                <w:rFonts w:ascii="Gill Sans MT" w:hAnsi="Gill Sans MT"/>
                <w:b/>
                <w:color w:val="FFFFFF" w:themeColor="background1"/>
                <w:sz w:val="22"/>
                <w:szCs w:val="22"/>
              </w:rPr>
              <w:t>Nyckeltal</w:t>
            </w:r>
          </w:p>
        </w:tc>
        <w:tc>
          <w:tcPr>
            <w:tcW w:w="1134"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proofErr w:type="spellStart"/>
            <w:r>
              <w:rPr>
                <w:rFonts w:ascii="Gill Sans MT" w:hAnsi="Gill Sans MT"/>
                <w:b/>
                <w:color w:val="FFFFFF" w:themeColor="background1"/>
                <w:sz w:val="22"/>
                <w:szCs w:val="22"/>
              </w:rPr>
              <w:t>Målnivå</w:t>
            </w:r>
            <w:proofErr w:type="spellEnd"/>
          </w:p>
        </w:tc>
        <w:tc>
          <w:tcPr>
            <w:tcW w:w="851"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Pr>
                <w:rFonts w:ascii="Gill Sans MT" w:hAnsi="Gill Sans MT"/>
                <w:b/>
                <w:color w:val="FFFFFF" w:themeColor="background1"/>
                <w:sz w:val="22"/>
                <w:szCs w:val="22"/>
              </w:rPr>
              <w:t>Utfall</w:t>
            </w:r>
          </w:p>
        </w:tc>
      </w:tr>
      <w:tr w:rsidR="004C06F6" w:rsidRPr="009B255C" w:rsidTr="004C06F6">
        <w:tc>
          <w:tcPr>
            <w:tcW w:w="1418" w:type="dxa"/>
            <w:vMerge w:val="restart"/>
          </w:tcPr>
          <w:p w:rsidR="004C06F6" w:rsidRPr="00291465" w:rsidRDefault="004C06F6" w:rsidP="003B6457">
            <w:pPr>
              <w:pStyle w:val="Liststycke"/>
              <w:ind w:left="0"/>
              <w:rPr>
                <w:rFonts w:ascii="Gill Sans MT" w:hAnsi="Gill Sans MT"/>
                <w:sz w:val="22"/>
                <w:szCs w:val="22"/>
              </w:rPr>
            </w:pPr>
            <w:r w:rsidRPr="00291465">
              <w:rPr>
                <w:rFonts w:ascii="Gill Sans MT" w:hAnsi="Gill Sans MT"/>
                <w:sz w:val="22"/>
                <w:szCs w:val="22"/>
              </w:rPr>
              <w:t>God kommunal service</w:t>
            </w:r>
          </w:p>
        </w:tc>
        <w:tc>
          <w:tcPr>
            <w:tcW w:w="1985" w:type="dxa"/>
            <w:vMerge w:val="restart"/>
          </w:tcPr>
          <w:p w:rsidR="004C06F6" w:rsidRPr="00291465" w:rsidRDefault="004C06F6" w:rsidP="00291465">
            <w:pPr>
              <w:pStyle w:val="Liststycke"/>
              <w:ind w:left="0"/>
              <w:rPr>
                <w:rFonts w:ascii="Gill Sans MT" w:hAnsi="Gill Sans MT"/>
                <w:sz w:val="22"/>
                <w:szCs w:val="22"/>
              </w:rPr>
            </w:pPr>
            <w:r w:rsidRPr="00291465">
              <w:rPr>
                <w:rFonts w:ascii="Gill Sans MT" w:hAnsi="Gill Sans MT"/>
                <w:sz w:val="22"/>
                <w:szCs w:val="22"/>
              </w:rPr>
              <w:t>Alla huvudmän har en god man/förvaltare som agerar för huvudmann</w:t>
            </w:r>
            <w:r w:rsidR="00291465" w:rsidRPr="00291465">
              <w:rPr>
                <w:rFonts w:ascii="Gill Sans MT" w:hAnsi="Gill Sans MT"/>
                <w:sz w:val="22"/>
                <w:szCs w:val="22"/>
              </w:rPr>
              <w:t>e</w:t>
            </w:r>
            <w:r w:rsidRPr="00291465">
              <w:rPr>
                <w:rFonts w:ascii="Gill Sans MT" w:hAnsi="Gill Sans MT"/>
                <w:sz w:val="22"/>
                <w:szCs w:val="22"/>
              </w:rPr>
              <w:t>ns bästa inom ramen för uppdraget.</w:t>
            </w:r>
          </w:p>
        </w:tc>
        <w:tc>
          <w:tcPr>
            <w:tcW w:w="850" w:type="dxa"/>
            <w:vMerge w:val="restart"/>
          </w:tcPr>
          <w:p w:rsidR="004C06F6" w:rsidRPr="0094096C" w:rsidRDefault="004C06F6" w:rsidP="003B6457">
            <w:pPr>
              <w:pStyle w:val="Liststycke"/>
              <w:ind w:left="0"/>
              <w:rPr>
                <w:rFonts w:ascii="Gill Sans MT" w:hAnsi="Gill Sans MT"/>
                <w:sz w:val="20"/>
              </w:rPr>
            </w:pPr>
            <w:r w:rsidRPr="0094096C">
              <w:rPr>
                <w:rFonts w:ascii="Gill Sans MT" w:hAnsi="Gill Sans MT"/>
                <w:noProof/>
                <w:sz w:val="20"/>
              </w:rPr>
              <w:drawing>
                <wp:inline distT="0" distB="0" distL="0" distR="0" wp14:anchorId="247DD66B" wp14:editId="0A977E19">
                  <wp:extent cx="514350" cy="533400"/>
                  <wp:effectExtent l="0" t="0" r="0" b="0"/>
                  <wp:docPr id="19"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14350" cy="533400"/>
                          </a:xfrm>
                          <a:prstGeom prst="rect">
                            <a:avLst/>
                          </a:prstGeom>
                          <a:noFill/>
                          <a:ln w="9525">
                            <a:noFill/>
                            <a:miter lim="800000"/>
                            <a:headEnd/>
                            <a:tailEnd/>
                          </a:ln>
                        </pic:spPr>
                      </pic:pic>
                    </a:graphicData>
                  </a:graphic>
                </wp:inline>
              </w:drawing>
            </w:r>
          </w:p>
        </w:tc>
        <w:tc>
          <w:tcPr>
            <w:tcW w:w="2977" w:type="dxa"/>
          </w:tcPr>
          <w:p w:rsidR="004C06F6" w:rsidRPr="00291465" w:rsidRDefault="004C06F6" w:rsidP="003B6457">
            <w:pPr>
              <w:pStyle w:val="Liststycke"/>
              <w:ind w:left="0"/>
              <w:rPr>
                <w:rFonts w:ascii="Gill Sans MT" w:hAnsi="Gill Sans MT"/>
                <w:noProof/>
                <w:sz w:val="22"/>
                <w:szCs w:val="22"/>
              </w:rPr>
            </w:pPr>
            <w:r w:rsidRPr="00291465">
              <w:rPr>
                <w:rFonts w:ascii="Gill Sans MT" w:hAnsi="Gill Sans MT"/>
                <w:sz w:val="22"/>
                <w:szCs w:val="22"/>
              </w:rPr>
              <w:t>Andel med rätt till god man som erbjuds det inom tre månader från det att komplett underlag föreligger</w:t>
            </w:r>
          </w:p>
        </w:tc>
        <w:tc>
          <w:tcPr>
            <w:tcW w:w="1134" w:type="dxa"/>
          </w:tcPr>
          <w:p w:rsidR="004C06F6" w:rsidRPr="00291465" w:rsidRDefault="00763527" w:rsidP="003B6457">
            <w:pPr>
              <w:pStyle w:val="Liststycke"/>
              <w:ind w:left="0"/>
              <w:rPr>
                <w:rFonts w:ascii="Gill Sans MT" w:hAnsi="Gill Sans MT"/>
                <w:noProof/>
                <w:sz w:val="22"/>
                <w:szCs w:val="22"/>
              </w:rPr>
            </w:pPr>
            <w:r w:rsidRPr="00291465">
              <w:rPr>
                <w:rFonts w:ascii="Gill Sans MT" w:hAnsi="Gill Sans MT"/>
                <w:noProof/>
                <w:sz w:val="22"/>
                <w:szCs w:val="22"/>
              </w:rPr>
              <w:t>95 %</w:t>
            </w:r>
          </w:p>
        </w:tc>
        <w:tc>
          <w:tcPr>
            <w:tcW w:w="851" w:type="dxa"/>
          </w:tcPr>
          <w:p w:rsidR="004C06F6" w:rsidRPr="00291465" w:rsidRDefault="001218B9" w:rsidP="003B6457">
            <w:pPr>
              <w:pStyle w:val="Liststycke"/>
              <w:ind w:left="0"/>
              <w:rPr>
                <w:rFonts w:ascii="Gill Sans MT" w:hAnsi="Gill Sans MT"/>
                <w:noProof/>
                <w:sz w:val="22"/>
                <w:szCs w:val="22"/>
              </w:rPr>
            </w:pPr>
            <w:r>
              <w:rPr>
                <w:rFonts w:ascii="Gill Sans MT" w:hAnsi="Gill Sans MT"/>
                <w:noProof/>
                <w:sz w:val="22"/>
                <w:szCs w:val="22"/>
              </w:rPr>
              <w:t>100</w:t>
            </w:r>
            <w:r w:rsidR="00763527" w:rsidRPr="00291465">
              <w:rPr>
                <w:rFonts w:ascii="Gill Sans MT" w:hAnsi="Gill Sans MT"/>
                <w:noProof/>
                <w:sz w:val="22"/>
                <w:szCs w:val="22"/>
              </w:rPr>
              <w:t xml:space="preserve"> %</w:t>
            </w:r>
          </w:p>
        </w:tc>
      </w:tr>
      <w:tr w:rsidR="004C06F6" w:rsidRPr="009B255C" w:rsidTr="004C06F6">
        <w:tc>
          <w:tcPr>
            <w:tcW w:w="1418" w:type="dxa"/>
            <w:vMerge/>
          </w:tcPr>
          <w:p w:rsidR="004C06F6" w:rsidRPr="0094096C" w:rsidRDefault="004C06F6" w:rsidP="003B6457">
            <w:pPr>
              <w:pStyle w:val="Liststycke"/>
              <w:ind w:left="0"/>
              <w:rPr>
                <w:rFonts w:ascii="Gill Sans MT" w:hAnsi="Gill Sans MT"/>
                <w:sz w:val="20"/>
              </w:rPr>
            </w:pPr>
          </w:p>
        </w:tc>
        <w:tc>
          <w:tcPr>
            <w:tcW w:w="1985" w:type="dxa"/>
            <w:vMerge/>
          </w:tcPr>
          <w:p w:rsidR="004C06F6" w:rsidRPr="0094096C" w:rsidRDefault="004C06F6" w:rsidP="003B6457">
            <w:pPr>
              <w:pStyle w:val="Liststycke"/>
              <w:ind w:left="0"/>
              <w:rPr>
                <w:rFonts w:ascii="Gill Sans MT" w:hAnsi="Gill Sans MT"/>
                <w:sz w:val="20"/>
              </w:rPr>
            </w:pPr>
          </w:p>
        </w:tc>
        <w:tc>
          <w:tcPr>
            <w:tcW w:w="850" w:type="dxa"/>
            <w:vMerge/>
          </w:tcPr>
          <w:p w:rsidR="004C06F6" w:rsidRPr="0094096C" w:rsidRDefault="004C06F6" w:rsidP="003B6457">
            <w:pPr>
              <w:pStyle w:val="Liststycke"/>
              <w:ind w:left="0"/>
              <w:rPr>
                <w:rFonts w:ascii="Gill Sans MT" w:hAnsi="Gill Sans MT"/>
                <w:noProof/>
                <w:sz w:val="20"/>
              </w:rPr>
            </w:pPr>
          </w:p>
        </w:tc>
        <w:tc>
          <w:tcPr>
            <w:tcW w:w="2977" w:type="dxa"/>
          </w:tcPr>
          <w:p w:rsidR="004C06F6" w:rsidRPr="00291465" w:rsidRDefault="004C06F6" w:rsidP="008D049C">
            <w:pPr>
              <w:rPr>
                <w:rFonts w:ascii="Gill Sans MT" w:hAnsi="Gill Sans MT"/>
                <w:sz w:val="22"/>
                <w:szCs w:val="22"/>
              </w:rPr>
            </w:pPr>
            <w:r w:rsidRPr="00291465">
              <w:rPr>
                <w:rFonts w:ascii="Gill Sans MT" w:hAnsi="Gill Sans MT"/>
                <w:sz w:val="22"/>
                <w:szCs w:val="22"/>
              </w:rPr>
              <w:t xml:space="preserve">Andel huvudmän som är nöjda med hur den gode mannen utför sitt uppdrag </w:t>
            </w:r>
          </w:p>
          <w:p w:rsidR="004C06F6" w:rsidRPr="00291465" w:rsidRDefault="004C06F6" w:rsidP="003B6457">
            <w:pPr>
              <w:pStyle w:val="Liststycke"/>
              <w:ind w:left="0"/>
              <w:rPr>
                <w:rFonts w:ascii="Gill Sans MT" w:hAnsi="Gill Sans MT"/>
                <w:noProof/>
                <w:sz w:val="22"/>
                <w:szCs w:val="22"/>
              </w:rPr>
            </w:pPr>
          </w:p>
        </w:tc>
        <w:tc>
          <w:tcPr>
            <w:tcW w:w="1134" w:type="dxa"/>
          </w:tcPr>
          <w:p w:rsidR="004C06F6" w:rsidRPr="00291465" w:rsidRDefault="00291465" w:rsidP="003B6457">
            <w:pPr>
              <w:pStyle w:val="Liststycke"/>
              <w:ind w:left="0"/>
              <w:rPr>
                <w:rFonts w:ascii="Gill Sans MT" w:hAnsi="Gill Sans MT"/>
                <w:noProof/>
                <w:sz w:val="22"/>
                <w:szCs w:val="22"/>
              </w:rPr>
            </w:pPr>
            <w:r>
              <w:rPr>
                <w:rFonts w:ascii="Gill Sans MT" w:hAnsi="Gill Sans MT"/>
                <w:noProof/>
                <w:sz w:val="22"/>
                <w:szCs w:val="22"/>
              </w:rPr>
              <w:t>80</w:t>
            </w:r>
            <w:r w:rsidR="00763527" w:rsidRPr="00291465">
              <w:rPr>
                <w:rFonts w:ascii="Gill Sans MT" w:hAnsi="Gill Sans MT"/>
                <w:noProof/>
                <w:sz w:val="22"/>
                <w:szCs w:val="22"/>
              </w:rPr>
              <w:t>%</w:t>
            </w:r>
          </w:p>
        </w:tc>
        <w:tc>
          <w:tcPr>
            <w:tcW w:w="851" w:type="dxa"/>
          </w:tcPr>
          <w:p w:rsidR="004C06F6" w:rsidRPr="00291465" w:rsidRDefault="001218B9" w:rsidP="003B6457">
            <w:pPr>
              <w:pStyle w:val="Liststycke"/>
              <w:ind w:left="0"/>
              <w:rPr>
                <w:rFonts w:ascii="Gill Sans MT" w:hAnsi="Gill Sans MT"/>
                <w:noProof/>
                <w:sz w:val="22"/>
                <w:szCs w:val="22"/>
              </w:rPr>
            </w:pPr>
            <w:r>
              <w:rPr>
                <w:rFonts w:ascii="Gill Sans MT" w:hAnsi="Gill Sans MT"/>
                <w:noProof/>
                <w:sz w:val="22"/>
                <w:szCs w:val="22"/>
              </w:rPr>
              <w:t xml:space="preserve">68 </w:t>
            </w:r>
            <w:r w:rsidR="00763527" w:rsidRPr="00291465">
              <w:rPr>
                <w:rFonts w:ascii="Gill Sans MT" w:hAnsi="Gill Sans MT"/>
                <w:noProof/>
                <w:sz w:val="22"/>
                <w:szCs w:val="22"/>
              </w:rPr>
              <w:t>%</w:t>
            </w:r>
          </w:p>
        </w:tc>
      </w:tr>
      <w:tr w:rsidR="004C06F6" w:rsidRPr="009B255C" w:rsidTr="004C06F6">
        <w:tc>
          <w:tcPr>
            <w:tcW w:w="1418" w:type="dxa"/>
            <w:vMerge/>
          </w:tcPr>
          <w:p w:rsidR="004C06F6" w:rsidRPr="0094096C" w:rsidRDefault="004C06F6" w:rsidP="003B6457">
            <w:pPr>
              <w:pStyle w:val="Liststycke"/>
              <w:ind w:left="0"/>
              <w:rPr>
                <w:rFonts w:ascii="Gill Sans MT" w:hAnsi="Gill Sans MT"/>
                <w:sz w:val="20"/>
              </w:rPr>
            </w:pPr>
          </w:p>
        </w:tc>
        <w:tc>
          <w:tcPr>
            <w:tcW w:w="1985" w:type="dxa"/>
            <w:vMerge/>
          </w:tcPr>
          <w:p w:rsidR="004C06F6" w:rsidRPr="0094096C" w:rsidRDefault="004C06F6" w:rsidP="003B6457">
            <w:pPr>
              <w:pStyle w:val="Liststycke"/>
              <w:ind w:left="0"/>
              <w:rPr>
                <w:rFonts w:ascii="Gill Sans MT" w:hAnsi="Gill Sans MT"/>
                <w:sz w:val="20"/>
              </w:rPr>
            </w:pPr>
          </w:p>
        </w:tc>
        <w:tc>
          <w:tcPr>
            <w:tcW w:w="850" w:type="dxa"/>
            <w:vMerge/>
          </w:tcPr>
          <w:p w:rsidR="004C06F6" w:rsidRPr="0094096C" w:rsidRDefault="004C06F6" w:rsidP="003B6457">
            <w:pPr>
              <w:pStyle w:val="Liststycke"/>
              <w:ind w:left="0"/>
              <w:rPr>
                <w:rFonts w:ascii="Gill Sans MT" w:hAnsi="Gill Sans MT"/>
                <w:noProof/>
                <w:sz w:val="20"/>
              </w:rPr>
            </w:pPr>
          </w:p>
        </w:tc>
        <w:tc>
          <w:tcPr>
            <w:tcW w:w="2977" w:type="dxa"/>
          </w:tcPr>
          <w:p w:rsidR="004C06F6" w:rsidRPr="00291465" w:rsidRDefault="004C06F6" w:rsidP="008D049C">
            <w:pPr>
              <w:rPr>
                <w:rFonts w:ascii="Gill Sans MT" w:hAnsi="Gill Sans MT"/>
                <w:sz w:val="22"/>
                <w:szCs w:val="22"/>
              </w:rPr>
            </w:pPr>
            <w:r w:rsidRPr="00291465">
              <w:rPr>
                <w:rFonts w:ascii="Gill Sans MT" w:hAnsi="Gill Sans MT"/>
                <w:sz w:val="22"/>
                <w:szCs w:val="22"/>
              </w:rPr>
              <w:t xml:space="preserve">Andelen årsräkningar som </w:t>
            </w:r>
            <w:r w:rsidR="009154B0">
              <w:rPr>
                <w:rFonts w:ascii="Gill Sans MT" w:hAnsi="Gill Sans MT"/>
                <w:sz w:val="22"/>
                <w:szCs w:val="22"/>
              </w:rPr>
              <w:t>är felfria.</w:t>
            </w:r>
            <w:r w:rsidRPr="00291465">
              <w:rPr>
                <w:rFonts w:ascii="Gill Sans MT" w:hAnsi="Gill Sans MT"/>
                <w:sz w:val="22"/>
                <w:szCs w:val="22"/>
              </w:rPr>
              <w:t xml:space="preserve"> </w:t>
            </w:r>
          </w:p>
          <w:p w:rsidR="004C06F6" w:rsidRPr="00291465" w:rsidRDefault="004C06F6" w:rsidP="003B6457">
            <w:pPr>
              <w:pStyle w:val="Liststycke"/>
              <w:ind w:left="0"/>
              <w:rPr>
                <w:rFonts w:ascii="Gill Sans MT" w:hAnsi="Gill Sans MT"/>
                <w:noProof/>
                <w:sz w:val="22"/>
                <w:szCs w:val="22"/>
              </w:rPr>
            </w:pPr>
          </w:p>
        </w:tc>
        <w:tc>
          <w:tcPr>
            <w:tcW w:w="1134" w:type="dxa"/>
          </w:tcPr>
          <w:p w:rsidR="004C06F6" w:rsidRPr="00291465" w:rsidRDefault="009154B0" w:rsidP="003B6457">
            <w:pPr>
              <w:pStyle w:val="Liststycke"/>
              <w:ind w:left="0"/>
              <w:rPr>
                <w:rFonts w:ascii="Gill Sans MT" w:hAnsi="Gill Sans MT"/>
                <w:noProof/>
                <w:sz w:val="22"/>
                <w:szCs w:val="22"/>
              </w:rPr>
            </w:pPr>
            <w:r>
              <w:rPr>
                <w:rFonts w:ascii="Gill Sans MT" w:hAnsi="Gill Sans MT"/>
                <w:noProof/>
                <w:sz w:val="22"/>
                <w:szCs w:val="22"/>
              </w:rPr>
              <w:t>85</w:t>
            </w:r>
            <w:r w:rsidR="00763527" w:rsidRPr="00291465">
              <w:rPr>
                <w:rFonts w:ascii="Gill Sans MT" w:hAnsi="Gill Sans MT"/>
                <w:noProof/>
                <w:sz w:val="22"/>
                <w:szCs w:val="22"/>
              </w:rPr>
              <w:t>%</w:t>
            </w:r>
          </w:p>
        </w:tc>
        <w:tc>
          <w:tcPr>
            <w:tcW w:w="851" w:type="dxa"/>
          </w:tcPr>
          <w:p w:rsidR="004C06F6" w:rsidRPr="00291465" w:rsidRDefault="001218B9" w:rsidP="003B6457">
            <w:pPr>
              <w:pStyle w:val="Liststycke"/>
              <w:ind w:left="0"/>
              <w:rPr>
                <w:rFonts w:ascii="Gill Sans MT" w:hAnsi="Gill Sans MT"/>
                <w:noProof/>
                <w:sz w:val="22"/>
                <w:szCs w:val="22"/>
              </w:rPr>
            </w:pPr>
            <w:r>
              <w:rPr>
                <w:rFonts w:ascii="Gill Sans MT" w:hAnsi="Gill Sans MT"/>
                <w:noProof/>
                <w:sz w:val="22"/>
                <w:szCs w:val="22"/>
              </w:rPr>
              <w:t>83</w:t>
            </w:r>
            <w:r w:rsidR="00763527" w:rsidRPr="00291465">
              <w:rPr>
                <w:rFonts w:ascii="Gill Sans MT" w:hAnsi="Gill Sans MT"/>
                <w:noProof/>
                <w:sz w:val="22"/>
                <w:szCs w:val="22"/>
              </w:rPr>
              <w:t>%</w:t>
            </w:r>
          </w:p>
        </w:tc>
      </w:tr>
    </w:tbl>
    <w:p w:rsidR="00542829" w:rsidRDefault="00542829" w:rsidP="00542829"/>
    <w:tbl>
      <w:tblPr>
        <w:tblStyle w:val="Tabellrutnt"/>
        <w:tblW w:w="9215" w:type="dxa"/>
        <w:tblInd w:w="-289" w:type="dxa"/>
        <w:tblLayout w:type="fixed"/>
        <w:tblLook w:val="04A0" w:firstRow="1" w:lastRow="0" w:firstColumn="1" w:lastColumn="0" w:noHBand="0" w:noVBand="1"/>
      </w:tblPr>
      <w:tblGrid>
        <w:gridCol w:w="1418"/>
        <w:gridCol w:w="1985"/>
        <w:gridCol w:w="850"/>
        <w:gridCol w:w="2977"/>
        <w:gridCol w:w="1134"/>
        <w:gridCol w:w="851"/>
      </w:tblGrid>
      <w:tr w:rsidR="0047199E" w:rsidRPr="009B255C" w:rsidTr="004C06F6">
        <w:tc>
          <w:tcPr>
            <w:tcW w:w="9215" w:type="dxa"/>
            <w:gridSpan w:val="6"/>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Insatta resurser</w:t>
            </w:r>
          </w:p>
        </w:tc>
      </w:tr>
      <w:tr w:rsidR="0047199E" w:rsidRPr="009B255C" w:rsidTr="004C06F6">
        <w:tc>
          <w:tcPr>
            <w:tcW w:w="1418"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Övergripande mål</w:t>
            </w:r>
          </w:p>
        </w:tc>
        <w:tc>
          <w:tcPr>
            <w:tcW w:w="1985"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Strategiskt mål</w:t>
            </w:r>
          </w:p>
        </w:tc>
        <w:tc>
          <w:tcPr>
            <w:tcW w:w="850"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Läge</w:t>
            </w:r>
          </w:p>
        </w:tc>
        <w:tc>
          <w:tcPr>
            <w:tcW w:w="2977"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Pr>
                <w:rFonts w:ascii="Gill Sans MT" w:hAnsi="Gill Sans MT"/>
                <w:b/>
                <w:color w:val="FFFFFF" w:themeColor="background1"/>
                <w:sz w:val="22"/>
                <w:szCs w:val="22"/>
              </w:rPr>
              <w:t>Nyckeltal</w:t>
            </w:r>
          </w:p>
        </w:tc>
        <w:tc>
          <w:tcPr>
            <w:tcW w:w="1134"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proofErr w:type="spellStart"/>
            <w:r>
              <w:rPr>
                <w:rFonts w:ascii="Gill Sans MT" w:hAnsi="Gill Sans MT"/>
                <w:b/>
                <w:color w:val="FFFFFF" w:themeColor="background1"/>
                <w:sz w:val="22"/>
                <w:szCs w:val="22"/>
              </w:rPr>
              <w:t>Målnivå</w:t>
            </w:r>
            <w:proofErr w:type="spellEnd"/>
          </w:p>
        </w:tc>
        <w:tc>
          <w:tcPr>
            <w:tcW w:w="851" w:type="dxa"/>
            <w:shd w:val="clear" w:color="auto" w:fill="C0504D" w:themeFill="accent2"/>
          </w:tcPr>
          <w:p w:rsidR="0047199E" w:rsidRPr="00016702" w:rsidRDefault="0047199E" w:rsidP="003B6457">
            <w:pPr>
              <w:pStyle w:val="Liststycke"/>
              <w:ind w:left="0"/>
              <w:rPr>
                <w:rFonts w:ascii="Gill Sans MT" w:hAnsi="Gill Sans MT"/>
                <w:b/>
                <w:color w:val="FFFFFF" w:themeColor="background1"/>
                <w:sz w:val="22"/>
                <w:szCs w:val="22"/>
              </w:rPr>
            </w:pPr>
            <w:r>
              <w:rPr>
                <w:rFonts w:ascii="Gill Sans MT" w:hAnsi="Gill Sans MT"/>
                <w:b/>
                <w:color w:val="FFFFFF" w:themeColor="background1"/>
                <w:sz w:val="22"/>
                <w:szCs w:val="22"/>
              </w:rPr>
              <w:t>Utfall</w:t>
            </w:r>
          </w:p>
        </w:tc>
      </w:tr>
      <w:tr w:rsidR="00773679" w:rsidRPr="009B255C" w:rsidTr="004C06F6">
        <w:tc>
          <w:tcPr>
            <w:tcW w:w="1418" w:type="dxa"/>
            <w:vMerge w:val="restart"/>
          </w:tcPr>
          <w:p w:rsidR="00773679" w:rsidRPr="00A07D5C" w:rsidRDefault="00773679" w:rsidP="003B6457">
            <w:pPr>
              <w:pStyle w:val="Liststycke"/>
              <w:ind w:left="0"/>
              <w:rPr>
                <w:rFonts w:ascii="Gill Sans MT" w:hAnsi="Gill Sans MT"/>
                <w:sz w:val="22"/>
                <w:szCs w:val="22"/>
              </w:rPr>
            </w:pPr>
            <w:r w:rsidRPr="00A07D5C">
              <w:rPr>
                <w:rFonts w:ascii="Gill Sans MT" w:hAnsi="Gill Sans MT"/>
                <w:sz w:val="22"/>
                <w:szCs w:val="22"/>
              </w:rPr>
              <w:t>Effektivt resursutnyttjande</w:t>
            </w:r>
          </w:p>
        </w:tc>
        <w:tc>
          <w:tcPr>
            <w:tcW w:w="1985" w:type="dxa"/>
            <w:vMerge w:val="restart"/>
          </w:tcPr>
          <w:p w:rsidR="00773679" w:rsidRPr="00A07D5C" w:rsidRDefault="00773679" w:rsidP="003B6457">
            <w:pPr>
              <w:pStyle w:val="Liststycke"/>
              <w:ind w:left="0"/>
              <w:rPr>
                <w:rFonts w:ascii="Gill Sans MT" w:hAnsi="Gill Sans MT"/>
                <w:sz w:val="22"/>
                <w:szCs w:val="22"/>
              </w:rPr>
            </w:pPr>
            <w:r w:rsidRPr="00A07D5C">
              <w:rPr>
                <w:rFonts w:ascii="Gill Sans MT" w:hAnsi="Gill Sans MT"/>
                <w:sz w:val="22"/>
                <w:szCs w:val="22"/>
              </w:rPr>
              <w:t xml:space="preserve">Rättssäker och effektiv tillsynsverksamhet med hög </w:t>
            </w:r>
            <w:r w:rsidRPr="00A07D5C">
              <w:rPr>
                <w:rFonts w:ascii="Gill Sans MT" w:hAnsi="Gill Sans MT"/>
                <w:sz w:val="22"/>
                <w:szCs w:val="22"/>
              </w:rPr>
              <w:lastRenderedPageBreak/>
              <w:t>kvalitet och god service</w:t>
            </w:r>
          </w:p>
        </w:tc>
        <w:tc>
          <w:tcPr>
            <w:tcW w:w="850" w:type="dxa"/>
            <w:vMerge w:val="restart"/>
          </w:tcPr>
          <w:p w:rsidR="00773679" w:rsidRPr="009B255C" w:rsidRDefault="0094096C" w:rsidP="003B6457">
            <w:pPr>
              <w:pStyle w:val="Liststycke"/>
              <w:ind w:left="0"/>
              <w:rPr>
                <w:rFonts w:ascii="Gill Sans MT" w:hAnsi="Gill Sans MT"/>
                <w:sz w:val="22"/>
                <w:szCs w:val="22"/>
              </w:rPr>
            </w:pPr>
            <w:r w:rsidRPr="0097271C">
              <w:rPr>
                <w:rFonts w:ascii="Gill Sans MT" w:hAnsi="Gill Sans MT"/>
                <w:noProof/>
                <w:sz w:val="22"/>
                <w:szCs w:val="22"/>
              </w:rPr>
              <w:lastRenderedPageBreak/>
              <w:drawing>
                <wp:inline distT="0" distB="0" distL="0" distR="0">
                  <wp:extent cx="523875" cy="46672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 cy="466725"/>
                          </a:xfrm>
                          <a:prstGeom prst="rect">
                            <a:avLst/>
                          </a:prstGeom>
                          <a:noFill/>
                          <a:ln>
                            <a:noFill/>
                          </a:ln>
                        </pic:spPr>
                      </pic:pic>
                    </a:graphicData>
                  </a:graphic>
                </wp:inline>
              </w:drawing>
            </w:r>
          </w:p>
        </w:tc>
        <w:tc>
          <w:tcPr>
            <w:tcW w:w="2977" w:type="dxa"/>
          </w:tcPr>
          <w:p w:rsidR="00773679" w:rsidRPr="00291465" w:rsidRDefault="00773679" w:rsidP="00773679">
            <w:pPr>
              <w:spacing w:line="276" w:lineRule="auto"/>
              <w:rPr>
                <w:rFonts w:ascii="Gill Sans MT" w:hAnsi="Gill Sans MT"/>
                <w:sz w:val="22"/>
                <w:szCs w:val="22"/>
              </w:rPr>
            </w:pPr>
            <w:r w:rsidRPr="00291465">
              <w:rPr>
                <w:rFonts w:ascii="Gill Sans MT" w:hAnsi="Gill Sans MT"/>
                <w:sz w:val="22"/>
                <w:szCs w:val="22"/>
              </w:rPr>
              <w:t>Andel gode män som anser att de är nöjda med den service de</w:t>
            </w:r>
            <w:r w:rsidR="00373BA9">
              <w:rPr>
                <w:rFonts w:ascii="Gill Sans MT" w:hAnsi="Gill Sans MT"/>
                <w:sz w:val="22"/>
                <w:szCs w:val="22"/>
              </w:rPr>
              <w:t xml:space="preserve"> </w:t>
            </w:r>
            <w:proofErr w:type="gramStart"/>
            <w:r w:rsidR="009C2C63">
              <w:rPr>
                <w:rFonts w:ascii="Gill Sans MT" w:hAnsi="Gill Sans MT"/>
                <w:sz w:val="22"/>
                <w:szCs w:val="22"/>
              </w:rPr>
              <w:t>får</w:t>
            </w:r>
            <w:proofErr w:type="gramEnd"/>
            <w:r w:rsidR="009C2C63">
              <w:rPr>
                <w:rFonts w:ascii="Gill Sans MT" w:hAnsi="Gill Sans MT"/>
                <w:sz w:val="22"/>
                <w:szCs w:val="22"/>
              </w:rPr>
              <w:t xml:space="preserve"> </w:t>
            </w:r>
            <w:r w:rsidRPr="00291465">
              <w:rPr>
                <w:rFonts w:ascii="Gill Sans MT" w:hAnsi="Gill Sans MT"/>
                <w:sz w:val="22"/>
                <w:szCs w:val="22"/>
              </w:rPr>
              <w:t xml:space="preserve">av nämnden </w:t>
            </w:r>
          </w:p>
          <w:p w:rsidR="00773679" w:rsidRPr="00291465" w:rsidRDefault="00773679" w:rsidP="00773679">
            <w:pPr>
              <w:spacing w:line="240" w:lineRule="auto"/>
              <w:rPr>
                <w:rFonts w:ascii="Gill Sans MT" w:hAnsi="Gill Sans MT"/>
                <w:noProof/>
                <w:sz w:val="22"/>
                <w:szCs w:val="22"/>
              </w:rPr>
            </w:pPr>
          </w:p>
        </w:tc>
        <w:tc>
          <w:tcPr>
            <w:tcW w:w="1134" w:type="dxa"/>
          </w:tcPr>
          <w:p w:rsidR="00773679" w:rsidRPr="0094096C" w:rsidRDefault="009154B0" w:rsidP="00763527">
            <w:pPr>
              <w:pStyle w:val="Liststycke"/>
              <w:ind w:left="0"/>
              <w:rPr>
                <w:rFonts w:ascii="Gill Sans MT" w:hAnsi="Gill Sans MT"/>
                <w:noProof/>
                <w:sz w:val="22"/>
                <w:szCs w:val="22"/>
              </w:rPr>
            </w:pPr>
            <w:r>
              <w:rPr>
                <w:rFonts w:ascii="Gill Sans MT" w:hAnsi="Gill Sans MT"/>
                <w:noProof/>
                <w:sz w:val="22"/>
                <w:szCs w:val="22"/>
              </w:rPr>
              <w:t>80</w:t>
            </w:r>
            <w:r w:rsidR="00763527" w:rsidRPr="0094096C">
              <w:rPr>
                <w:rFonts w:ascii="Gill Sans MT" w:hAnsi="Gill Sans MT"/>
                <w:noProof/>
                <w:sz w:val="22"/>
                <w:szCs w:val="22"/>
              </w:rPr>
              <w:t>%</w:t>
            </w:r>
          </w:p>
        </w:tc>
        <w:tc>
          <w:tcPr>
            <w:tcW w:w="851" w:type="dxa"/>
          </w:tcPr>
          <w:p w:rsidR="00773679" w:rsidRPr="0094096C" w:rsidRDefault="001218B9" w:rsidP="003B6457">
            <w:pPr>
              <w:pStyle w:val="Liststycke"/>
              <w:ind w:left="0"/>
              <w:rPr>
                <w:rFonts w:ascii="Gill Sans MT" w:hAnsi="Gill Sans MT"/>
                <w:noProof/>
                <w:sz w:val="22"/>
                <w:szCs w:val="22"/>
              </w:rPr>
            </w:pPr>
            <w:r>
              <w:rPr>
                <w:rFonts w:ascii="Gill Sans MT" w:hAnsi="Gill Sans MT"/>
                <w:noProof/>
                <w:sz w:val="22"/>
                <w:szCs w:val="22"/>
              </w:rPr>
              <w:t>85</w:t>
            </w:r>
            <w:r w:rsidR="00763527" w:rsidRPr="0094096C">
              <w:rPr>
                <w:rFonts w:ascii="Gill Sans MT" w:hAnsi="Gill Sans MT"/>
                <w:noProof/>
                <w:sz w:val="22"/>
                <w:szCs w:val="22"/>
              </w:rPr>
              <w:t>%</w:t>
            </w:r>
          </w:p>
        </w:tc>
      </w:tr>
      <w:tr w:rsidR="00773679" w:rsidRPr="009B255C" w:rsidTr="004C06F6">
        <w:tc>
          <w:tcPr>
            <w:tcW w:w="1418" w:type="dxa"/>
            <w:vMerge/>
          </w:tcPr>
          <w:p w:rsidR="00773679" w:rsidRPr="00A07D5C" w:rsidRDefault="00773679" w:rsidP="003B6457">
            <w:pPr>
              <w:pStyle w:val="Liststycke"/>
              <w:ind w:left="0"/>
              <w:rPr>
                <w:rFonts w:ascii="Gill Sans MT" w:hAnsi="Gill Sans MT"/>
                <w:sz w:val="22"/>
                <w:szCs w:val="22"/>
              </w:rPr>
            </w:pPr>
          </w:p>
        </w:tc>
        <w:tc>
          <w:tcPr>
            <w:tcW w:w="1985" w:type="dxa"/>
            <w:vMerge/>
          </w:tcPr>
          <w:p w:rsidR="00773679" w:rsidRPr="00A07D5C" w:rsidRDefault="00773679" w:rsidP="003B6457">
            <w:pPr>
              <w:pStyle w:val="Liststycke"/>
              <w:ind w:left="0"/>
              <w:rPr>
                <w:rFonts w:ascii="Gill Sans MT" w:hAnsi="Gill Sans MT"/>
                <w:sz w:val="22"/>
                <w:szCs w:val="22"/>
              </w:rPr>
            </w:pPr>
          </w:p>
        </w:tc>
        <w:tc>
          <w:tcPr>
            <w:tcW w:w="850" w:type="dxa"/>
            <w:vMerge/>
          </w:tcPr>
          <w:p w:rsidR="00773679" w:rsidRPr="006137A7" w:rsidRDefault="00773679" w:rsidP="003B6457">
            <w:pPr>
              <w:pStyle w:val="Liststycke"/>
              <w:ind w:left="0"/>
              <w:rPr>
                <w:rFonts w:ascii="Gill Sans MT" w:hAnsi="Gill Sans MT"/>
                <w:noProof/>
                <w:sz w:val="22"/>
                <w:szCs w:val="22"/>
              </w:rPr>
            </w:pPr>
          </w:p>
        </w:tc>
        <w:tc>
          <w:tcPr>
            <w:tcW w:w="2977" w:type="dxa"/>
          </w:tcPr>
          <w:p w:rsidR="004C06F6" w:rsidRPr="00291465" w:rsidRDefault="004C06F6" w:rsidP="004C06F6">
            <w:pPr>
              <w:rPr>
                <w:rFonts w:ascii="Gill Sans MT" w:hAnsi="Gill Sans MT"/>
                <w:sz w:val="22"/>
                <w:szCs w:val="22"/>
              </w:rPr>
            </w:pPr>
            <w:r w:rsidRPr="00291465">
              <w:rPr>
                <w:rFonts w:ascii="Gill Sans MT" w:hAnsi="Gill Sans MT"/>
                <w:sz w:val="22"/>
                <w:szCs w:val="22"/>
              </w:rPr>
              <w:t xml:space="preserve">Andel årsräkningar som är granskade till utgången av juni månad, </w:t>
            </w:r>
          </w:p>
          <w:p w:rsidR="00773679" w:rsidRPr="00291465" w:rsidRDefault="00773679" w:rsidP="008D049C">
            <w:pPr>
              <w:spacing w:line="240" w:lineRule="auto"/>
              <w:rPr>
                <w:rFonts w:ascii="Gill Sans MT" w:hAnsi="Gill Sans MT"/>
                <w:sz w:val="22"/>
                <w:szCs w:val="22"/>
              </w:rPr>
            </w:pPr>
          </w:p>
        </w:tc>
        <w:tc>
          <w:tcPr>
            <w:tcW w:w="1134" w:type="dxa"/>
          </w:tcPr>
          <w:p w:rsidR="00773679" w:rsidRPr="0094096C" w:rsidRDefault="0011503F" w:rsidP="00763527">
            <w:pPr>
              <w:pStyle w:val="Liststycke"/>
              <w:ind w:left="0"/>
              <w:rPr>
                <w:rFonts w:ascii="Gill Sans MT" w:hAnsi="Gill Sans MT"/>
                <w:noProof/>
                <w:sz w:val="22"/>
                <w:szCs w:val="22"/>
              </w:rPr>
            </w:pPr>
            <w:r>
              <w:rPr>
                <w:rFonts w:ascii="Gill Sans MT" w:hAnsi="Gill Sans MT"/>
                <w:noProof/>
                <w:sz w:val="22"/>
                <w:szCs w:val="22"/>
              </w:rPr>
              <w:t>90</w:t>
            </w:r>
            <w:r w:rsidR="00763527" w:rsidRPr="0094096C">
              <w:rPr>
                <w:rFonts w:ascii="Gill Sans MT" w:hAnsi="Gill Sans MT"/>
                <w:noProof/>
                <w:sz w:val="22"/>
                <w:szCs w:val="22"/>
              </w:rPr>
              <w:t>%</w:t>
            </w:r>
          </w:p>
        </w:tc>
        <w:tc>
          <w:tcPr>
            <w:tcW w:w="851" w:type="dxa"/>
          </w:tcPr>
          <w:p w:rsidR="00773679" w:rsidRPr="0094096C" w:rsidRDefault="0011503F" w:rsidP="003B6457">
            <w:pPr>
              <w:pStyle w:val="Liststycke"/>
              <w:ind w:left="0"/>
              <w:rPr>
                <w:rFonts w:ascii="Gill Sans MT" w:hAnsi="Gill Sans MT"/>
                <w:noProof/>
                <w:sz w:val="22"/>
                <w:szCs w:val="22"/>
              </w:rPr>
            </w:pPr>
            <w:r>
              <w:rPr>
                <w:rFonts w:ascii="Gill Sans MT" w:hAnsi="Gill Sans MT"/>
                <w:noProof/>
                <w:sz w:val="22"/>
                <w:szCs w:val="22"/>
              </w:rPr>
              <w:t>95</w:t>
            </w:r>
            <w:r w:rsidR="00763527" w:rsidRPr="0094096C">
              <w:rPr>
                <w:rFonts w:ascii="Gill Sans MT" w:hAnsi="Gill Sans MT"/>
                <w:noProof/>
                <w:sz w:val="22"/>
                <w:szCs w:val="22"/>
              </w:rPr>
              <w:t>%</w:t>
            </w:r>
          </w:p>
        </w:tc>
      </w:tr>
      <w:tr w:rsidR="00773679" w:rsidRPr="009B255C" w:rsidTr="004C06F6">
        <w:tc>
          <w:tcPr>
            <w:tcW w:w="1418" w:type="dxa"/>
            <w:vMerge/>
          </w:tcPr>
          <w:p w:rsidR="00773679" w:rsidRPr="00A07D5C" w:rsidRDefault="00773679" w:rsidP="003B6457">
            <w:pPr>
              <w:pStyle w:val="Liststycke"/>
              <w:ind w:left="0"/>
              <w:rPr>
                <w:rFonts w:ascii="Gill Sans MT" w:hAnsi="Gill Sans MT"/>
                <w:sz w:val="22"/>
                <w:szCs w:val="22"/>
              </w:rPr>
            </w:pPr>
          </w:p>
        </w:tc>
        <w:tc>
          <w:tcPr>
            <w:tcW w:w="1985" w:type="dxa"/>
            <w:vMerge/>
          </w:tcPr>
          <w:p w:rsidR="00773679" w:rsidRPr="00A07D5C" w:rsidRDefault="00773679" w:rsidP="003B6457">
            <w:pPr>
              <w:pStyle w:val="Liststycke"/>
              <w:ind w:left="0"/>
              <w:rPr>
                <w:rFonts w:ascii="Gill Sans MT" w:hAnsi="Gill Sans MT"/>
                <w:sz w:val="22"/>
                <w:szCs w:val="22"/>
              </w:rPr>
            </w:pPr>
          </w:p>
        </w:tc>
        <w:tc>
          <w:tcPr>
            <w:tcW w:w="850" w:type="dxa"/>
            <w:vMerge/>
          </w:tcPr>
          <w:p w:rsidR="00773679" w:rsidRPr="006137A7" w:rsidRDefault="00773679" w:rsidP="003B6457">
            <w:pPr>
              <w:pStyle w:val="Liststycke"/>
              <w:ind w:left="0"/>
              <w:rPr>
                <w:rFonts w:ascii="Gill Sans MT" w:hAnsi="Gill Sans MT"/>
                <w:noProof/>
                <w:sz w:val="22"/>
                <w:szCs w:val="22"/>
              </w:rPr>
            </w:pPr>
          </w:p>
        </w:tc>
        <w:tc>
          <w:tcPr>
            <w:tcW w:w="2977" w:type="dxa"/>
          </w:tcPr>
          <w:p w:rsidR="004C06F6" w:rsidRPr="00291465" w:rsidRDefault="004C06F6" w:rsidP="004C06F6">
            <w:pPr>
              <w:rPr>
                <w:rFonts w:ascii="Gill Sans MT" w:hAnsi="Gill Sans MT"/>
                <w:sz w:val="22"/>
                <w:szCs w:val="22"/>
              </w:rPr>
            </w:pPr>
            <w:r w:rsidRPr="00291465">
              <w:rPr>
                <w:rFonts w:ascii="Gill Sans MT" w:hAnsi="Gill Sans MT"/>
                <w:sz w:val="22"/>
                <w:szCs w:val="22"/>
              </w:rPr>
              <w:t>Budget i balans</w:t>
            </w:r>
          </w:p>
          <w:p w:rsidR="00773679" w:rsidRPr="00291465" w:rsidRDefault="00773679" w:rsidP="004C06F6">
            <w:pPr>
              <w:rPr>
                <w:rFonts w:ascii="Gill Sans MT" w:hAnsi="Gill Sans MT"/>
                <w:sz w:val="22"/>
                <w:szCs w:val="22"/>
              </w:rPr>
            </w:pPr>
          </w:p>
        </w:tc>
        <w:tc>
          <w:tcPr>
            <w:tcW w:w="1134" w:type="dxa"/>
          </w:tcPr>
          <w:p w:rsidR="00773679" w:rsidRPr="0094096C" w:rsidRDefault="00763527" w:rsidP="00763527">
            <w:pPr>
              <w:pStyle w:val="Liststycke"/>
              <w:ind w:left="0"/>
              <w:rPr>
                <w:rFonts w:ascii="Gill Sans MT" w:hAnsi="Gill Sans MT"/>
                <w:noProof/>
                <w:sz w:val="22"/>
                <w:szCs w:val="22"/>
              </w:rPr>
            </w:pPr>
            <w:r w:rsidRPr="0094096C">
              <w:rPr>
                <w:rFonts w:ascii="Gill Sans MT" w:hAnsi="Gill Sans MT"/>
                <w:noProof/>
                <w:sz w:val="22"/>
                <w:szCs w:val="22"/>
              </w:rPr>
              <w:t>±0</w:t>
            </w:r>
          </w:p>
        </w:tc>
        <w:tc>
          <w:tcPr>
            <w:tcW w:w="851" w:type="dxa"/>
          </w:tcPr>
          <w:p w:rsidR="00773679" w:rsidRPr="0094096C" w:rsidRDefault="00763527" w:rsidP="003B6457">
            <w:pPr>
              <w:pStyle w:val="Liststycke"/>
              <w:ind w:left="0"/>
              <w:rPr>
                <w:rFonts w:ascii="Gill Sans MT" w:hAnsi="Gill Sans MT"/>
                <w:noProof/>
                <w:sz w:val="22"/>
                <w:szCs w:val="22"/>
              </w:rPr>
            </w:pPr>
            <w:r w:rsidRPr="0094096C">
              <w:rPr>
                <w:rFonts w:ascii="Gill Sans MT" w:hAnsi="Gill Sans MT"/>
                <w:noProof/>
                <w:sz w:val="22"/>
                <w:szCs w:val="22"/>
              </w:rPr>
              <w:t>T2 2014</w:t>
            </w:r>
          </w:p>
          <w:p w:rsidR="00763527" w:rsidRPr="0094096C" w:rsidRDefault="00763527" w:rsidP="003B6457">
            <w:pPr>
              <w:pStyle w:val="Liststycke"/>
              <w:ind w:left="0"/>
              <w:rPr>
                <w:rFonts w:ascii="Gill Sans MT" w:hAnsi="Gill Sans MT"/>
                <w:noProof/>
                <w:sz w:val="22"/>
                <w:szCs w:val="22"/>
              </w:rPr>
            </w:pPr>
            <w:r w:rsidRPr="0094096C">
              <w:rPr>
                <w:rFonts w:ascii="Gill Sans MT" w:hAnsi="Gill Sans MT"/>
                <w:noProof/>
                <w:sz w:val="22"/>
                <w:szCs w:val="22"/>
              </w:rPr>
              <w:t>+</w:t>
            </w:r>
            <w:r w:rsidR="0094096C" w:rsidRPr="0094096C">
              <w:rPr>
                <w:rFonts w:ascii="Gill Sans MT" w:hAnsi="Gill Sans MT"/>
                <w:noProof/>
                <w:sz w:val="22"/>
                <w:szCs w:val="22"/>
              </w:rPr>
              <w:t xml:space="preserve">134 tkr </w:t>
            </w:r>
          </w:p>
        </w:tc>
      </w:tr>
      <w:tr w:rsidR="0047199E" w:rsidRPr="009B255C" w:rsidTr="004C06F6">
        <w:tc>
          <w:tcPr>
            <w:tcW w:w="1418" w:type="dxa"/>
            <w:vMerge/>
          </w:tcPr>
          <w:p w:rsidR="0047199E" w:rsidRPr="00A07D5C" w:rsidRDefault="0047199E" w:rsidP="003B6457">
            <w:pPr>
              <w:pStyle w:val="Liststycke"/>
              <w:ind w:left="0"/>
              <w:rPr>
                <w:rFonts w:ascii="Gill Sans MT" w:hAnsi="Gill Sans MT"/>
                <w:sz w:val="22"/>
                <w:szCs w:val="22"/>
              </w:rPr>
            </w:pPr>
          </w:p>
        </w:tc>
        <w:tc>
          <w:tcPr>
            <w:tcW w:w="1985" w:type="dxa"/>
          </w:tcPr>
          <w:p w:rsidR="0047199E" w:rsidRPr="00A07D5C" w:rsidRDefault="0047199E" w:rsidP="003B6457">
            <w:pPr>
              <w:pStyle w:val="Liststycke"/>
              <w:ind w:left="0"/>
              <w:rPr>
                <w:rFonts w:ascii="Gill Sans MT" w:hAnsi="Gill Sans MT"/>
                <w:sz w:val="22"/>
                <w:szCs w:val="22"/>
              </w:rPr>
            </w:pPr>
            <w:r w:rsidRPr="00A07D5C">
              <w:rPr>
                <w:rFonts w:ascii="Gill Sans MT" w:hAnsi="Gill Sans MT"/>
                <w:sz w:val="22"/>
                <w:szCs w:val="22"/>
              </w:rPr>
              <w:t>Införande av E-tjänster förenklar handläggningen och gör den transparent</w:t>
            </w:r>
          </w:p>
        </w:tc>
        <w:tc>
          <w:tcPr>
            <w:tcW w:w="850" w:type="dxa"/>
          </w:tcPr>
          <w:p w:rsidR="0047199E" w:rsidRPr="009B255C" w:rsidRDefault="0047199E" w:rsidP="003B6457">
            <w:pPr>
              <w:pStyle w:val="Liststycke"/>
              <w:ind w:left="0"/>
              <w:rPr>
                <w:rFonts w:ascii="Gill Sans MT" w:hAnsi="Gill Sans MT"/>
                <w:sz w:val="22"/>
                <w:szCs w:val="22"/>
              </w:rPr>
            </w:pPr>
            <w:r w:rsidRPr="006137A7">
              <w:rPr>
                <w:rFonts w:ascii="Gill Sans MT" w:hAnsi="Gill Sans MT"/>
                <w:noProof/>
                <w:sz w:val="22"/>
                <w:szCs w:val="22"/>
              </w:rPr>
              <w:drawing>
                <wp:inline distT="0" distB="0" distL="0" distR="0" wp14:anchorId="64F6AFE4" wp14:editId="66C6A3A7">
                  <wp:extent cx="619125" cy="523875"/>
                  <wp:effectExtent l="0" t="0" r="9525" b="9525"/>
                  <wp:docPr id="2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19125" cy="523875"/>
                          </a:xfrm>
                          <a:prstGeom prst="rect">
                            <a:avLst/>
                          </a:prstGeom>
                          <a:noFill/>
                          <a:ln w="9525">
                            <a:noFill/>
                            <a:miter lim="800000"/>
                            <a:headEnd/>
                            <a:tailEnd/>
                          </a:ln>
                        </pic:spPr>
                      </pic:pic>
                    </a:graphicData>
                  </a:graphic>
                </wp:inline>
              </w:drawing>
            </w:r>
          </w:p>
        </w:tc>
        <w:tc>
          <w:tcPr>
            <w:tcW w:w="2977" w:type="dxa"/>
          </w:tcPr>
          <w:p w:rsidR="0047199E" w:rsidRPr="00291465" w:rsidRDefault="004C06F6" w:rsidP="003B6457">
            <w:pPr>
              <w:pStyle w:val="Liststycke"/>
              <w:ind w:left="0"/>
              <w:rPr>
                <w:rFonts w:ascii="Gill Sans MT" w:hAnsi="Gill Sans MT"/>
                <w:noProof/>
                <w:sz w:val="22"/>
                <w:szCs w:val="22"/>
              </w:rPr>
            </w:pPr>
            <w:r w:rsidRPr="00291465">
              <w:rPr>
                <w:rFonts w:ascii="Gill Sans MT" w:hAnsi="Gill Sans MT"/>
                <w:sz w:val="22"/>
                <w:szCs w:val="22"/>
              </w:rPr>
              <w:t>Andelen årsräkningar lämnas in elektroniskt</w:t>
            </w:r>
          </w:p>
        </w:tc>
        <w:tc>
          <w:tcPr>
            <w:tcW w:w="1134" w:type="dxa"/>
          </w:tcPr>
          <w:p w:rsidR="0047199E" w:rsidRPr="0094096C" w:rsidRDefault="00763527" w:rsidP="003B6457">
            <w:pPr>
              <w:pStyle w:val="Liststycke"/>
              <w:ind w:left="0"/>
              <w:rPr>
                <w:rFonts w:ascii="Gill Sans MT" w:hAnsi="Gill Sans MT"/>
                <w:noProof/>
                <w:sz w:val="22"/>
                <w:szCs w:val="22"/>
              </w:rPr>
            </w:pPr>
            <w:r w:rsidRPr="0094096C">
              <w:rPr>
                <w:rFonts w:ascii="Gill Sans MT" w:hAnsi="Gill Sans MT"/>
                <w:noProof/>
                <w:sz w:val="22"/>
                <w:szCs w:val="22"/>
              </w:rPr>
              <w:t>20 %</w:t>
            </w:r>
          </w:p>
        </w:tc>
        <w:tc>
          <w:tcPr>
            <w:tcW w:w="851" w:type="dxa"/>
          </w:tcPr>
          <w:p w:rsidR="0047199E" w:rsidRPr="0094096C" w:rsidRDefault="00763527" w:rsidP="003B6457">
            <w:pPr>
              <w:pStyle w:val="Liststycke"/>
              <w:ind w:left="0"/>
              <w:rPr>
                <w:rFonts w:ascii="Gill Sans MT" w:hAnsi="Gill Sans MT"/>
                <w:noProof/>
                <w:sz w:val="22"/>
                <w:szCs w:val="22"/>
              </w:rPr>
            </w:pPr>
            <w:r w:rsidRPr="0094096C">
              <w:rPr>
                <w:rFonts w:ascii="Gill Sans MT" w:hAnsi="Gill Sans MT"/>
                <w:noProof/>
                <w:sz w:val="22"/>
                <w:szCs w:val="22"/>
              </w:rPr>
              <w:t>0</w:t>
            </w:r>
          </w:p>
        </w:tc>
      </w:tr>
    </w:tbl>
    <w:p w:rsidR="00542829" w:rsidRPr="00542829" w:rsidRDefault="00542829" w:rsidP="00542829"/>
    <w:p w:rsidR="00B8239C" w:rsidRPr="00B8239C" w:rsidRDefault="00EB2EA3" w:rsidP="00B8239C">
      <w:pPr>
        <w:rPr>
          <w:szCs w:val="24"/>
        </w:rPr>
      </w:pPr>
      <w:r>
        <w:rPr>
          <w:szCs w:val="24"/>
        </w:rPr>
        <w:t>Nyckeltalet om felfria årsräkningar är omformulerat och målnivån höjd till 85 %. 2014 var formuleringen andelen årsräkningar som granskats utan anmärkning och nivån var 80 %. Skälet till att den nya formuleringen den är enklare och tydligare. Målnivån för andelen gode män som är nöjda med servicen har höjts till 80 %. Den var tidigare 75 %. Målnivån för a</w:t>
      </w:r>
      <w:r w:rsidR="00B8239C" w:rsidRPr="00B8239C">
        <w:rPr>
          <w:szCs w:val="24"/>
        </w:rPr>
        <w:t xml:space="preserve">ndel årsräkningar som är granskade till utgången av juni månad, </w:t>
      </w:r>
      <w:r w:rsidR="009C2C63">
        <w:rPr>
          <w:szCs w:val="24"/>
        </w:rPr>
        <w:t xml:space="preserve">är ändrad från 100 % till 90 %. Det är en mer realistisk </w:t>
      </w:r>
      <w:proofErr w:type="spellStart"/>
      <w:r w:rsidR="009C2C63">
        <w:rPr>
          <w:szCs w:val="24"/>
        </w:rPr>
        <w:t>målnivå</w:t>
      </w:r>
      <w:proofErr w:type="spellEnd"/>
      <w:r>
        <w:rPr>
          <w:szCs w:val="24"/>
        </w:rPr>
        <w:t>, med tanke på att det nya systemet för e-tjänster och ärendehantering införs under 2015. Det är möjligt att nivå ska höjas när systemet är infört och utvecklade granskningsrutiner finns på plats.</w:t>
      </w:r>
    </w:p>
    <w:p w:rsidR="0004530C" w:rsidRPr="00517390" w:rsidRDefault="0004530C" w:rsidP="00517390"/>
    <w:p w:rsidR="0047199E" w:rsidRPr="00773679" w:rsidRDefault="00EB2EA3" w:rsidP="00105FDA">
      <w:pPr>
        <w:pStyle w:val="Rubrik3"/>
        <w:rPr>
          <w:shd w:val="clear" w:color="auto" w:fill="FFFFFF"/>
        </w:rPr>
      </w:pPr>
      <w:r>
        <w:rPr>
          <w:shd w:val="clear" w:color="auto" w:fill="FFFFFF"/>
        </w:rPr>
        <w:t>U</w:t>
      </w:r>
      <w:r w:rsidR="0047199E" w:rsidRPr="00773679">
        <w:rPr>
          <w:shd w:val="clear" w:color="auto" w:fill="FFFFFF"/>
        </w:rPr>
        <w:t>ppföljningsplan internkontroll</w:t>
      </w:r>
      <w:r w:rsidR="00105FDA">
        <w:rPr>
          <w:shd w:val="clear" w:color="auto" w:fill="FFFFFF"/>
        </w:rPr>
        <w:t xml:space="preserve"> </w:t>
      </w:r>
    </w:p>
    <w:p w:rsidR="0004530C" w:rsidRDefault="0004530C" w:rsidP="00517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1"/>
        <w:gridCol w:w="4280"/>
      </w:tblGrid>
      <w:tr w:rsidR="0047199E" w:rsidRPr="00605285" w:rsidTr="00E85588">
        <w:tc>
          <w:tcPr>
            <w:tcW w:w="4269" w:type="dxa"/>
            <w:shd w:val="clear" w:color="auto" w:fill="C0504D" w:themeFill="accent2"/>
          </w:tcPr>
          <w:p w:rsidR="0047199E" w:rsidRPr="0047199E" w:rsidRDefault="0047199E" w:rsidP="003B6457">
            <w:pPr>
              <w:rPr>
                <w:b/>
                <w:color w:val="FFFFFF" w:themeColor="background1"/>
              </w:rPr>
            </w:pPr>
            <w:r w:rsidRPr="0047199E">
              <w:rPr>
                <w:b/>
                <w:color w:val="FFFFFF" w:themeColor="background1"/>
              </w:rPr>
              <w:t>Område</w:t>
            </w:r>
          </w:p>
        </w:tc>
        <w:tc>
          <w:tcPr>
            <w:tcW w:w="4282" w:type="dxa"/>
            <w:shd w:val="clear" w:color="auto" w:fill="C0504D" w:themeFill="accent2"/>
          </w:tcPr>
          <w:p w:rsidR="0047199E" w:rsidRPr="0047199E" w:rsidRDefault="0047199E" w:rsidP="003B6457">
            <w:pPr>
              <w:rPr>
                <w:b/>
                <w:color w:val="FFFFFF" w:themeColor="background1"/>
              </w:rPr>
            </w:pPr>
            <w:r w:rsidRPr="0047199E">
              <w:rPr>
                <w:b/>
                <w:color w:val="FFFFFF" w:themeColor="background1"/>
              </w:rPr>
              <w:t>Tidpunkt/frekvens</w:t>
            </w:r>
          </w:p>
        </w:tc>
      </w:tr>
      <w:tr w:rsidR="0047199E" w:rsidTr="003B6457">
        <w:tc>
          <w:tcPr>
            <w:tcW w:w="4350" w:type="dxa"/>
          </w:tcPr>
          <w:p w:rsidR="0047199E" w:rsidRDefault="0047199E" w:rsidP="003B6457">
            <w:r>
              <w:t>Uppföljning av nyckeltal kopplade till strategiska mål</w:t>
            </w:r>
          </w:p>
        </w:tc>
        <w:tc>
          <w:tcPr>
            <w:tcW w:w="4351" w:type="dxa"/>
          </w:tcPr>
          <w:p w:rsidR="0047199E" w:rsidRDefault="0047199E" w:rsidP="003B6457">
            <w:r>
              <w:t>Bokslut T1, T2 samt årsbokslut</w:t>
            </w:r>
          </w:p>
        </w:tc>
      </w:tr>
      <w:tr w:rsidR="0047199E" w:rsidTr="003B6457">
        <w:tc>
          <w:tcPr>
            <w:tcW w:w="4350" w:type="dxa"/>
          </w:tcPr>
          <w:p w:rsidR="0047199E" w:rsidRDefault="0047199E" w:rsidP="003B6457">
            <w:r>
              <w:t>Ekonomisk uppföljning</w:t>
            </w:r>
          </w:p>
        </w:tc>
        <w:tc>
          <w:tcPr>
            <w:tcW w:w="4351" w:type="dxa"/>
          </w:tcPr>
          <w:p w:rsidR="0047199E" w:rsidRDefault="0047199E" w:rsidP="003B6457">
            <w:r>
              <w:t>Bokslut T1, T2 samt årsbokslut. Därtill månadsbokslut.</w:t>
            </w:r>
          </w:p>
        </w:tc>
      </w:tr>
      <w:tr w:rsidR="0047199E" w:rsidTr="003B6457">
        <w:tc>
          <w:tcPr>
            <w:tcW w:w="4350" w:type="dxa"/>
          </w:tcPr>
          <w:p w:rsidR="0047199E" w:rsidRDefault="0047199E" w:rsidP="003B6457">
            <w:r>
              <w:t>Uppföljning av huvudmäns nöjdhet</w:t>
            </w:r>
          </w:p>
        </w:tc>
        <w:tc>
          <w:tcPr>
            <w:tcW w:w="4351" w:type="dxa"/>
          </w:tcPr>
          <w:p w:rsidR="0047199E" w:rsidRDefault="0047199E" w:rsidP="003B6457">
            <w:r>
              <w:t>Maj - juni.</w:t>
            </w:r>
          </w:p>
        </w:tc>
      </w:tr>
      <w:tr w:rsidR="0047199E" w:rsidTr="003B6457">
        <w:tc>
          <w:tcPr>
            <w:tcW w:w="4350" w:type="dxa"/>
          </w:tcPr>
          <w:p w:rsidR="0047199E" w:rsidRDefault="0047199E" w:rsidP="003B6457">
            <w:r>
              <w:t>Uppföljning av gode mäns nöjdhet</w:t>
            </w:r>
          </w:p>
        </w:tc>
        <w:tc>
          <w:tcPr>
            <w:tcW w:w="4351" w:type="dxa"/>
          </w:tcPr>
          <w:p w:rsidR="0047199E" w:rsidRDefault="0047199E" w:rsidP="003B6457">
            <w:r>
              <w:t>Maj - juni</w:t>
            </w:r>
          </w:p>
          <w:p w:rsidR="0047199E" w:rsidRDefault="0047199E" w:rsidP="003B6457">
            <w:r>
              <w:t>Årligt möte med nämnden</w:t>
            </w:r>
          </w:p>
        </w:tc>
      </w:tr>
      <w:tr w:rsidR="0047199E" w:rsidTr="003B6457">
        <w:tc>
          <w:tcPr>
            <w:tcW w:w="4350" w:type="dxa"/>
          </w:tcPr>
          <w:p w:rsidR="0047199E" w:rsidRDefault="0047199E" w:rsidP="003B6457">
            <w:r>
              <w:t>Uppföljning av statistik som lämnas till länsstyrelsen</w:t>
            </w:r>
          </w:p>
        </w:tc>
        <w:tc>
          <w:tcPr>
            <w:tcW w:w="4351" w:type="dxa"/>
          </w:tcPr>
          <w:p w:rsidR="0047199E" w:rsidRDefault="0047199E" w:rsidP="003B6457">
            <w:r>
              <w:t>Februari</w:t>
            </w:r>
          </w:p>
        </w:tc>
      </w:tr>
      <w:tr w:rsidR="0047199E" w:rsidTr="003B6457">
        <w:tc>
          <w:tcPr>
            <w:tcW w:w="4350" w:type="dxa"/>
          </w:tcPr>
          <w:p w:rsidR="0047199E" w:rsidRDefault="0047199E" w:rsidP="003B6457">
            <w:r>
              <w:t xml:space="preserve">Uppföljning av statistik över antal huvudmän som väntar på att få god man samt önskemål om att byta gode män </w:t>
            </w:r>
          </w:p>
        </w:tc>
        <w:tc>
          <w:tcPr>
            <w:tcW w:w="4351" w:type="dxa"/>
          </w:tcPr>
          <w:p w:rsidR="0047199E" w:rsidRDefault="0047199E" w:rsidP="003B6457">
            <w:r>
              <w:t>I samband med varje sammanträde</w:t>
            </w:r>
          </w:p>
        </w:tc>
      </w:tr>
      <w:tr w:rsidR="0047199E" w:rsidTr="003B6457">
        <w:tc>
          <w:tcPr>
            <w:tcW w:w="4350" w:type="dxa"/>
          </w:tcPr>
          <w:p w:rsidR="0047199E" w:rsidRDefault="0047199E" w:rsidP="003B6457">
            <w:r>
              <w:t>Uppföljning av årsräkningar: antal inkomna, antal påminnelser, vitesförläggande, granskningsläget</w:t>
            </w:r>
          </w:p>
        </w:tc>
        <w:tc>
          <w:tcPr>
            <w:tcW w:w="4351" w:type="dxa"/>
          </w:tcPr>
          <w:p w:rsidR="0047199E" w:rsidRDefault="0047199E" w:rsidP="003B6457">
            <w:r>
              <w:t>Sammanträdena i mars, maj och september samt i förekommande fall vid extra sammanträden.</w:t>
            </w:r>
          </w:p>
        </w:tc>
      </w:tr>
      <w:tr w:rsidR="0047199E" w:rsidTr="003B6457">
        <w:tc>
          <w:tcPr>
            <w:tcW w:w="4350" w:type="dxa"/>
          </w:tcPr>
          <w:p w:rsidR="0047199E" w:rsidRDefault="0047199E" w:rsidP="003B6457">
            <w:r>
              <w:t>Uppföljning ärendebalans</w:t>
            </w:r>
          </w:p>
        </w:tc>
        <w:tc>
          <w:tcPr>
            <w:tcW w:w="4351" w:type="dxa"/>
          </w:tcPr>
          <w:p w:rsidR="0047199E" w:rsidRDefault="0047199E" w:rsidP="003B6457">
            <w:r>
              <w:t>Varje vecka</w:t>
            </w:r>
          </w:p>
        </w:tc>
      </w:tr>
      <w:tr w:rsidR="00E85588" w:rsidTr="003B6457">
        <w:tc>
          <w:tcPr>
            <w:tcW w:w="4350" w:type="dxa"/>
          </w:tcPr>
          <w:p w:rsidR="00E85588" w:rsidRPr="00605285" w:rsidRDefault="00E85588" w:rsidP="003B6457">
            <w:pPr>
              <w:rPr>
                <w:szCs w:val="24"/>
              </w:rPr>
            </w:pPr>
            <w:r>
              <w:rPr>
                <w:szCs w:val="24"/>
              </w:rPr>
              <w:lastRenderedPageBreak/>
              <w:t>Uppföljning av gode männens kunskap och kompetens</w:t>
            </w:r>
          </w:p>
        </w:tc>
        <w:tc>
          <w:tcPr>
            <w:tcW w:w="4351" w:type="dxa"/>
          </w:tcPr>
          <w:p w:rsidR="00E85588" w:rsidRDefault="00E85588" w:rsidP="003B6457">
            <w:r>
              <w:t>Kunskapsprov för nya gode män.</w:t>
            </w:r>
          </w:p>
        </w:tc>
      </w:tr>
      <w:tr w:rsidR="0047199E" w:rsidTr="00E85588">
        <w:tc>
          <w:tcPr>
            <w:tcW w:w="4269" w:type="dxa"/>
          </w:tcPr>
          <w:p w:rsidR="0047199E" w:rsidRDefault="0047199E" w:rsidP="003B6457">
            <w:r w:rsidRPr="00605285">
              <w:rPr>
                <w:szCs w:val="24"/>
              </w:rPr>
              <w:t>Allvarliga fel i hur gode män utför sitt uppdrag</w:t>
            </w:r>
          </w:p>
        </w:tc>
        <w:tc>
          <w:tcPr>
            <w:tcW w:w="4282" w:type="dxa"/>
          </w:tcPr>
          <w:p w:rsidR="0047199E" w:rsidRDefault="0047199E" w:rsidP="003B6457">
            <w:r>
              <w:t>Kontinuerlig uppföljning</w:t>
            </w:r>
          </w:p>
        </w:tc>
      </w:tr>
      <w:tr w:rsidR="0047199E" w:rsidTr="00E85588">
        <w:tc>
          <w:tcPr>
            <w:tcW w:w="4269" w:type="dxa"/>
          </w:tcPr>
          <w:p w:rsidR="0047199E" w:rsidRPr="00605285" w:rsidRDefault="0047199E" w:rsidP="003B6457">
            <w:pPr>
              <w:rPr>
                <w:szCs w:val="24"/>
              </w:rPr>
            </w:pPr>
            <w:r w:rsidRPr="00605285">
              <w:rPr>
                <w:szCs w:val="24"/>
              </w:rPr>
              <w:t>Attestreglemente följs</w:t>
            </w:r>
          </w:p>
        </w:tc>
        <w:tc>
          <w:tcPr>
            <w:tcW w:w="4282" w:type="dxa"/>
          </w:tcPr>
          <w:p w:rsidR="0047199E" w:rsidRDefault="0047199E" w:rsidP="003B6457">
            <w:r>
              <w:t xml:space="preserve">Stickprov </w:t>
            </w:r>
          </w:p>
        </w:tc>
      </w:tr>
    </w:tbl>
    <w:p w:rsidR="0004530C" w:rsidRDefault="0004530C" w:rsidP="00F345BD"/>
    <w:p w:rsidR="00BC7736" w:rsidRDefault="00BC7736" w:rsidP="00F345BD">
      <w:r>
        <w:t>Uppföljningen av gode männens kunskap och kompetens genom kunskapsprov är ett nytt område. Den ersätter ett tidigare område om uppföljning av utbildningstillfällen. Uppföljningen med kunskapsprov är en tydligare och skarpare metod.</w:t>
      </w:r>
    </w:p>
    <w:p w:rsidR="00BC7736" w:rsidRDefault="00BC7736" w:rsidP="00F345BD"/>
    <w:p w:rsidR="00BC7736" w:rsidRDefault="00BC7736" w:rsidP="00F345BD"/>
    <w:p w:rsidR="00BC7736" w:rsidRDefault="00BC7736" w:rsidP="00F345BD">
      <w:r>
        <w:t>STADSLEDNINGSKONTORET</w:t>
      </w:r>
    </w:p>
    <w:p w:rsidR="00291465" w:rsidRDefault="00291465" w:rsidP="00F345BD"/>
    <w:p w:rsidR="00291465" w:rsidRDefault="00291465" w:rsidP="00291465">
      <w:r>
        <w:tab/>
      </w:r>
      <w:r>
        <w:tab/>
      </w:r>
      <w:r>
        <w:tab/>
      </w:r>
      <w:r>
        <w:tab/>
      </w:r>
    </w:p>
    <w:p w:rsidR="00291465" w:rsidRDefault="00291465" w:rsidP="00291465">
      <w:r>
        <w:t>Mats Bohman</w:t>
      </w:r>
      <w:r>
        <w:tab/>
      </w:r>
      <w:r>
        <w:tab/>
      </w:r>
      <w:r>
        <w:tab/>
        <w:t>Ann-Charlotte Oetterli</w:t>
      </w:r>
    </w:p>
    <w:p w:rsidR="00291465" w:rsidRDefault="00291465" w:rsidP="00291465">
      <w:pPr>
        <w:pStyle w:val="FormatmallFre6pt1"/>
        <w:spacing w:before="0"/>
      </w:pPr>
      <w:r>
        <w:t xml:space="preserve">Administrativ direktör </w:t>
      </w:r>
      <w:r>
        <w:tab/>
      </w:r>
      <w:r>
        <w:tab/>
      </w:r>
      <w:r>
        <w:tab/>
        <w:t>Jurist/enhetschef</w:t>
      </w:r>
    </w:p>
    <w:p w:rsidR="00291465" w:rsidRDefault="00291465" w:rsidP="00F345BD"/>
    <w:p w:rsidR="00291465" w:rsidRDefault="00291465" w:rsidP="00F345BD">
      <w:r>
        <w:tab/>
      </w:r>
      <w:r>
        <w:tab/>
      </w:r>
      <w:r>
        <w:tab/>
      </w:r>
    </w:p>
    <w:p w:rsidR="00401768" w:rsidRPr="00401768" w:rsidRDefault="00401768" w:rsidP="00401768"/>
    <w:p w:rsidR="004D3061" w:rsidRDefault="004D3061" w:rsidP="00F345BD">
      <w:bookmarkStart w:id="4" w:name="Start"/>
      <w:bookmarkEnd w:id="4"/>
    </w:p>
    <w:p w:rsidR="003A1D78" w:rsidRDefault="003A1D78" w:rsidP="00F345BD"/>
    <w:p w:rsidR="0004530C" w:rsidRDefault="0004530C" w:rsidP="00F345BD">
      <w:bookmarkStart w:id="5" w:name="Name"/>
    </w:p>
    <w:bookmarkEnd w:id="5"/>
    <w:p w:rsidR="003A1D78" w:rsidRDefault="003A1D78" w:rsidP="00F345BD"/>
    <w:p w:rsidR="00705929" w:rsidRDefault="00705929" w:rsidP="00F345BD">
      <w:bookmarkStart w:id="6" w:name="Department"/>
      <w:bookmarkEnd w:id="6"/>
    </w:p>
    <w:p w:rsidR="008D0494" w:rsidRDefault="008D0494" w:rsidP="00F345BD">
      <w:bookmarkStart w:id="7" w:name="_TempPage"/>
      <w:bookmarkEnd w:id="7"/>
    </w:p>
    <w:sectPr w:rsidR="008D0494" w:rsidSect="002021D4">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457" w:rsidRDefault="003B6457">
      <w:r>
        <w:separator/>
      </w:r>
    </w:p>
  </w:endnote>
  <w:endnote w:type="continuationSeparator" w:id="0">
    <w:p w:rsidR="003B6457" w:rsidRDefault="003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7" w:rsidRDefault="003B6457" w:rsidP="00027B2E">
    <w:pPr>
      <w:pStyle w:val="Sidfot"/>
      <w:rPr>
        <w:szCs w:val="2"/>
      </w:rPr>
    </w:pPr>
  </w:p>
  <w:p w:rsidR="003B6457" w:rsidRDefault="003B6457" w:rsidP="00027B2E">
    <w:pPr>
      <w:pStyle w:val="Sidfot"/>
      <w:rPr>
        <w:szCs w:val="2"/>
      </w:rPr>
    </w:pPr>
  </w:p>
  <w:p w:rsidR="003B6457" w:rsidRDefault="003B6457" w:rsidP="00027B2E">
    <w:pPr>
      <w:pStyle w:val="Sidfot"/>
      <w:rPr>
        <w:szCs w:val="2"/>
      </w:rPr>
    </w:pPr>
  </w:p>
  <w:p w:rsidR="003B6457" w:rsidRPr="00092ADA" w:rsidRDefault="003B6457"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3B6457" w:rsidRPr="00F2400E" w:rsidTr="00D3288C">
      <w:tc>
        <w:tcPr>
          <w:tcW w:w="2031" w:type="dxa"/>
          <w:tcBorders>
            <w:top w:val="single" w:sz="4" w:space="0" w:color="auto"/>
          </w:tcBorders>
          <w:tcMar>
            <w:left w:w="0" w:type="dxa"/>
          </w:tcMar>
        </w:tcPr>
        <w:p w:rsidR="003B6457" w:rsidRPr="00F2400E" w:rsidRDefault="003B6457" w:rsidP="00A77D51">
          <w:pPr>
            <w:pStyle w:val="Sidfot"/>
            <w:rPr>
              <w:caps/>
              <w:sz w:val="9"/>
              <w:szCs w:val="9"/>
            </w:rPr>
          </w:pPr>
          <w:bookmarkStart w:id="11" w:name="LPostalAddr"/>
          <w:r>
            <w:rPr>
              <w:caps/>
              <w:sz w:val="9"/>
              <w:szCs w:val="9"/>
            </w:rPr>
            <w:t>Postadress</w:t>
          </w:r>
          <w:bookmarkEnd w:id="11"/>
        </w:p>
      </w:tc>
      <w:tc>
        <w:tcPr>
          <w:tcW w:w="1958" w:type="dxa"/>
          <w:tcBorders>
            <w:top w:val="single" w:sz="4" w:space="0" w:color="auto"/>
          </w:tcBorders>
        </w:tcPr>
        <w:p w:rsidR="003B6457" w:rsidRPr="00F2400E" w:rsidRDefault="003B6457" w:rsidP="00A77D51">
          <w:pPr>
            <w:pStyle w:val="Sidfot"/>
            <w:rPr>
              <w:caps/>
              <w:sz w:val="9"/>
              <w:szCs w:val="9"/>
            </w:rPr>
          </w:pPr>
          <w:bookmarkStart w:id="12" w:name="LVisitAddr"/>
          <w:r>
            <w:rPr>
              <w:caps/>
              <w:sz w:val="9"/>
              <w:szCs w:val="9"/>
            </w:rPr>
            <w:t>Besöksadress</w:t>
          </w:r>
          <w:bookmarkEnd w:id="12"/>
        </w:p>
      </w:tc>
      <w:tc>
        <w:tcPr>
          <w:tcW w:w="1175" w:type="dxa"/>
          <w:tcBorders>
            <w:top w:val="single" w:sz="4" w:space="0" w:color="auto"/>
          </w:tcBorders>
        </w:tcPr>
        <w:p w:rsidR="003B6457" w:rsidRPr="00F2400E" w:rsidRDefault="003B6457" w:rsidP="00A77D51">
          <w:pPr>
            <w:pStyle w:val="Sidfot"/>
            <w:rPr>
              <w:caps/>
              <w:sz w:val="9"/>
              <w:szCs w:val="9"/>
            </w:rPr>
          </w:pPr>
          <w:bookmarkStart w:id="13" w:name="LPhone"/>
          <w:r>
            <w:rPr>
              <w:caps/>
              <w:sz w:val="9"/>
              <w:szCs w:val="9"/>
            </w:rPr>
            <w:t>Telefon</w:t>
          </w:r>
          <w:bookmarkEnd w:id="13"/>
        </w:p>
      </w:tc>
      <w:tc>
        <w:tcPr>
          <w:tcW w:w="1148" w:type="dxa"/>
          <w:tcBorders>
            <w:top w:val="single" w:sz="4" w:space="0" w:color="auto"/>
          </w:tcBorders>
        </w:tcPr>
        <w:p w:rsidR="003B6457" w:rsidRPr="00F2400E" w:rsidRDefault="003B6457" w:rsidP="00A77D51">
          <w:pPr>
            <w:pStyle w:val="Sidfot"/>
            <w:rPr>
              <w:caps/>
              <w:sz w:val="9"/>
              <w:szCs w:val="9"/>
            </w:rPr>
          </w:pPr>
          <w:bookmarkStart w:id="14" w:name="LEmail"/>
          <w:r>
            <w:rPr>
              <w:caps/>
              <w:sz w:val="9"/>
              <w:szCs w:val="9"/>
            </w:rPr>
            <w:t>E-post</w:t>
          </w:r>
          <w:bookmarkEnd w:id="14"/>
        </w:p>
      </w:tc>
      <w:tc>
        <w:tcPr>
          <w:tcW w:w="718" w:type="dxa"/>
          <w:tcBorders>
            <w:top w:val="single" w:sz="4" w:space="0" w:color="auto"/>
          </w:tcBorders>
        </w:tcPr>
        <w:p w:rsidR="003B6457" w:rsidRPr="00F2400E" w:rsidRDefault="003B6457" w:rsidP="00A77D51">
          <w:pPr>
            <w:pStyle w:val="Sidfot"/>
            <w:rPr>
              <w:caps/>
              <w:sz w:val="9"/>
              <w:szCs w:val="9"/>
            </w:rPr>
          </w:pPr>
          <w:r w:rsidRPr="00F2400E">
            <w:rPr>
              <w:caps/>
              <w:sz w:val="9"/>
              <w:szCs w:val="9"/>
            </w:rPr>
            <w:t>sms</w:t>
          </w:r>
        </w:p>
      </w:tc>
      <w:tc>
        <w:tcPr>
          <w:tcW w:w="1148" w:type="dxa"/>
          <w:tcBorders>
            <w:top w:val="single" w:sz="4" w:space="0" w:color="auto"/>
          </w:tcBorders>
        </w:tcPr>
        <w:p w:rsidR="003B6457" w:rsidRPr="00F2400E" w:rsidRDefault="003B6457"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3B6457" w:rsidRPr="00F2400E" w:rsidRDefault="003B6457" w:rsidP="00A77D51">
          <w:pPr>
            <w:pStyle w:val="Sidfot"/>
            <w:rPr>
              <w:caps/>
              <w:sz w:val="9"/>
              <w:szCs w:val="9"/>
            </w:rPr>
          </w:pPr>
          <w:bookmarkStart w:id="15" w:name="LOrgNo"/>
          <w:r>
            <w:rPr>
              <w:caps/>
              <w:sz w:val="9"/>
              <w:szCs w:val="9"/>
            </w:rPr>
            <w:t>Org</w:t>
          </w:r>
          <w:proofErr w:type="gramStart"/>
          <w:r>
            <w:rPr>
              <w:caps/>
              <w:sz w:val="9"/>
              <w:szCs w:val="9"/>
            </w:rPr>
            <w:t>.nummer</w:t>
          </w:r>
          <w:bookmarkEnd w:id="15"/>
          <w:proofErr w:type="gramEnd"/>
        </w:p>
      </w:tc>
    </w:tr>
    <w:tr w:rsidR="003B6457" w:rsidRPr="00A77D51" w:rsidTr="00D3288C">
      <w:tc>
        <w:tcPr>
          <w:tcW w:w="2031" w:type="dxa"/>
          <w:tcMar>
            <w:left w:w="0" w:type="dxa"/>
          </w:tcMar>
        </w:tcPr>
        <w:p w:rsidR="003B6457" w:rsidRPr="00A77D51" w:rsidRDefault="003B6457" w:rsidP="00F100ED">
          <w:pPr>
            <w:pStyle w:val="Sidfot"/>
            <w:spacing w:line="180" w:lineRule="exact"/>
            <w:rPr>
              <w:szCs w:val="14"/>
            </w:rPr>
          </w:pPr>
          <w:r w:rsidRPr="00A77D51">
            <w:rPr>
              <w:szCs w:val="14"/>
            </w:rPr>
            <w:t>Nacka kommun</w:t>
          </w:r>
          <w:bookmarkStart w:id="16" w:name="LCountryPrefix"/>
          <w:r>
            <w:rPr>
              <w:szCs w:val="14"/>
            </w:rPr>
            <w:t>,</w:t>
          </w:r>
          <w:bookmarkEnd w:id="16"/>
          <w:r>
            <w:rPr>
              <w:szCs w:val="14"/>
            </w:rPr>
            <w:t xml:space="preserve"> </w:t>
          </w:r>
          <w:r w:rsidRPr="00A77D51">
            <w:rPr>
              <w:szCs w:val="14"/>
            </w:rPr>
            <w:t>131 81 Nacka</w:t>
          </w:r>
          <w:bookmarkStart w:id="17" w:name="Country"/>
          <w:bookmarkEnd w:id="17"/>
        </w:p>
      </w:tc>
      <w:tc>
        <w:tcPr>
          <w:tcW w:w="1958" w:type="dxa"/>
        </w:tcPr>
        <w:p w:rsidR="003B6457" w:rsidRPr="00A77D51" w:rsidRDefault="003B6457" w:rsidP="00A77D51">
          <w:pPr>
            <w:pStyle w:val="Sidfot"/>
            <w:spacing w:line="180" w:lineRule="exact"/>
            <w:rPr>
              <w:szCs w:val="14"/>
            </w:rPr>
          </w:pPr>
          <w:r>
            <w:rPr>
              <w:szCs w:val="14"/>
            </w:rPr>
            <w:t>Stadshuset, Granitvägen 15</w:t>
          </w:r>
        </w:p>
      </w:tc>
      <w:tc>
        <w:tcPr>
          <w:tcW w:w="1175" w:type="dxa"/>
        </w:tcPr>
        <w:p w:rsidR="003B6457" w:rsidRPr="00A77D51" w:rsidRDefault="003B6457" w:rsidP="00092ADA">
          <w:pPr>
            <w:pStyle w:val="Sidfot"/>
            <w:spacing w:line="180" w:lineRule="exact"/>
            <w:rPr>
              <w:szCs w:val="14"/>
            </w:rPr>
          </w:pPr>
          <w:bookmarkStart w:id="18" w:name="PhoneMain"/>
          <w:r>
            <w:rPr>
              <w:szCs w:val="14"/>
            </w:rPr>
            <w:t>08-718 80 00</w:t>
          </w:r>
          <w:bookmarkEnd w:id="18"/>
        </w:p>
      </w:tc>
      <w:tc>
        <w:tcPr>
          <w:tcW w:w="1148" w:type="dxa"/>
        </w:tcPr>
        <w:p w:rsidR="003B6457" w:rsidRPr="00A77D51" w:rsidRDefault="003B6457" w:rsidP="00A77D51">
          <w:pPr>
            <w:pStyle w:val="Sidfot"/>
            <w:spacing w:line="180" w:lineRule="exact"/>
            <w:rPr>
              <w:szCs w:val="14"/>
            </w:rPr>
          </w:pPr>
          <w:r>
            <w:rPr>
              <w:szCs w:val="14"/>
            </w:rPr>
            <w:t>info@nacka.se</w:t>
          </w:r>
        </w:p>
      </w:tc>
      <w:tc>
        <w:tcPr>
          <w:tcW w:w="718" w:type="dxa"/>
        </w:tcPr>
        <w:p w:rsidR="003B6457" w:rsidRPr="00A77D51" w:rsidRDefault="003B6457" w:rsidP="00F40797">
          <w:pPr>
            <w:pStyle w:val="Sidfot"/>
            <w:spacing w:line="180" w:lineRule="exact"/>
            <w:rPr>
              <w:szCs w:val="14"/>
            </w:rPr>
          </w:pPr>
          <w:r>
            <w:rPr>
              <w:szCs w:val="14"/>
            </w:rPr>
            <w:t>716 80</w:t>
          </w:r>
        </w:p>
      </w:tc>
      <w:tc>
        <w:tcPr>
          <w:tcW w:w="1148" w:type="dxa"/>
        </w:tcPr>
        <w:p w:rsidR="003B6457" w:rsidRPr="00A77D51" w:rsidRDefault="003B6457" w:rsidP="00A77D51">
          <w:pPr>
            <w:pStyle w:val="Sidfot"/>
            <w:spacing w:line="180" w:lineRule="exact"/>
            <w:rPr>
              <w:szCs w:val="14"/>
            </w:rPr>
          </w:pPr>
          <w:r>
            <w:rPr>
              <w:szCs w:val="14"/>
            </w:rPr>
            <w:t>www.nacka.se</w:t>
          </w:r>
        </w:p>
      </w:tc>
      <w:tc>
        <w:tcPr>
          <w:tcW w:w="1291" w:type="dxa"/>
        </w:tcPr>
        <w:p w:rsidR="003B6457" w:rsidRDefault="003B6457" w:rsidP="00A77D51">
          <w:pPr>
            <w:pStyle w:val="Sidfot"/>
            <w:spacing w:line="180" w:lineRule="exact"/>
            <w:rPr>
              <w:szCs w:val="14"/>
            </w:rPr>
          </w:pPr>
          <w:bookmarkStart w:id="19" w:name="OrgNo"/>
          <w:r>
            <w:rPr>
              <w:szCs w:val="14"/>
            </w:rPr>
            <w:t>212000-0167</w:t>
          </w:r>
          <w:bookmarkEnd w:id="19"/>
        </w:p>
      </w:tc>
    </w:tr>
  </w:tbl>
  <w:p w:rsidR="003B6457" w:rsidRPr="009D06AF" w:rsidRDefault="003B6457"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457" w:rsidRDefault="003B6457">
      <w:r>
        <w:separator/>
      </w:r>
    </w:p>
  </w:footnote>
  <w:footnote w:type="continuationSeparator" w:id="0">
    <w:p w:rsidR="003B6457" w:rsidRDefault="003B6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7" w:rsidRPr="009D06AF" w:rsidRDefault="003B6457" w:rsidP="009D06AF">
    <w:pPr>
      <w:pStyle w:val="Sidhuvud"/>
      <w:rPr>
        <w:sz w:val="18"/>
        <w:szCs w:val="18"/>
      </w:rPr>
    </w:pPr>
    <w:r w:rsidRPr="0004530C">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515053">
      <w:rPr>
        <w:noProof/>
        <w:sz w:val="18"/>
        <w:szCs w:val="18"/>
      </w:rPr>
      <w:t>4</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515053">
      <w:rPr>
        <w:noProof/>
        <w:sz w:val="18"/>
        <w:szCs w:val="18"/>
      </w:rPr>
      <w:t>4</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7" w:rsidRPr="003F70FC" w:rsidRDefault="003B6457" w:rsidP="00804A71">
    <w:pPr>
      <w:pStyle w:val="Sidhuvud"/>
      <w:rPr>
        <w:sz w:val="18"/>
        <w:szCs w:val="18"/>
      </w:rPr>
    </w:pPr>
    <w:r w:rsidRPr="0004530C">
      <w:rPr>
        <w:noProof/>
        <w:sz w:val="18"/>
        <w:szCs w:val="18"/>
      </w:rPr>
      <w:drawing>
        <wp:anchor distT="0" distB="0" distL="114300" distR="114300" simplePos="0" relativeHeight="251658240" behindDoc="0" locked="1" layoutInCell="1" allowOverlap="1" wp14:anchorId="07DEE109" wp14:editId="0C6BD882">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515053">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515053">
      <w:rPr>
        <w:noProof/>
        <w:sz w:val="18"/>
        <w:szCs w:val="18"/>
      </w:rPr>
      <w:t>4</w:t>
    </w:r>
    <w:r w:rsidRPr="003F70FC">
      <w:rPr>
        <w:sz w:val="18"/>
        <w:szCs w:val="18"/>
      </w:rPr>
      <w:fldChar w:fldCharType="end"/>
    </w:r>
    <w:r w:rsidRPr="003F70FC">
      <w:rPr>
        <w:sz w:val="18"/>
        <w:szCs w:val="18"/>
      </w:rPr>
      <w:t>)</w:t>
    </w:r>
  </w:p>
  <w:p w:rsidR="003B6457" w:rsidRDefault="003B6457" w:rsidP="003F70FC">
    <w:pPr>
      <w:pStyle w:val="Sidhuvud"/>
      <w:tabs>
        <w:tab w:val="clear" w:pos="4706"/>
        <w:tab w:val="left" w:pos="5670"/>
      </w:tabs>
      <w:rPr>
        <w:rFonts w:ascii="Garamond" w:hAnsi="Garamond"/>
      </w:rPr>
    </w:pPr>
    <w:r w:rsidRPr="00884A53">
      <w:rPr>
        <w:rFonts w:ascii="Garamond" w:hAnsi="Garamond"/>
      </w:rPr>
      <w:tab/>
    </w:r>
    <w:bookmarkStart w:id="8" w:name="Date"/>
    <w:r>
      <w:rPr>
        <w:rFonts w:ascii="Garamond" w:hAnsi="Garamond"/>
      </w:rPr>
      <w:t>2014-12-</w:t>
    </w:r>
    <w:bookmarkEnd w:id="8"/>
    <w:r>
      <w:rPr>
        <w:rFonts w:ascii="Garamond" w:hAnsi="Garamond"/>
      </w:rPr>
      <w:t>11</w:t>
    </w:r>
  </w:p>
  <w:p w:rsidR="003B6457" w:rsidRDefault="003B6457" w:rsidP="003F70FC">
    <w:pPr>
      <w:pStyle w:val="Sidhuvud"/>
      <w:tabs>
        <w:tab w:val="clear" w:pos="4706"/>
        <w:tab w:val="left" w:pos="5670"/>
      </w:tabs>
      <w:rPr>
        <w:rFonts w:ascii="Garamond" w:hAnsi="Garamond"/>
      </w:rPr>
    </w:pPr>
  </w:p>
  <w:p w:rsidR="003B6457" w:rsidRPr="005F2037" w:rsidRDefault="003B6457" w:rsidP="005F2037">
    <w:pPr>
      <w:pStyle w:val="Sidhuvud"/>
      <w:tabs>
        <w:tab w:val="clear" w:pos="4706"/>
        <w:tab w:val="left" w:pos="5670"/>
      </w:tabs>
      <w:rPr>
        <w:szCs w:val="24"/>
      </w:rPr>
    </w:pPr>
    <w:r w:rsidRPr="005F2037">
      <w:rPr>
        <w:szCs w:val="24"/>
      </w:rPr>
      <w:tab/>
    </w:r>
    <w:bookmarkStart w:id="9" w:name="DocumentType"/>
    <w:r>
      <w:rPr>
        <w:szCs w:val="24"/>
      </w:rPr>
      <w:t>TJÄNSTESKRIVELSE</w:t>
    </w:r>
    <w:bookmarkEnd w:id="9"/>
  </w:p>
  <w:p w:rsidR="003B6457" w:rsidRDefault="003B6457" w:rsidP="003F70FC">
    <w:pPr>
      <w:pStyle w:val="Sidhuvud"/>
      <w:tabs>
        <w:tab w:val="clear" w:pos="4706"/>
        <w:tab w:val="left" w:pos="5670"/>
      </w:tabs>
      <w:rPr>
        <w:rFonts w:ascii="Garamond" w:hAnsi="Garamond"/>
      </w:rPr>
    </w:pPr>
    <w:r>
      <w:rPr>
        <w:rFonts w:ascii="Garamond" w:hAnsi="Garamond"/>
      </w:rPr>
      <w:tab/>
      <w:t>ÖFN 2014/29-041</w:t>
    </w:r>
  </w:p>
  <w:p w:rsidR="003B6457" w:rsidRDefault="003B6457" w:rsidP="003F70FC">
    <w:pPr>
      <w:pStyle w:val="Sidhuvud"/>
      <w:tabs>
        <w:tab w:val="clear" w:pos="4706"/>
        <w:tab w:val="left" w:pos="5670"/>
      </w:tabs>
      <w:rPr>
        <w:rFonts w:ascii="Garamond" w:hAnsi="Garamond"/>
      </w:rPr>
    </w:pPr>
    <w:r>
      <w:rPr>
        <w:rFonts w:ascii="Garamond" w:hAnsi="Garamond"/>
      </w:rPr>
      <w:tab/>
    </w:r>
    <w:bookmarkStart w:id="10" w:name="Department1"/>
    <w:bookmarkEnd w:id="10"/>
  </w:p>
  <w:p w:rsidR="003B6457" w:rsidRDefault="003B6457" w:rsidP="003F70FC">
    <w:pPr>
      <w:pStyle w:val="Sidhuvud"/>
      <w:tabs>
        <w:tab w:val="clear" w:pos="4706"/>
        <w:tab w:val="left" w:pos="5670"/>
      </w:tabs>
      <w:rPr>
        <w:rFonts w:ascii="Garamond" w:hAnsi="Garamond"/>
      </w:rPr>
    </w:pPr>
  </w:p>
  <w:p w:rsidR="003B6457" w:rsidRDefault="003B6457" w:rsidP="003F70FC">
    <w:pPr>
      <w:pStyle w:val="Sidhuvud"/>
      <w:tabs>
        <w:tab w:val="clear" w:pos="4706"/>
        <w:tab w:val="left" w:pos="5670"/>
      </w:tabs>
      <w:rPr>
        <w:rFonts w:ascii="Garamond" w:hAnsi="Garamond"/>
      </w:rPr>
    </w:pPr>
  </w:p>
  <w:p w:rsidR="003B6457" w:rsidRPr="00884A53" w:rsidRDefault="003B6457"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96825"/>
    <w:multiLevelType w:val="hybridMultilevel"/>
    <w:tmpl w:val="47388828"/>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A"/>
    <w:docVar w:name="Logo" w:val="Black"/>
  </w:docVars>
  <w:rsids>
    <w:rsidRoot w:val="0004530C"/>
    <w:rsid w:val="00027B2E"/>
    <w:rsid w:val="00027F18"/>
    <w:rsid w:val="00036013"/>
    <w:rsid w:val="00043BED"/>
    <w:rsid w:val="0004530C"/>
    <w:rsid w:val="000469BC"/>
    <w:rsid w:val="0004791E"/>
    <w:rsid w:val="000571C4"/>
    <w:rsid w:val="000616A9"/>
    <w:rsid w:val="00067C54"/>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5FDA"/>
    <w:rsid w:val="00107932"/>
    <w:rsid w:val="00114FD2"/>
    <w:rsid w:val="00114FEA"/>
    <w:rsid w:val="0011503F"/>
    <w:rsid w:val="00116121"/>
    <w:rsid w:val="001162A2"/>
    <w:rsid w:val="00116F7C"/>
    <w:rsid w:val="001218B9"/>
    <w:rsid w:val="00132693"/>
    <w:rsid w:val="001427EA"/>
    <w:rsid w:val="00142A1E"/>
    <w:rsid w:val="00143993"/>
    <w:rsid w:val="001543E6"/>
    <w:rsid w:val="00155683"/>
    <w:rsid w:val="00157663"/>
    <w:rsid w:val="001668D7"/>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C1519"/>
    <w:rsid w:val="001D1235"/>
    <w:rsid w:val="001F3AF9"/>
    <w:rsid w:val="001F681B"/>
    <w:rsid w:val="002021D4"/>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91465"/>
    <w:rsid w:val="002B57D3"/>
    <w:rsid w:val="002C1483"/>
    <w:rsid w:val="002F2DA7"/>
    <w:rsid w:val="00303227"/>
    <w:rsid w:val="00311E0B"/>
    <w:rsid w:val="0031790E"/>
    <w:rsid w:val="003372B9"/>
    <w:rsid w:val="0035461D"/>
    <w:rsid w:val="00363292"/>
    <w:rsid w:val="00372C51"/>
    <w:rsid w:val="00373BA9"/>
    <w:rsid w:val="00383696"/>
    <w:rsid w:val="00383F5F"/>
    <w:rsid w:val="00387EE9"/>
    <w:rsid w:val="00397B89"/>
    <w:rsid w:val="003A005C"/>
    <w:rsid w:val="003A1D78"/>
    <w:rsid w:val="003B5C6D"/>
    <w:rsid w:val="003B6457"/>
    <w:rsid w:val="003C78B9"/>
    <w:rsid w:val="003F4EF1"/>
    <w:rsid w:val="003F70FC"/>
    <w:rsid w:val="00401768"/>
    <w:rsid w:val="00407E0B"/>
    <w:rsid w:val="00435510"/>
    <w:rsid w:val="00453A5D"/>
    <w:rsid w:val="00460FD4"/>
    <w:rsid w:val="00461524"/>
    <w:rsid w:val="0047199E"/>
    <w:rsid w:val="0047657A"/>
    <w:rsid w:val="00481A9B"/>
    <w:rsid w:val="004B6BD5"/>
    <w:rsid w:val="004B7319"/>
    <w:rsid w:val="004C06F6"/>
    <w:rsid w:val="004C4DAF"/>
    <w:rsid w:val="004C6E47"/>
    <w:rsid w:val="004D1FEA"/>
    <w:rsid w:val="004D3061"/>
    <w:rsid w:val="004F1766"/>
    <w:rsid w:val="004F4DBE"/>
    <w:rsid w:val="00505FF7"/>
    <w:rsid w:val="00515053"/>
    <w:rsid w:val="00517390"/>
    <w:rsid w:val="00523D53"/>
    <w:rsid w:val="00530101"/>
    <w:rsid w:val="00533385"/>
    <w:rsid w:val="00535819"/>
    <w:rsid w:val="00542829"/>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E1382"/>
    <w:rsid w:val="005E3C24"/>
    <w:rsid w:val="005E428E"/>
    <w:rsid w:val="005F2037"/>
    <w:rsid w:val="0060220D"/>
    <w:rsid w:val="00603BD4"/>
    <w:rsid w:val="0062322E"/>
    <w:rsid w:val="00625E04"/>
    <w:rsid w:val="006342EE"/>
    <w:rsid w:val="0063507F"/>
    <w:rsid w:val="00635477"/>
    <w:rsid w:val="00642FDB"/>
    <w:rsid w:val="00662239"/>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63527"/>
    <w:rsid w:val="0076486C"/>
    <w:rsid w:val="00772CE1"/>
    <w:rsid w:val="00773212"/>
    <w:rsid w:val="00773679"/>
    <w:rsid w:val="007736BC"/>
    <w:rsid w:val="00790567"/>
    <w:rsid w:val="007A33E8"/>
    <w:rsid w:val="007B1489"/>
    <w:rsid w:val="007C3DDB"/>
    <w:rsid w:val="007C6DAD"/>
    <w:rsid w:val="007D564D"/>
    <w:rsid w:val="007D6239"/>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494"/>
    <w:rsid w:val="008D049C"/>
    <w:rsid w:val="008D0D8C"/>
    <w:rsid w:val="008D352A"/>
    <w:rsid w:val="008D79D6"/>
    <w:rsid w:val="00904704"/>
    <w:rsid w:val="009154B0"/>
    <w:rsid w:val="00924F41"/>
    <w:rsid w:val="00934DAC"/>
    <w:rsid w:val="00934EF0"/>
    <w:rsid w:val="00936C2B"/>
    <w:rsid w:val="0094096C"/>
    <w:rsid w:val="00944F2C"/>
    <w:rsid w:val="00945809"/>
    <w:rsid w:val="00953473"/>
    <w:rsid w:val="00955C20"/>
    <w:rsid w:val="00955C53"/>
    <w:rsid w:val="00965B94"/>
    <w:rsid w:val="0097176C"/>
    <w:rsid w:val="00977357"/>
    <w:rsid w:val="0098084F"/>
    <w:rsid w:val="00992C20"/>
    <w:rsid w:val="009A17FD"/>
    <w:rsid w:val="009A2128"/>
    <w:rsid w:val="009C2C63"/>
    <w:rsid w:val="009C31AA"/>
    <w:rsid w:val="009C45DC"/>
    <w:rsid w:val="009D06AF"/>
    <w:rsid w:val="009D3A82"/>
    <w:rsid w:val="009E1E31"/>
    <w:rsid w:val="009F20C4"/>
    <w:rsid w:val="009F60BE"/>
    <w:rsid w:val="00A07C93"/>
    <w:rsid w:val="00A1382A"/>
    <w:rsid w:val="00A23FAC"/>
    <w:rsid w:val="00A32829"/>
    <w:rsid w:val="00A35062"/>
    <w:rsid w:val="00A457C5"/>
    <w:rsid w:val="00A501BA"/>
    <w:rsid w:val="00A5504A"/>
    <w:rsid w:val="00A75932"/>
    <w:rsid w:val="00A77D51"/>
    <w:rsid w:val="00A92018"/>
    <w:rsid w:val="00A93E4A"/>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104C3"/>
    <w:rsid w:val="00B11DCB"/>
    <w:rsid w:val="00B179A6"/>
    <w:rsid w:val="00B45753"/>
    <w:rsid w:val="00B505DE"/>
    <w:rsid w:val="00B51DCA"/>
    <w:rsid w:val="00B53EBF"/>
    <w:rsid w:val="00B57618"/>
    <w:rsid w:val="00B62D01"/>
    <w:rsid w:val="00B7378E"/>
    <w:rsid w:val="00B76004"/>
    <w:rsid w:val="00B82258"/>
    <w:rsid w:val="00B8239C"/>
    <w:rsid w:val="00B8780D"/>
    <w:rsid w:val="00B93928"/>
    <w:rsid w:val="00BA2452"/>
    <w:rsid w:val="00BA4742"/>
    <w:rsid w:val="00BB39F6"/>
    <w:rsid w:val="00BB54A0"/>
    <w:rsid w:val="00BC019B"/>
    <w:rsid w:val="00BC165B"/>
    <w:rsid w:val="00BC2E02"/>
    <w:rsid w:val="00BC7736"/>
    <w:rsid w:val="00BD3A2F"/>
    <w:rsid w:val="00BD7155"/>
    <w:rsid w:val="00BE1791"/>
    <w:rsid w:val="00BE24F7"/>
    <w:rsid w:val="00BF590A"/>
    <w:rsid w:val="00C02339"/>
    <w:rsid w:val="00C02F30"/>
    <w:rsid w:val="00C10D3F"/>
    <w:rsid w:val="00C2670D"/>
    <w:rsid w:val="00C26E84"/>
    <w:rsid w:val="00C37F6E"/>
    <w:rsid w:val="00C41158"/>
    <w:rsid w:val="00C4543A"/>
    <w:rsid w:val="00C734D0"/>
    <w:rsid w:val="00C7519C"/>
    <w:rsid w:val="00C92819"/>
    <w:rsid w:val="00C95EDF"/>
    <w:rsid w:val="00CA2C71"/>
    <w:rsid w:val="00CA4014"/>
    <w:rsid w:val="00CA5458"/>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7806"/>
    <w:rsid w:val="00E74110"/>
    <w:rsid w:val="00E76808"/>
    <w:rsid w:val="00E8019C"/>
    <w:rsid w:val="00E85588"/>
    <w:rsid w:val="00EA3B4F"/>
    <w:rsid w:val="00EB2EA3"/>
    <w:rsid w:val="00EB3616"/>
    <w:rsid w:val="00EC48EC"/>
    <w:rsid w:val="00EC6E03"/>
    <w:rsid w:val="00ED14EE"/>
    <w:rsid w:val="00ED32EB"/>
    <w:rsid w:val="00ED691F"/>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6CCD"/>
    <w:rsid w:val="00F94A36"/>
    <w:rsid w:val="00FA027D"/>
    <w:rsid w:val="00FC22B6"/>
    <w:rsid w:val="00FC4933"/>
    <w:rsid w:val="00FD4680"/>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EE5AF877-47F9-42E0-95AF-DD7E5320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link w:val="Rubrik4Char"/>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character" w:customStyle="1" w:styleId="Rubrik4Char">
    <w:name w:val="Rubrik 4 Char"/>
    <w:basedOn w:val="Standardstycketeckensnitt"/>
    <w:link w:val="Rubrik4"/>
    <w:rsid w:val="007C3DDB"/>
    <w:rPr>
      <w:rFonts w:ascii="Garamond" w:hAnsi="Garamond"/>
      <w:b/>
      <w:sz w:val="24"/>
      <w:szCs w:val="24"/>
    </w:rPr>
  </w:style>
  <w:style w:type="paragraph" w:styleId="Liststycke">
    <w:name w:val="List Paragraph"/>
    <w:basedOn w:val="Normal"/>
    <w:uiPriority w:val="34"/>
    <w:qFormat/>
    <w:rsid w:val="00662239"/>
    <w:pPr>
      <w:ind w:left="720"/>
      <w:contextualSpacing/>
    </w:pPr>
  </w:style>
  <w:style w:type="paragraph" w:customStyle="1" w:styleId="FormatmallFre6pt1">
    <w:name w:val="Formatmall Före:  6 pt1"/>
    <w:basedOn w:val="Normal"/>
    <w:link w:val="FormatmallFre6pt1Char"/>
    <w:rsid w:val="00291465"/>
    <w:pPr>
      <w:spacing w:before="120" w:line="240" w:lineRule="auto"/>
    </w:pPr>
    <w:rPr>
      <w:rFonts w:ascii="Times New Roman" w:hAnsi="Times New Roman"/>
    </w:rPr>
  </w:style>
  <w:style w:type="character" w:customStyle="1" w:styleId="FormatmallFre6pt1Char">
    <w:name w:val="Formatmall Före:  6 pt1 Char"/>
    <w:basedOn w:val="Standardstycketeckensnitt"/>
    <w:link w:val="FormatmallFre6pt1"/>
    <w:rsid w:val="0029146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CFA6-EC38-40DB-8519-9D8912F9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TotalTime>
  <Pages>4</Pages>
  <Words>704</Words>
  <Characters>4237</Characters>
  <Application>Microsoft Office Word</Application>
  <DocSecurity>0</DocSecurity>
  <Lines>35</Lines>
  <Paragraphs>9</Paragraphs>
  <ScaleCrop>false</ScaleCrop>
  <HeadingPairs>
    <vt:vector size="2" baseType="variant">
      <vt:variant>
        <vt:lpstr>Rubrik</vt:lpstr>
      </vt:variant>
      <vt:variant>
        <vt:i4>1</vt:i4>
      </vt:variant>
    </vt:vector>
  </HeadingPairs>
  <TitlesOfParts>
    <vt:vector size="1" baseType="lpstr">
      <vt:lpstr>Intern budget</vt:lpstr>
    </vt:vector>
  </TitlesOfParts>
  <Company>Nacka kommun</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budget</dc:title>
  <dc:creator>mro</dc:creator>
  <cp:lastModifiedBy>Rajala Anneli</cp:lastModifiedBy>
  <cp:revision>2</cp:revision>
  <cp:lastPrinted>2014-12-03T07:11:00Z</cp:lastPrinted>
  <dcterms:created xsi:type="dcterms:W3CDTF">2014-12-04T08:03:00Z</dcterms:created>
  <dcterms:modified xsi:type="dcterms:W3CDTF">2014-12-04T08:03:00Z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