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6710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C06710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2015-11-26</w:t>
            </w:r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6710" w:rsidP="0052316A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Default="00A27BAC" w:rsidP="00A27BAC">
            <w:pPr>
              <w:rPr>
                <w:szCs w:val="24"/>
              </w:rPr>
            </w:pPr>
            <w:bookmarkStart w:id="3" w:name="Start"/>
            <w:bookmarkEnd w:id="3"/>
            <w:r>
              <w:rPr>
                <w:szCs w:val="24"/>
              </w:rPr>
              <w:t>M</w:t>
            </w:r>
            <w:r w:rsidRPr="000A51FA">
              <w:rPr>
                <w:szCs w:val="24"/>
              </w:rPr>
              <w:t>ats Granath</w:t>
            </w:r>
            <w:r>
              <w:rPr>
                <w:szCs w:val="24"/>
              </w:rPr>
              <w:t xml:space="preserve"> (FP)</w:t>
            </w:r>
            <w:r w:rsidRPr="000A51FA">
              <w:rPr>
                <w:szCs w:val="24"/>
              </w:rPr>
              <w:t xml:space="preserve"> ordförande</w:t>
            </w:r>
            <w:r>
              <w:rPr>
                <w:szCs w:val="24"/>
              </w:rPr>
              <w:t xml:space="preserve">, </w:t>
            </w:r>
            <w:r w:rsidRPr="00A27BAC">
              <w:rPr>
                <w:szCs w:val="24"/>
              </w:rPr>
              <w:t>Dominique Faymonville</w:t>
            </w:r>
            <w:r>
              <w:rPr>
                <w:szCs w:val="24"/>
              </w:rPr>
              <w:t xml:space="preserve"> (M)</w:t>
            </w:r>
            <w:r w:rsidRPr="00A27BAC">
              <w:rPr>
                <w:szCs w:val="24"/>
              </w:rPr>
              <w:t xml:space="preserve"> 1.e vice </w:t>
            </w:r>
            <w:proofErr w:type="spellStart"/>
            <w:r w:rsidRPr="00A27BAC">
              <w:rPr>
                <w:szCs w:val="24"/>
              </w:rPr>
              <w:t>ordf</w:t>
            </w:r>
            <w:proofErr w:type="spellEnd"/>
            <w:r w:rsidRPr="00A27BAC">
              <w:rPr>
                <w:szCs w:val="24"/>
              </w:rPr>
              <w:t>, Pascal Fall</w:t>
            </w:r>
            <w:r>
              <w:rPr>
                <w:szCs w:val="24"/>
              </w:rPr>
              <w:t xml:space="preserve"> (MP)</w:t>
            </w:r>
            <w:r w:rsidRPr="00A27BAC">
              <w:rPr>
                <w:szCs w:val="24"/>
              </w:rPr>
              <w:t xml:space="preserve"> 2:e vice </w:t>
            </w:r>
            <w:proofErr w:type="spellStart"/>
            <w:r w:rsidRPr="00A27BAC">
              <w:rPr>
                <w:szCs w:val="24"/>
              </w:rPr>
              <w:t>ordf</w:t>
            </w:r>
            <w:proofErr w:type="spellEnd"/>
            <w:r w:rsidRPr="00A27BAC">
              <w:rPr>
                <w:szCs w:val="24"/>
              </w:rPr>
              <w:t xml:space="preserve">, </w:t>
            </w:r>
            <w:r w:rsidRPr="000A51FA">
              <w:rPr>
                <w:szCs w:val="24"/>
              </w:rPr>
              <w:t>Adrienne Teleki</w:t>
            </w:r>
            <w:r>
              <w:rPr>
                <w:szCs w:val="24"/>
              </w:rPr>
              <w:t xml:space="preserve"> (M), </w:t>
            </w:r>
            <w:r w:rsidRPr="000A51FA">
              <w:rPr>
                <w:szCs w:val="24"/>
              </w:rPr>
              <w:t>Elisabeth Därth</w:t>
            </w:r>
            <w:r>
              <w:rPr>
                <w:szCs w:val="24"/>
              </w:rPr>
              <w:t xml:space="preserve"> (KD), Jamil Jumaa (V).</w:t>
            </w:r>
          </w:p>
          <w:p w:rsidR="00A27BAC" w:rsidRPr="00A45B5D" w:rsidRDefault="00A27BAC" w:rsidP="00A27BAC">
            <w:pPr>
              <w:rPr>
                <w:bCs/>
                <w:szCs w:val="22"/>
                <w:lang w:eastAsia="en-US"/>
              </w:rPr>
            </w:pPr>
            <w:r>
              <w:rPr>
                <w:szCs w:val="24"/>
              </w:rPr>
              <w:t>Elisabeth Carle personaldirektör, Jessica Röök och Tove Löfgren förändringsledare</w:t>
            </w:r>
            <w:r w:rsidR="00837421">
              <w:rPr>
                <w:szCs w:val="24"/>
              </w:rPr>
              <w:t xml:space="preserve"> förnyelseenheten.</w:t>
            </w:r>
          </w:p>
        </w:tc>
      </w:tr>
    </w:tbl>
    <w:p w:rsidR="00C06710" w:rsidRDefault="00C06710" w:rsidP="00C06710">
      <w:pPr>
        <w:pStyle w:val="Rubrik2"/>
      </w:pPr>
      <w:r>
        <w:t>Deltagande i nätverk för barns- och ungas rättigheter</w:t>
      </w:r>
    </w:p>
    <w:p w:rsidR="00C06710" w:rsidRDefault="00C06710" w:rsidP="00C06710">
      <w:r>
        <w:t>Mångfaldskommittén diskuterar förslagen i tjänsteskrivelsen för överenskommelse om medverkan i Regionalt nätverk för barns och ungas rättigheter.</w:t>
      </w:r>
      <w:r w:rsidR="00837421">
        <w:t xml:space="preserve"> </w:t>
      </w:r>
      <w:r>
        <w:t>Förslaget går ut på att anta överenskommelsen om medverkan i regionalt nätverk för barns- och ungas rättigheter 2016-2019. Ordförande i mångfaldskommittén, med vic</w:t>
      </w:r>
      <w:bookmarkStart w:id="4" w:name="_GoBack"/>
      <w:bookmarkEnd w:id="4"/>
      <w:r>
        <w:t>e ordförande som ersättare, föreslås representera Nacka kommun i nätverket. Ärendet kommer att hanteras under december i kommunstyrelsen. Mångfaldskommittén ställer sig bakom förslagen i tjänsteskrivelsen.</w:t>
      </w:r>
      <w:r w:rsidR="002E2DEA">
        <w:t xml:space="preserve"> Nätverket kommer, om beslut om medverkan fattas, träffas i Nacka den 15 mars.</w:t>
      </w:r>
    </w:p>
    <w:p w:rsidR="00C06710" w:rsidRDefault="00C06710" w:rsidP="00C06710"/>
    <w:p w:rsidR="00C06710" w:rsidRDefault="00C06710" w:rsidP="00C06710">
      <w:r>
        <w:t>Diskussion om vilka andra nätverk som kan vara av intresse för mångfaldskommittén</w:t>
      </w:r>
      <w:r w:rsidR="0072076D">
        <w:t xml:space="preserve"> att följa</w:t>
      </w:r>
      <w:r w:rsidR="00837421">
        <w:t>. En inventering av</w:t>
      </w:r>
      <w:r>
        <w:t xml:space="preserve"> vilka andra nätverk som finns kommer att göras </w:t>
      </w:r>
      <w:r w:rsidR="00837421">
        <w:t>under våren.</w:t>
      </w:r>
    </w:p>
    <w:p w:rsidR="0072076D" w:rsidRDefault="0072076D" w:rsidP="00C06710"/>
    <w:p w:rsidR="00C06710" w:rsidRDefault="00837421" w:rsidP="00C06710">
      <w:pPr>
        <w:pStyle w:val="Rubrik2"/>
      </w:pPr>
      <w:r>
        <w:t>Utbildning mångfald</w:t>
      </w:r>
    </w:p>
    <w:p w:rsidR="00C06710" w:rsidRDefault="0072076D" w:rsidP="00C06710">
      <w:r>
        <w:t xml:space="preserve">Mångfaldskommittén påbörjade vid förra mötet utbildning via mångfaldsfilmer från </w:t>
      </w:r>
      <w:proofErr w:type="spellStart"/>
      <w:r>
        <w:t>Diversity</w:t>
      </w:r>
      <w:proofErr w:type="spellEnd"/>
      <w:r>
        <w:t xml:space="preserve"> Group. </w:t>
      </w:r>
      <w:r w:rsidR="00C06710">
        <w:t>Alla i k</w:t>
      </w:r>
      <w:r>
        <w:t xml:space="preserve">ommittén vill bli diplomerade. </w:t>
      </w:r>
      <w:r w:rsidR="00C06710">
        <w:t>Elisabeth Carle</w:t>
      </w:r>
      <w:r w:rsidR="00837421">
        <w:t>, personaldirektör,</w:t>
      </w:r>
      <w:r w:rsidR="00C06710">
        <w:t xml:space="preserve"> skickar ut info </w:t>
      </w:r>
      <w:r>
        <w:t xml:space="preserve">till alla deltagare i kommittén med länk till </w:t>
      </w:r>
      <w:r w:rsidR="00837421">
        <w:t>utbildnings</w:t>
      </w:r>
      <w:r>
        <w:t>filmer</w:t>
      </w:r>
      <w:r w:rsidR="00837421">
        <w:t>na</w:t>
      </w:r>
      <w:r>
        <w:t xml:space="preserve">. </w:t>
      </w:r>
    </w:p>
    <w:p w:rsidR="00C06710" w:rsidRDefault="00C06710" w:rsidP="00C06710"/>
    <w:p w:rsidR="00C06710" w:rsidRDefault="00C06710" w:rsidP="00C06710">
      <w:pPr>
        <w:pStyle w:val="Rubrik2"/>
      </w:pPr>
      <w:r>
        <w:t>Strategiskt mångfaldsarbete</w:t>
      </w:r>
      <w:r w:rsidR="00837421">
        <w:t xml:space="preserve"> under 2016</w:t>
      </w:r>
    </w:p>
    <w:p w:rsidR="00837421" w:rsidRPr="00837421" w:rsidRDefault="00C06710" w:rsidP="00837421">
      <w:r>
        <w:t xml:space="preserve">Kommunfullmäktige beslutade </w:t>
      </w:r>
      <w:r w:rsidR="00837421">
        <w:t xml:space="preserve">under november </w:t>
      </w:r>
      <w:r>
        <w:t xml:space="preserve">att en strategi för mångfald </w:t>
      </w:r>
      <w:r w:rsidR="0048131B">
        <w:t xml:space="preserve">ska </w:t>
      </w:r>
      <w:r>
        <w:t>tas fram under 2016. Tjänstemännen har tagit fram ett förslag för process för det strategiska mångfaldsarbetet</w:t>
      </w:r>
      <w:r w:rsidR="00837421">
        <w:t xml:space="preserve"> under nästa år</w:t>
      </w:r>
      <w:r>
        <w:t xml:space="preserve">. Diskussion kring hur strategin ska förhålla sig till visionen öppenhet och </w:t>
      </w:r>
      <w:r w:rsidRPr="00837421">
        <w:t>mångfald.</w:t>
      </w:r>
      <w:r w:rsidR="00837421" w:rsidRPr="00837421">
        <w:t xml:space="preserve"> Ett alternativ som nämndes var att strategin benämns som</w:t>
      </w:r>
      <w:r w:rsidRPr="00837421">
        <w:t xml:space="preserve"> </w:t>
      </w:r>
      <w:r w:rsidR="00837421">
        <w:t>s</w:t>
      </w:r>
      <w:r w:rsidRPr="00837421">
        <w:t>trategi för social mångfald</w:t>
      </w:r>
      <w:r w:rsidR="00837421" w:rsidRPr="00837421">
        <w:t xml:space="preserve">. </w:t>
      </w:r>
      <w:r w:rsidR="00837421">
        <w:t>Upplåtelseformer</w:t>
      </w:r>
      <w:r w:rsidR="00837421" w:rsidRPr="00837421">
        <w:t xml:space="preserve"> och utbud även för att stödja social mångfald. </w:t>
      </w:r>
    </w:p>
    <w:p w:rsidR="0048131B" w:rsidRPr="00837421" w:rsidRDefault="0048131B" w:rsidP="0048131B"/>
    <w:p w:rsidR="00C06710" w:rsidRDefault="00837421" w:rsidP="00C06710">
      <w:r>
        <w:t xml:space="preserve">Tjänstemännen arbetar vidare med </w:t>
      </w:r>
      <w:r w:rsidR="00C06710">
        <w:t>processen</w:t>
      </w:r>
      <w:r>
        <w:t xml:space="preserve"> för det strategiska mångfaldsarbetet</w:t>
      </w:r>
      <w:r w:rsidR="00C06710">
        <w:t xml:space="preserve">, vem </w:t>
      </w:r>
      <w:proofErr w:type="gramStart"/>
      <w:r w:rsidR="00C06710">
        <w:t>gör</w:t>
      </w:r>
      <w:proofErr w:type="gramEnd"/>
      <w:r w:rsidR="00C06710">
        <w:t xml:space="preserve"> vad,</w:t>
      </w:r>
      <w:r>
        <w:t xml:space="preserve"> ansvar,</w:t>
      </w:r>
      <w:r w:rsidR="00C06710">
        <w:t xml:space="preserve"> tider m.m. </w:t>
      </w:r>
      <w:r>
        <w:t>Ett förslag till tema för nästa möte är omvärldsanalys.</w:t>
      </w:r>
    </w:p>
    <w:p w:rsidR="00C06710" w:rsidRDefault="00C06710" w:rsidP="00C06710"/>
    <w:p w:rsidR="00C06710" w:rsidRDefault="00C06710" w:rsidP="00C06710">
      <w:r>
        <w:rPr>
          <w:noProof/>
        </w:rPr>
        <w:drawing>
          <wp:inline distT="0" distB="0" distL="0" distR="0" wp14:anchorId="41F3DE56" wp14:editId="43A55119">
            <wp:extent cx="5591175" cy="2948074"/>
            <wp:effectExtent l="0" t="0" r="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80" cy="295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10" w:rsidRDefault="00C06710" w:rsidP="00C06710">
      <w:pPr>
        <w:pStyle w:val="Rubrik2"/>
      </w:pPr>
      <w:r>
        <w:t>Hållba</w:t>
      </w:r>
      <w:r w:rsidR="002E2DEA">
        <w:t>rt medarbetarengagemang i Nacka</w:t>
      </w:r>
    </w:p>
    <w:p w:rsidR="00C06710" w:rsidRDefault="00C06710" w:rsidP="00C06710">
      <w:r>
        <w:t>Elisabeth Carle, personaldirektör, redovisade statistik för bland annat medarbetarengagemang per kön och resultat för medarbetarundersökningen 2015. Nacka ligger bra i jämförelse med andra kommuner i Stockholm län och alla kommuner. I totalen har kvinnor</w:t>
      </w:r>
      <w:r w:rsidR="00837421">
        <w:t xml:space="preserve"> i Nacka högre lön än män, 2 %. </w:t>
      </w:r>
      <w:r>
        <w:t>Antal medarbetare med utländsk b</w:t>
      </w:r>
      <w:r w:rsidR="00837421">
        <w:t xml:space="preserve">akgrund ökar för varje år. Personalprocessen arbetar vidare med bryta ned och analysera statistik på olika områden. </w:t>
      </w:r>
    </w:p>
    <w:p w:rsidR="00C06710" w:rsidRDefault="00C06710" w:rsidP="00C06710"/>
    <w:p w:rsidR="00C06710" w:rsidRDefault="00A27BAC" w:rsidP="00A27BAC">
      <w:pPr>
        <w:pStyle w:val="Rubrik2"/>
      </w:pPr>
      <w:r>
        <w:t>Mångfaldskommitténs handlingsplan</w:t>
      </w:r>
    </w:p>
    <w:p w:rsidR="00C06710" w:rsidRDefault="00837421" w:rsidP="00C06710">
      <w:r>
        <w:t>Ärendet om mångfaldskommitténs handlingsplan l</w:t>
      </w:r>
      <w:r w:rsidR="00A27BAC">
        <w:t xml:space="preserve">ämnas in till kommunstyrelsen </w:t>
      </w:r>
      <w:r>
        <w:t xml:space="preserve">för att </w:t>
      </w:r>
      <w:r w:rsidR="00A27BAC">
        <w:t>hante</w:t>
      </w:r>
      <w:r w:rsidR="0072076D">
        <w:t>ras i kommunstyrelsens arbetsutskott 15 december och kommunstyrelsen</w:t>
      </w:r>
      <w:r>
        <w:t xml:space="preserve"> den</w:t>
      </w:r>
      <w:r w:rsidR="0072076D">
        <w:t xml:space="preserve"> 11</w:t>
      </w:r>
      <w:r w:rsidR="00A27BAC">
        <w:t xml:space="preserve"> januari. </w:t>
      </w:r>
    </w:p>
    <w:p w:rsidR="00A27BAC" w:rsidRDefault="00A27BAC" w:rsidP="00C06710"/>
    <w:p w:rsidR="007A3CBB" w:rsidRDefault="002E2DEA" w:rsidP="002E2DEA">
      <w:pPr>
        <w:pStyle w:val="Rubrik2"/>
      </w:pPr>
      <w:r>
        <w:t>Möten</w:t>
      </w:r>
      <w:r w:rsidR="00A27BAC">
        <w:t xml:space="preserve"> 2016</w:t>
      </w:r>
    </w:p>
    <w:p w:rsidR="00A27BAC" w:rsidRDefault="00A27BAC" w:rsidP="00F345BD">
      <w:r>
        <w:t xml:space="preserve">26 januari kl. 15.15, tjänstemän tar fram förslag för resterande möten. </w:t>
      </w:r>
    </w:p>
    <w:p w:rsidR="00A27BAC" w:rsidRDefault="00A27BAC" w:rsidP="00F345BD"/>
    <w:p w:rsidR="00183FAF" w:rsidRDefault="00183FAF" w:rsidP="00F345BD">
      <w:r>
        <w:t>Förslag på teman under 2016:</w:t>
      </w:r>
    </w:p>
    <w:p w:rsidR="00C06710" w:rsidRDefault="0072076D" w:rsidP="00183FAF">
      <w:pPr>
        <w:pStyle w:val="Liststycke"/>
        <w:numPr>
          <w:ilvl w:val="0"/>
          <w:numId w:val="2"/>
        </w:numPr>
      </w:pPr>
      <w:bookmarkStart w:id="5" w:name="Secretary"/>
      <w:r>
        <w:t xml:space="preserve">Under våren vill kommittén besöka Guds hus i Fisksätra. </w:t>
      </w:r>
    </w:p>
    <w:p w:rsidR="0072076D" w:rsidRDefault="0072076D" w:rsidP="00183FAF">
      <w:pPr>
        <w:pStyle w:val="Liststycke"/>
        <w:numPr>
          <w:ilvl w:val="0"/>
          <w:numId w:val="2"/>
        </w:numPr>
      </w:pPr>
      <w:r>
        <w:t xml:space="preserve">Våldsbejakande extremism, hur jobbar kommunen med det? </w:t>
      </w:r>
      <w:r w:rsidR="00837421">
        <w:t>Kommittén vill b</w:t>
      </w:r>
      <w:r>
        <w:t xml:space="preserve">juda </w:t>
      </w:r>
      <w:r w:rsidR="0048131B">
        <w:t>in BRÅ för dialog tillsammans med ungdomar som kontaktat Pascal</w:t>
      </w:r>
      <w:r w:rsidR="00837421">
        <w:t xml:space="preserve"> Fall</w:t>
      </w:r>
      <w:r w:rsidR="0048131B">
        <w:t xml:space="preserve">. </w:t>
      </w:r>
      <w:r w:rsidR="00837421">
        <w:t>Förslagsvis under f</w:t>
      </w:r>
      <w:r w:rsidR="0048131B">
        <w:t xml:space="preserve">ebruari. </w:t>
      </w:r>
    </w:p>
    <w:p w:rsidR="002E2DEA" w:rsidRDefault="002E2DEA" w:rsidP="002E2DEA"/>
    <w:p w:rsidR="002E2DEA" w:rsidRDefault="002E2DEA" w:rsidP="002E2DEA"/>
    <w:p w:rsidR="002E2DEA" w:rsidRDefault="002E2DEA" w:rsidP="002E2DEA"/>
    <w:p w:rsidR="00C06710" w:rsidRDefault="00C06710" w:rsidP="00F345BD">
      <w:r>
        <w:t>Vid protokollet</w:t>
      </w:r>
    </w:p>
    <w:p w:rsidR="00370DED" w:rsidRDefault="00C06710" w:rsidP="00F345BD">
      <w:bookmarkStart w:id="6" w:name="Name"/>
      <w:bookmarkEnd w:id="5"/>
      <w:r>
        <w:t>Tove Löfgren</w:t>
      </w:r>
      <w:bookmarkEnd w:id="6"/>
      <w:r w:rsidR="00A27BAC">
        <w:t>, Jessica Röök och Elisabeth Carle</w:t>
      </w:r>
      <w:bookmarkStart w:id="7" w:name="_TempPage"/>
      <w:bookmarkEnd w:id="7"/>
    </w:p>
    <w:sectPr w:rsidR="00370DED" w:rsidSect="002E2DEA">
      <w:headerReference w:type="default" r:id="rId9"/>
      <w:headerReference w:type="first" r:id="rId10"/>
      <w:footerReference w:type="first" r:id="rId11"/>
      <w:pgSz w:w="11906" w:h="16838" w:code="9"/>
      <w:pgMar w:top="2381" w:right="1956" w:bottom="426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710" w:rsidRDefault="00C06710">
      <w:r>
        <w:separator/>
      </w:r>
    </w:p>
  </w:endnote>
  <w:endnote w:type="continuationSeparator" w:id="0">
    <w:p w:rsidR="00C06710" w:rsidRDefault="00C0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6710" w:rsidP="00A77D51">
          <w:pPr>
            <w:pStyle w:val="Sidfot"/>
            <w:rPr>
              <w:caps/>
              <w:sz w:val="9"/>
              <w:szCs w:val="9"/>
            </w:rPr>
          </w:pPr>
          <w:bookmarkStart w:id="8" w:name="LPostalAddr"/>
          <w:r>
            <w:rPr>
              <w:caps/>
              <w:sz w:val="9"/>
              <w:szCs w:val="9"/>
            </w:rPr>
            <w:t>Postadress</w:t>
          </w:r>
          <w:bookmarkEnd w:id="8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6710" w:rsidP="00A77D51">
          <w:pPr>
            <w:pStyle w:val="Sidfot"/>
            <w:rPr>
              <w:caps/>
              <w:sz w:val="9"/>
              <w:szCs w:val="9"/>
            </w:rPr>
          </w:pPr>
          <w:bookmarkStart w:id="9" w:name="LVisitAddr"/>
          <w:r>
            <w:rPr>
              <w:caps/>
              <w:sz w:val="9"/>
              <w:szCs w:val="9"/>
            </w:rPr>
            <w:t>Besöksadress</w:t>
          </w:r>
          <w:bookmarkEnd w:id="9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6710" w:rsidP="00A77D51">
          <w:pPr>
            <w:pStyle w:val="Sidfot"/>
            <w:rPr>
              <w:caps/>
              <w:sz w:val="9"/>
              <w:szCs w:val="9"/>
            </w:rPr>
          </w:pPr>
          <w:bookmarkStart w:id="10" w:name="LPhone"/>
          <w:r>
            <w:rPr>
              <w:caps/>
              <w:sz w:val="9"/>
              <w:szCs w:val="9"/>
            </w:rPr>
            <w:t>Telefon</w:t>
          </w:r>
          <w:bookmarkEnd w:id="10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6710" w:rsidP="00A77D51">
          <w:pPr>
            <w:pStyle w:val="Sidfot"/>
            <w:rPr>
              <w:caps/>
              <w:sz w:val="9"/>
              <w:szCs w:val="9"/>
            </w:rPr>
          </w:pPr>
          <w:bookmarkStart w:id="11" w:name="LEmail"/>
          <w:r>
            <w:rPr>
              <w:caps/>
              <w:sz w:val="9"/>
              <w:szCs w:val="9"/>
            </w:rPr>
            <w:t>E-post</w:t>
          </w:r>
          <w:bookmarkEnd w:id="11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6710" w:rsidP="00A77D51">
          <w:pPr>
            <w:pStyle w:val="Sidfot"/>
            <w:rPr>
              <w:caps/>
              <w:sz w:val="9"/>
              <w:szCs w:val="9"/>
            </w:rPr>
          </w:pPr>
          <w:bookmarkStart w:id="12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2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3" w:name="LCountryPrefix"/>
          <w:r w:rsidR="00C06710">
            <w:rPr>
              <w:szCs w:val="14"/>
            </w:rPr>
            <w:t>,</w:t>
          </w:r>
          <w:bookmarkEnd w:id="13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4" w:name="Country"/>
          <w:bookmarkEnd w:id="14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6710" w:rsidP="00092ADA">
          <w:pPr>
            <w:pStyle w:val="Sidfot"/>
            <w:spacing w:line="180" w:lineRule="exact"/>
            <w:rPr>
              <w:szCs w:val="14"/>
            </w:rPr>
          </w:pPr>
          <w:bookmarkStart w:id="15" w:name="PhoneMain"/>
          <w:r>
            <w:rPr>
              <w:szCs w:val="14"/>
            </w:rPr>
            <w:t>08-718 80 00</w:t>
          </w:r>
          <w:bookmarkEnd w:id="15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6710" w:rsidP="00A77D51">
          <w:pPr>
            <w:pStyle w:val="Sidfot"/>
            <w:spacing w:line="180" w:lineRule="exact"/>
            <w:rPr>
              <w:szCs w:val="14"/>
            </w:rPr>
          </w:pPr>
          <w:bookmarkStart w:id="16" w:name="OrgNo"/>
          <w:r>
            <w:rPr>
              <w:szCs w:val="14"/>
            </w:rPr>
            <w:t>212000-0167</w:t>
          </w:r>
          <w:bookmarkEnd w:id="16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710" w:rsidRDefault="00C06710">
      <w:r>
        <w:separator/>
      </w:r>
    </w:p>
  </w:footnote>
  <w:footnote w:type="continuationSeparator" w:id="0">
    <w:p w:rsidR="00C06710" w:rsidRDefault="00C06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6710" w:rsidP="009D06AF">
    <w:pPr>
      <w:pStyle w:val="Sidhuvud"/>
      <w:rPr>
        <w:sz w:val="18"/>
        <w:szCs w:val="18"/>
      </w:rPr>
    </w:pPr>
    <w:r w:rsidRPr="00C06710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4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FA01E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FA01E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6710" w:rsidP="00804A71">
    <w:pPr>
      <w:pStyle w:val="Sidhuvud"/>
      <w:rPr>
        <w:sz w:val="18"/>
        <w:szCs w:val="18"/>
      </w:rPr>
    </w:pPr>
    <w:r w:rsidRPr="00C06710">
      <w:rPr>
        <w:noProof/>
        <w:sz w:val="18"/>
        <w:szCs w:val="18"/>
      </w:rPr>
      <w:drawing>
        <wp:anchor distT="0" distB="0" distL="114300" distR="114300" simplePos="0" relativeHeight="251658752" behindDoc="0" locked="1" layoutInCell="1" allowOverlap="1" wp14:anchorId="218EC5FE" wp14:editId="7D4E6289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5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FA01EF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FA01EF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837421">
    <w:pPr>
      <w:pStyle w:val="Sidhuvud"/>
      <w:tabs>
        <w:tab w:val="clear" w:pos="4706"/>
        <w:tab w:val="left" w:pos="4253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C06710">
      <w:rPr>
        <w:b/>
        <w:spacing w:val="-30"/>
        <w:kern w:val="57"/>
        <w:sz w:val="57"/>
        <w:szCs w:val="57"/>
      </w:rPr>
      <w:t>Minnesanteckning</w:t>
    </w:r>
    <w:r w:rsidR="00837421">
      <w:rPr>
        <w:b/>
        <w:spacing w:val="-30"/>
        <w:kern w:val="57"/>
        <w:sz w:val="57"/>
        <w:szCs w:val="57"/>
      </w:rPr>
      <w:t>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02338C2"/>
    <w:multiLevelType w:val="hybridMultilevel"/>
    <w:tmpl w:val="BC1855C2"/>
    <w:lvl w:ilvl="0" w:tplc="1BE47D5C">
      <w:start w:val="2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6710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87E28"/>
    <w:rsid w:val="00092ADA"/>
    <w:rsid w:val="000A03C5"/>
    <w:rsid w:val="000A11ED"/>
    <w:rsid w:val="000B5FFE"/>
    <w:rsid w:val="000C052E"/>
    <w:rsid w:val="000D032E"/>
    <w:rsid w:val="000D10ED"/>
    <w:rsid w:val="000D3930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758D"/>
    <w:rsid w:val="0018075F"/>
    <w:rsid w:val="001825DD"/>
    <w:rsid w:val="00183FAF"/>
    <w:rsid w:val="00187739"/>
    <w:rsid w:val="00196319"/>
    <w:rsid w:val="00196924"/>
    <w:rsid w:val="001A1733"/>
    <w:rsid w:val="001A356B"/>
    <w:rsid w:val="001A6211"/>
    <w:rsid w:val="001A7D88"/>
    <w:rsid w:val="001C01E7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2030"/>
    <w:rsid w:val="002841C0"/>
    <w:rsid w:val="00290DCA"/>
    <w:rsid w:val="002B57D3"/>
    <w:rsid w:val="002C1483"/>
    <w:rsid w:val="002D4E73"/>
    <w:rsid w:val="002E2DEA"/>
    <w:rsid w:val="002E7D9B"/>
    <w:rsid w:val="002F2DA7"/>
    <w:rsid w:val="003100D9"/>
    <w:rsid w:val="00311E0B"/>
    <w:rsid w:val="00332E6B"/>
    <w:rsid w:val="003372B9"/>
    <w:rsid w:val="0035461D"/>
    <w:rsid w:val="00370DED"/>
    <w:rsid w:val="00372C51"/>
    <w:rsid w:val="00383F5F"/>
    <w:rsid w:val="00387EE9"/>
    <w:rsid w:val="00397B89"/>
    <w:rsid w:val="003C78B9"/>
    <w:rsid w:val="003F4EF1"/>
    <w:rsid w:val="003F70FC"/>
    <w:rsid w:val="00407E0B"/>
    <w:rsid w:val="00453A5D"/>
    <w:rsid w:val="00461524"/>
    <w:rsid w:val="0048131B"/>
    <w:rsid w:val="00481A9B"/>
    <w:rsid w:val="004A32C0"/>
    <w:rsid w:val="004B6BD5"/>
    <w:rsid w:val="004B7319"/>
    <w:rsid w:val="004C4DAF"/>
    <w:rsid w:val="004C57C5"/>
    <w:rsid w:val="004D1FEA"/>
    <w:rsid w:val="004D3061"/>
    <w:rsid w:val="004F1766"/>
    <w:rsid w:val="004F4DBE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60220D"/>
    <w:rsid w:val="00622E8E"/>
    <w:rsid w:val="0062322E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4B54"/>
    <w:rsid w:val="006A5A50"/>
    <w:rsid w:val="006A5BB7"/>
    <w:rsid w:val="006A7580"/>
    <w:rsid w:val="006B5EC3"/>
    <w:rsid w:val="006C153E"/>
    <w:rsid w:val="006D6DF7"/>
    <w:rsid w:val="006F0FC7"/>
    <w:rsid w:val="007122C6"/>
    <w:rsid w:val="0072076D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A71"/>
    <w:rsid w:val="00805572"/>
    <w:rsid w:val="00820BB2"/>
    <w:rsid w:val="00826889"/>
    <w:rsid w:val="0083566B"/>
    <w:rsid w:val="00835756"/>
    <w:rsid w:val="00837421"/>
    <w:rsid w:val="00843F47"/>
    <w:rsid w:val="00865D8C"/>
    <w:rsid w:val="00875691"/>
    <w:rsid w:val="00884A53"/>
    <w:rsid w:val="00893AE4"/>
    <w:rsid w:val="00893CBB"/>
    <w:rsid w:val="008C10C1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27BAC"/>
    <w:rsid w:val="00A3282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06710"/>
    <w:rsid w:val="00C24260"/>
    <w:rsid w:val="00C2670D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7157C"/>
    <w:rsid w:val="00D732D6"/>
    <w:rsid w:val="00D74E88"/>
    <w:rsid w:val="00D822B5"/>
    <w:rsid w:val="00D87D0C"/>
    <w:rsid w:val="00DB5508"/>
    <w:rsid w:val="00DD1884"/>
    <w:rsid w:val="00DF627B"/>
    <w:rsid w:val="00DF7D7F"/>
    <w:rsid w:val="00E038E6"/>
    <w:rsid w:val="00E058A1"/>
    <w:rsid w:val="00E14421"/>
    <w:rsid w:val="00E15880"/>
    <w:rsid w:val="00E24AEF"/>
    <w:rsid w:val="00E31FB1"/>
    <w:rsid w:val="00E4267F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F1989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7D7B"/>
    <w:rsid w:val="00FA01EF"/>
    <w:rsid w:val="00FA027D"/>
    <w:rsid w:val="00FB3A39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44A759A8-5C5E-45A5-BD42-697797EF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C06710"/>
    <w:rPr>
      <w:rFonts w:ascii="Gill Sans MT" w:hAnsi="Gill Sans MT"/>
      <w:b/>
      <w:sz w:val="32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C06710"/>
    <w:rPr>
      <w:rFonts w:ascii="Gill Sans MT" w:hAnsi="Gill Sans MT"/>
      <w:b/>
      <w:sz w:val="28"/>
    </w:rPr>
  </w:style>
  <w:style w:type="paragraph" w:styleId="Liststycke">
    <w:name w:val="List Paragraph"/>
    <w:basedOn w:val="Normal"/>
    <w:uiPriority w:val="34"/>
    <w:rsid w:val="0018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5DF77-DC66-4289-95A7-3EC25D35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2</Pages>
  <Words>431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2</cp:revision>
  <cp:lastPrinted>2011-01-21T09:33:00Z</cp:lastPrinted>
  <dcterms:created xsi:type="dcterms:W3CDTF">2015-12-04T12:31:00Z</dcterms:created>
  <dcterms:modified xsi:type="dcterms:W3CDTF">2015-12-04T12:31:00Z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