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harmonic complexity, dissonance, and rate of change, analyzing temporal patterns through phrase-level segmentation using actual rest boundaries. We identify three distinct improvisational strategies and introduce two measures: </w:t>
      </w:r>
      <w:r>
        <w:rPr>
          <w:rFonts w:ascii="Times New Roman" w:hAnsi="Times New Roman"/>
          <w:i/>
          <w:sz w:val="20"/>
        </w:rPr>
        <w:t>gravity</w:t>
      </w:r>
      <w:r>
        <w:rPr>
          <w:rFonts w:ascii="Times New Roman" w:hAnsi="Times New Roman"/>
          <w:sz w:val="20"/>
        </w:rPr>
        <w:t xml:space="preserve">, the extent to which one harmonic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 given interval vector contains.</w:t>
      </w:r>
    </w:p>
    <w:p>
      <w:pPr>
        <w:spacing w:before="0" w:after="0"/>
        <w:jc w:val="both"/>
      </w:pPr>
    </w:p>
    <w:p>
      <w:pPr>
        <w:spacing w:before="0" w:after="0"/>
        <w:ind w:firstLine="720"/>
        <w:jc w:val="both"/>
      </w:pPr>
      <w:r>
        <w:rPr>
          <w:rFonts w:ascii="Times New Roman" w:hAnsi="Times New Roman"/>
          <w:sz w:val="20"/>
        </w:rPr>
        <w:t xml:space="preserve">In most performances, what Parker played in one phrase does not help predict the next: in 80.4% of solos, dissonance carries no predictive information about the complexity that follows, or the reverse. Phrase-to-phrase reaction is therefore the exception, and organization above the phrase, at the level of the chorus, appears to be the rule. Clustering the solos on their complexity, variability and predictability yields three groups that differ in exactly this respect: the group we call Exploratory shows almost no phrase-to-phrase prediction (3.6%), the Balanced group a moderate amount (11.0%), and the Contrasting group organizes itself through phrase duration instead (23.1%). Where prediction does hold, it runs more often from dissonance to subsequent complexity than the </w:t>
      </w:r>
      <w:r>
        <w:rPr>
          <w:rFonts w:ascii="Times New Roman" w:hAnsi="Times New Roman"/>
          <w:sz w:val="20"/>
        </w:rPr>
        <w:t>reverse (17.4% versus 8.7%), though this difference is suggestive rather than conclusive (</w:t>
      </w:r>
      <w:r>
        <w:rPr>
          <w:rFonts w:ascii="Times New Roman" w:hAnsi="Times New Roman"/>
          <w:i/>
          <w:sz w:val="20"/>
        </w:rPr>
        <w:t>p</w:t>
      </w:r>
      <w:r>
        <w:rPr>
          <w:rFonts w:ascii="Times New Roman" w:hAnsi="Times New Roman"/>
          <w:sz w:val="20"/>
        </w:rPr>
        <w:t xml:space="preserve"> = .109). </w:t>
      </w:r>
      <w:r>
        <w:rPr>
          <w:rFonts w:ascii="Times New Roman" w:hAnsi="Times New Roman"/>
          <w:sz w:val="20"/>
        </w:rPr>
        <w:t>Separately, the interval vectors Parker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suggesting that his fluency rests on structures that stay open to many continuations rather than on an accumulation of rare material.</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0"/>
        </w:rPr>
        <w:t>HOW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2016a;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6493293"/>
            <wp:docPr id="1" name="Picture 1"/>
            <wp:cNvGraphicFramePr>
              <a:graphicFrameLocks noChangeAspect="1"/>
            </wp:cNvGraphicFramePr>
            <a:graphic>
              <a:graphicData uri="http://schemas.openxmlformats.org/drawingml/2006/picture">
                <pic:pic>
                  <pic:nvPicPr>
                    <pic:cNvPr id="0" name="fig_1.png"/>
                    <pic:cNvPicPr/>
                  </pic:nvPicPr>
                  <pic:blipFill>
                    <a:blip r:embed="rId17"/>
                    <a:stretch>
                      <a:fillRect/>
                    </a:stretch>
                  </pic:blipFill>
                  <pic:spPr>
                    <a:xfrm>
                      <a:off x="0" y="0"/>
                      <a:ext cx="5029200" cy="6493293"/>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harmonic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w:t>
      </w:r>
    </w:p>
    <w:p>
      <w:pPr>
        <w:spacing w:before="0" w:after="0"/>
        <w:jc w:val="both"/>
      </w:pPr>
    </w:p>
    <w:p>
      <w:pPr>
        <w:spacing w:before="0" w:after="0"/>
        <w:ind w:firstLine="720"/>
        <w:jc w:val="both"/>
      </w:pPr>
      <w:r>
        <w:rPr>
          <w:rFonts w:ascii="Times New Roman" w:hAnsi="Times New Roman"/>
          <w:b/>
          <w:sz w:val="20"/>
        </w:rPr>
        <w:t>Complexity (iv_sum)</w:t>
      </w:r>
    </w:p>
    <w:p>
      <w:pPr>
        <w:spacing w:before="80" w:after="80"/>
        <w:jc w:val="center"/>
      </w:pPr>
      <w:r>
        <w:rPr>
          <w:rFonts w:ascii="Times New Roman" w:hAnsi="Times New Roman"/>
          <w:sz w:val="20"/>
        </w:rPr>
        <w:t xml:space="preserve">complexity = </w:t>
      </w:r>
      <w:r>
        <w:rPr>
          <w:rFonts w:ascii="Times New Roman" w:hAnsi="Times New Roman"/>
          <w:sz w:val="20"/>
        </w:rPr>
        <w:t>Σ</w:t>
      </w:r>
      <w:r>
        <w:rPr>
          <w:rFonts w:ascii="Times New Roman" w:hAnsi="Times New Roman"/>
          <w:sz w:val="20"/>
        </w:rPr>
        <w:t xml:space="preserve"> ic</w:t>
      </w:r>
      <w:r>
        <w:rPr>
          <w:rFonts w:ascii="Times New Roman" w:hAnsi="Times New Roman"/>
          <w:i/>
          <w:sz w:val="20"/>
          <w:vertAlign w:val="subscript"/>
        </w:rPr>
        <w:t>i</w:t>
      </w:r>
      <w:r>
        <w:rPr>
          <w:rFonts w:ascii="Times New Roman" w:hAnsi="Times New Roman"/>
          <w:sz w:val="20"/>
        </w:rPr>
        <w:t xml:space="preserve">   for </w:t>
      </w:r>
      <w:r>
        <w:rPr>
          <w:rFonts w:ascii="Times New Roman" w:hAnsi="Times New Roman"/>
          <w:i/>
          <w:sz w:val="20"/>
        </w:rPr>
        <w:t>i</w:t>
      </w:r>
      <w:r>
        <w:rPr>
          <w:rFonts w:ascii="Times New Roman" w:hAnsi="Times New Roman"/>
          <w:sz w:val="20"/>
        </w:rPr>
        <w:t xml:space="preserve"> = 1 to 6</w:t>
      </w:r>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80" w:after="80"/>
        <w:jc w:val="center"/>
      </w:pPr>
      <w:r>
        <w:rPr>
          <w:rFonts w:ascii="Times New Roman" w:hAnsi="Times New Roman"/>
          <w:sz w:val="20"/>
        </w:rPr>
        <w:t>dissonance = ic</w:t>
      </w:r>
      <w:r>
        <w:rPr>
          <w:rFonts w:ascii="Times New Roman" w:hAnsi="Times New Roman"/>
          <w:sz w:val="20"/>
          <w:vertAlign w:val="subscript"/>
        </w:rPr>
        <w:t>1</w:t>
      </w:r>
      <w:r>
        <w:rPr>
          <w:rFonts w:ascii="Times New Roman" w:hAnsi="Times New Roman"/>
          <w:sz w:val="20"/>
        </w:rPr>
        <w:t xml:space="preserve"> + 0.5 × ic</w:t>
      </w:r>
      <w:r>
        <w:rPr>
          <w:rFonts w:ascii="Times New Roman" w:hAnsi="Times New Roman"/>
          <w:sz w:val="20"/>
          <w:vertAlign w:val="subscript"/>
        </w:rPr>
        <w:t>2</w:t>
      </w:r>
      <w:r>
        <w:rPr>
          <w:rFonts w:ascii="Times New Roman" w:hAnsi="Times New Roman"/>
          <w:sz w:val="20"/>
        </w:rPr>
        <w:t xml:space="preserve"> + 0.8 × ic</w:t>
      </w:r>
      <w:r>
        <w:rPr>
          <w:rFonts w:ascii="Times New Roman" w:hAnsi="Times New Roman"/>
          <w:sz w:val="20"/>
          <w:vertAlign w:val="subscript"/>
        </w:rPr>
        <w:t>6</w:t>
      </w:r>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80" w:after="80"/>
        <w:jc w:val="center"/>
      </w:pPr>
      <w:r>
        <w:rPr>
          <w:rFonts w:ascii="Times New Roman" w:hAnsi="Times New Roman"/>
          <w:sz w:val="20"/>
        </w:rPr>
        <w:t xml:space="preserve">rate of change = √[ </w:t>
      </w:r>
      <w:r>
        <w:rPr>
          <w:rFonts w:ascii="Times New Roman" w:hAnsi="Times New Roman"/>
          <w:sz w:val="20"/>
        </w:rPr>
        <w:t>Σ</w:t>
      </w:r>
      <w:r>
        <w:rPr>
          <w:rFonts w:ascii="Times New Roman" w:hAnsi="Times New Roman"/>
          <w:sz w:val="20"/>
        </w:rPr>
        <w:t xml:space="preserve"> (ic</w:t>
      </w:r>
      <w:r>
        <w:rPr>
          <w:rFonts w:ascii="Times New Roman" w:hAnsi="Times New Roman"/>
          <w:i/>
          <w:sz w:val="20"/>
          <w:vertAlign w:val="subscript"/>
        </w:rPr>
        <w:t>i</w:t>
      </w:r>
      <w:r>
        <w:rPr>
          <w:rFonts w:ascii="Times New Roman" w:hAnsi="Times New Roman"/>
          <w:sz w:val="20"/>
        </w:rPr>
        <w:t>(</w:t>
      </w:r>
      <w:r>
        <w:rPr>
          <w:rFonts w:ascii="Times New Roman" w:hAnsi="Times New Roman"/>
          <w:i/>
          <w:sz w:val="20"/>
        </w:rPr>
        <w:t>t</w:t>
      </w:r>
      <w:r>
        <w:rPr>
          <w:rFonts w:ascii="Times New Roman" w:hAnsi="Times New Roman"/>
          <w:sz w:val="20"/>
        </w:rPr>
        <w:t xml:space="preserve"> + 1) − ic</w:t>
      </w:r>
      <w:r>
        <w:rPr>
          <w:rFonts w:ascii="Times New Roman" w:hAnsi="Times New Roman"/>
          <w:i/>
          <w:sz w:val="20"/>
          <w:vertAlign w:val="subscript"/>
        </w:rPr>
        <w:t>i</w:t>
      </w:r>
      <w:r>
        <w:rPr>
          <w:rFonts w:ascii="Times New Roman" w:hAnsi="Times New Roman"/>
          <w:sz w:val="20"/>
        </w:rPr>
        <w:t>(</w:t>
      </w:r>
      <w:r>
        <w:rPr>
          <w:rFonts w:ascii="Times New Roman" w:hAnsi="Times New Roman"/>
          <w:i/>
          <w:sz w:val="20"/>
        </w:rPr>
        <w:t>t</w:t>
      </w:r>
      <w:r>
        <w:rPr>
          <w:rFonts w:ascii="Times New Roman" w:hAnsi="Times New Roman"/>
          <w:sz w:val="20"/>
        </w:rPr>
        <w:t>) )² ]</w:t>
      </w:r>
      <w:r>
        <w:rPr>
          <w:rFonts w:ascii="Times New Roman" w:hAnsi="Times New Roman"/>
          <w:sz w:val="20"/>
        </w:rPr>
        <w:t xml:space="preserve">   for </w:t>
      </w:r>
      <w:r>
        <w:rPr>
          <w:rFonts w:ascii="Times New Roman" w:hAnsi="Times New Roman"/>
          <w:i/>
          <w:sz w:val="20"/>
        </w:rPr>
        <w:t>i</w:t>
      </w:r>
      <w:r>
        <w:rPr>
          <w:rFonts w:ascii="Times New Roman" w:hAnsi="Times New Roman"/>
          <w:sz w:val="20"/>
        </w:rPr>
        <w:t xml:space="preserve"> = 1 to 6</w:t>
      </w:r>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10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 ic₆ at 0.6, ic₆ at 1.0, ic₂ at 0.25, and all three weights equal —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We discuss the scope of this problem, and a design that would settle it, in the Limitations.</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A segment containing {C, E, G, B♭} contains one complete triad (C major); a segment containing {C, E♭, G♭, A} contains four diminished triads.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positional centrality</w:t>
      </w:r>
      <w:r>
        <w:rPr>
          <w:rFonts w:ascii="Times New Roman" w:hAnsi="Times New Roman"/>
          <w:sz w:val="20"/>
        </w:rPr>
        <w:t>, offering maximum continuation options to diverse harmonic destinations.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IV</w:t>
            </w:r>
          </w:p>
        </w:tc>
        <w:tc>
          <w:tcPr>
            <w:tcW w:type="dxa" w:w="1440"/>
          </w:tcPr>
          <w:p>
            <w:pPr>
              <w:jc w:val="center"/>
            </w:pPr>
            <w:r/>
            <w:r>
              <w:rPr>
                <w:rFonts w:ascii="Times New Roman" w:hAnsi="Times New Roman"/>
                <w:b/>
                <w:sz w:val="18"/>
              </w:rPr>
              <w:t>Forte</w:t>
            </w:r>
          </w:p>
        </w:tc>
        <w:tc>
          <w:tcPr>
            <w:tcW w:type="dxa" w:w="1440"/>
          </w:tcPr>
          <w:p>
            <w:pPr>
              <w:jc w:val="center"/>
            </w:pPr>
            <w:r/>
            <w:r>
              <w:rPr>
                <w:rFonts w:ascii="Times New Roman" w:hAnsi="Times New Roman"/>
                <w:b/>
                <w:sz w:val="18"/>
              </w:rPr>
              <w:t>Freq.</w:t>
            </w:r>
          </w:p>
        </w:tc>
        <w:tc>
          <w:tcPr>
            <w:tcW w:type="dxa" w:w="1440"/>
          </w:tcPr>
          <w:p>
            <w:pPr>
              <w:jc w:val="center"/>
            </w:pPr>
            <w:r/>
            <w:r>
              <w:rPr>
                <w:rFonts w:ascii="Times New Roman" w:hAnsi="Times New Roman"/>
                <w:b/>
                <w:sz w:val="18"/>
              </w:rPr>
              <w:t>% of Corpus</w:t>
            </w:r>
          </w:p>
        </w:tc>
        <w:tc>
          <w:tcPr>
            <w:tcW w:type="dxa" w:w="1440"/>
          </w:tcPr>
          <w:p>
            <w:pPr>
              <w:jc w:val="center"/>
            </w:pPr>
            <w:r/>
            <w:r>
              <w:rPr>
                <w:rFonts w:ascii="Times New Roman" w:hAnsi="Times New Roman"/>
                <w:b/>
                <w:sz w:val="18"/>
              </w:rPr>
              <w:t>Primary Function</w:t>
            </w:r>
          </w:p>
        </w:tc>
        <w:tc>
          <w:tcPr>
            <w:tcW w:type="dxa" w:w="1440"/>
          </w:tcPr>
          <w:p>
            <w:pPr>
              <w:jc w:val="center"/>
            </w:pPr>
            <w:r/>
            <w:r>
              <w:rPr>
                <w:rFonts w:ascii="Times New Roman" w:hAnsi="Times New Roman"/>
                <w:b/>
                <w:sz w:val="18"/>
              </w:rPr>
              <w:t>Function Distribution</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3-2</w:t>
            </w:r>
          </w:p>
        </w:tc>
        <w:tc>
          <w:tcPr>
            <w:tcW w:type="dxa" w:w="1440"/>
          </w:tcPr>
          <w:p>
            <w:pPr>
              <w:jc w:val="center"/>
            </w:pPr>
            <w:r/>
            <w:r>
              <w:rPr>
                <w:rFonts w:ascii="Times New Roman" w:hAnsi="Times New Roman"/>
                <w:sz w:val="18"/>
              </w:rPr>
              <w:t>226</w:t>
            </w:r>
          </w:p>
        </w:tc>
        <w:tc>
          <w:tcPr>
            <w:tcW w:type="dxa" w:w="1440"/>
          </w:tcPr>
          <w:p>
            <w:pPr>
              <w:jc w:val="center"/>
            </w:pPr>
            <w:r/>
            <w:r>
              <w:rPr>
                <w:rFonts w:ascii="Times New Roman" w:hAnsi="Times New Roman"/>
                <w:sz w:val="18"/>
              </w:rPr>
              <w:t>6.70%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II: 51, I: 48, V: 44, IV: 24, VI: 19, III: 19</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4-10</w:t>
            </w:r>
          </w:p>
        </w:tc>
        <w:tc>
          <w:tcPr>
            <w:tcW w:type="dxa" w:w="1440"/>
          </w:tcPr>
          <w:p>
            <w:pPr>
              <w:jc w:val="center"/>
            </w:pPr>
            <w:r/>
            <w:r>
              <w:rPr>
                <w:rFonts w:ascii="Times New Roman" w:hAnsi="Times New Roman"/>
                <w:sz w:val="18"/>
              </w:rPr>
              <w:t>163</w:t>
            </w:r>
          </w:p>
        </w:tc>
        <w:tc>
          <w:tcPr>
            <w:tcW w:type="dxa" w:w="1440"/>
          </w:tcPr>
          <w:p>
            <w:pPr>
              <w:jc w:val="center"/>
            </w:pPr>
            <w:r/>
            <w:r>
              <w:rPr>
                <w:rFonts w:ascii="Times New Roman" w:hAnsi="Times New Roman"/>
                <w:sz w:val="18"/>
              </w:rPr>
              <w:t>4.84%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45, V: 37, II: 24, IV: 18, III: 14</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3-11</w:t>
            </w:r>
          </w:p>
        </w:tc>
        <w:tc>
          <w:tcPr>
            <w:tcW w:type="dxa" w:w="1440"/>
          </w:tcPr>
          <w:p>
            <w:pPr>
              <w:jc w:val="center"/>
            </w:pPr>
            <w:r/>
            <w:r>
              <w:rPr>
                <w:rFonts w:ascii="Times New Roman" w:hAnsi="Times New Roman"/>
                <w:sz w:val="18"/>
              </w:rPr>
              <w:t>121</w:t>
            </w:r>
          </w:p>
        </w:tc>
        <w:tc>
          <w:tcPr>
            <w:tcW w:type="dxa" w:w="1440"/>
          </w:tcPr>
          <w:p>
            <w:pPr>
              <w:jc w:val="center"/>
            </w:pPr>
            <w:r/>
            <w:r>
              <w:rPr>
                <w:rFonts w:ascii="Times New Roman" w:hAnsi="Times New Roman"/>
                <w:sz w:val="18"/>
              </w:rPr>
              <w:t>3.59%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48, II: 23, V: 18, III: 9, VI: 8, IV: 8</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5-27</w:t>
            </w:r>
          </w:p>
        </w:tc>
        <w:tc>
          <w:tcPr>
            <w:tcW w:type="dxa" w:w="1440"/>
          </w:tcPr>
          <w:p>
            <w:pPr>
              <w:jc w:val="center"/>
            </w:pPr>
            <w:r/>
            <w:r>
              <w:rPr>
                <w:rFonts w:ascii="Times New Roman" w:hAnsi="Times New Roman"/>
                <w:sz w:val="18"/>
              </w:rPr>
              <w:t>116</w:t>
            </w:r>
          </w:p>
        </w:tc>
        <w:tc>
          <w:tcPr>
            <w:tcW w:type="dxa" w:w="1440"/>
          </w:tcPr>
          <w:p>
            <w:pPr>
              <w:jc w:val="center"/>
            </w:pPr>
            <w:r/>
            <w:r>
              <w:rPr>
                <w:rFonts w:ascii="Times New Roman" w:hAnsi="Times New Roman"/>
                <w:sz w:val="18"/>
              </w:rPr>
              <w:t>3.44%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38, II: 29, IV: 15, V: 13, bIII: 10</w:t>
            </w:r>
          </w:p>
        </w:tc>
      </w:tr>
      <w:tr>
        <w:tc>
          <w:tcPr>
            <w:tcW w:type="dxa" w:w="1440"/>
          </w:tcPr>
          <w:p>
            <w:pPr>
              <w:jc w:val="center"/>
            </w:pPr>
            <w:r/>
            <w:r>
              <w:rPr>
                <w:rFonts w:ascii="Times New Roman" w:hAnsi="Times New Roman"/>
                <w:sz w:val="18"/>
              </w:rPr>
              <w:t>(021120)</w:t>
            </w:r>
          </w:p>
        </w:tc>
        <w:tc>
          <w:tcPr>
            <w:tcW w:type="dxa" w:w="1440"/>
          </w:tcPr>
          <w:p>
            <w:pPr>
              <w:jc w:val="center"/>
            </w:pPr>
            <w:r/>
            <w:r>
              <w:rPr>
                <w:rFonts w:ascii="Times New Roman" w:hAnsi="Times New Roman"/>
                <w:sz w:val="18"/>
              </w:rPr>
              <w:t>4-22</w:t>
            </w:r>
          </w:p>
        </w:tc>
        <w:tc>
          <w:tcPr>
            <w:tcW w:type="dxa" w:w="1440"/>
          </w:tcPr>
          <w:p>
            <w:pPr>
              <w:jc w:val="center"/>
            </w:pPr>
            <w:r/>
            <w:r>
              <w:rPr>
                <w:rFonts w:ascii="Times New Roman" w:hAnsi="Times New Roman"/>
                <w:sz w:val="18"/>
              </w:rPr>
              <w:t>98</w:t>
            </w:r>
          </w:p>
        </w:tc>
        <w:tc>
          <w:tcPr>
            <w:tcW w:type="dxa" w:w="1440"/>
          </w:tcPr>
          <w:p>
            <w:pPr>
              <w:jc w:val="center"/>
            </w:pPr>
            <w:r/>
            <w:r>
              <w:rPr>
                <w:rFonts w:ascii="Times New Roman" w:hAnsi="Times New Roman"/>
                <w:sz w:val="18"/>
              </w:rPr>
              <w:t>2.91%</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IV: 22, V: 19, II: 17, bVII: 6</w:t>
            </w:r>
          </w:p>
        </w:tc>
      </w:tr>
      <w:tr>
        <w:tc>
          <w:tcPr>
            <w:tcW w:type="dxa" w:w="1440"/>
          </w:tcPr>
          <w:p>
            <w:pPr>
              <w:jc w:val="center"/>
            </w:pPr>
            <w:r/>
            <w:r>
              <w:rPr>
                <w:rFonts w:ascii="Times New Roman" w:hAnsi="Times New Roman"/>
                <w:sz w:val="18"/>
              </w:rPr>
              <w:t>(011010)</w:t>
            </w:r>
          </w:p>
        </w:tc>
        <w:tc>
          <w:tcPr>
            <w:tcW w:type="dxa" w:w="1440"/>
          </w:tcPr>
          <w:p>
            <w:pPr>
              <w:jc w:val="center"/>
            </w:pPr>
            <w:r/>
            <w:r>
              <w:rPr>
                <w:rFonts w:ascii="Times New Roman" w:hAnsi="Times New Roman"/>
                <w:sz w:val="18"/>
              </w:rPr>
              <w:t>3-7</w:t>
            </w:r>
          </w:p>
        </w:tc>
        <w:tc>
          <w:tcPr>
            <w:tcW w:type="dxa" w:w="1440"/>
          </w:tcPr>
          <w:p>
            <w:pPr>
              <w:jc w:val="center"/>
            </w:pPr>
            <w:r/>
            <w:r>
              <w:rPr>
                <w:rFonts w:ascii="Times New Roman" w:hAnsi="Times New Roman"/>
                <w:sz w:val="18"/>
              </w:rPr>
              <w:t>94</w:t>
            </w:r>
          </w:p>
        </w:tc>
        <w:tc>
          <w:tcPr>
            <w:tcW w:type="dxa" w:w="1440"/>
          </w:tcPr>
          <w:p>
            <w:pPr>
              <w:jc w:val="center"/>
            </w:pPr>
            <w:r/>
            <w:r>
              <w:rPr>
                <w:rFonts w:ascii="Times New Roman" w:hAnsi="Times New Roman"/>
                <w:sz w:val="18"/>
              </w:rPr>
              <w:t>2.79%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39, II: 19, IV: 11, V: 11, bVII: 6</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4-11</w:t>
            </w:r>
          </w:p>
        </w:tc>
        <w:tc>
          <w:tcPr>
            <w:tcW w:type="dxa" w:w="1440"/>
          </w:tcPr>
          <w:p>
            <w:pPr>
              <w:jc w:val="center"/>
            </w:pPr>
            <w:r/>
            <w:r>
              <w:rPr>
                <w:rFonts w:ascii="Times New Roman" w:hAnsi="Times New Roman"/>
                <w:sz w:val="18"/>
              </w:rPr>
              <w:t>92</w:t>
            </w:r>
          </w:p>
        </w:tc>
        <w:tc>
          <w:tcPr>
            <w:tcW w:type="dxa" w:w="1440"/>
          </w:tcPr>
          <w:p>
            <w:pPr>
              <w:jc w:val="center"/>
            </w:pPr>
            <w:r/>
            <w:r>
              <w:rPr>
                <w:rFonts w:ascii="Times New Roman" w:hAnsi="Times New Roman"/>
                <w:sz w:val="18"/>
              </w:rPr>
              <w:t>2.73%</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V: 22, II: 12, IV: 11, bIII: 8</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4-14</w:t>
            </w:r>
          </w:p>
        </w:tc>
        <w:tc>
          <w:tcPr>
            <w:tcW w:type="dxa" w:w="1440"/>
          </w:tcPr>
          <w:p>
            <w:pPr>
              <w:jc w:val="center"/>
            </w:pPr>
            <w:r/>
            <w:r>
              <w:rPr>
                <w:rFonts w:ascii="Times New Roman" w:hAnsi="Times New Roman"/>
                <w:sz w:val="18"/>
              </w:rPr>
              <w:t>90</w:t>
            </w:r>
          </w:p>
        </w:tc>
        <w:tc>
          <w:tcPr>
            <w:tcW w:type="dxa" w:w="1440"/>
          </w:tcPr>
          <w:p>
            <w:pPr>
              <w:jc w:val="center"/>
            </w:pPr>
            <w:r/>
            <w:r>
              <w:rPr>
                <w:rFonts w:ascii="Times New Roman" w:hAnsi="Times New Roman"/>
                <w:sz w:val="18"/>
              </w:rPr>
              <w:t>2.67%</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30, II: 18, VI: 13, IV: 9, V: 9</w:t>
            </w:r>
          </w:p>
        </w:tc>
      </w:tr>
      <w:tr>
        <w:tc>
          <w:tcPr>
            <w:tcW w:type="dxa" w:w="1440"/>
          </w:tcPr>
          <w:p>
            <w:pPr>
              <w:jc w:val="center"/>
            </w:pPr>
            <w:r/>
            <w:r>
              <w:rPr>
                <w:rFonts w:ascii="Times New Roman" w:hAnsi="Times New Roman"/>
                <w:sz w:val="18"/>
              </w:rPr>
              <w:t>(012120)</w:t>
            </w:r>
          </w:p>
        </w:tc>
        <w:tc>
          <w:tcPr>
            <w:tcW w:type="dxa" w:w="1440"/>
          </w:tcPr>
          <w:p>
            <w:pPr>
              <w:jc w:val="center"/>
            </w:pPr>
            <w:r/>
            <w:r>
              <w:rPr>
                <w:rFonts w:ascii="Times New Roman" w:hAnsi="Times New Roman"/>
                <w:sz w:val="18"/>
              </w:rPr>
              <w:t>4-26</w:t>
            </w:r>
          </w:p>
        </w:tc>
        <w:tc>
          <w:tcPr>
            <w:tcW w:type="dxa" w:w="1440"/>
          </w:tcPr>
          <w:p>
            <w:pPr>
              <w:jc w:val="center"/>
            </w:pPr>
            <w:r/>
            <w:r>
              <w:rPr>
                <w:rFonts w:ascii="Times New Roman" w:hAnsi="Times New Roman"/>
                <w:sz w:val="18"/>
              </w:rPr>
              <w:t>81</w:t>
            </w:r>
          </w:p>
        </w:tc>
        <w:tc>
          <w:tcPr>
            <w:tcW w:type="dxa" w:w="1440"/>
          </w:tcPr>
          <w:p>
            <w:pPr>
              <w:jc w:val="center"/>
            </w:pPr>
            <w:r/>
            <w:r>
              <w:rPr>
                <w:rFonts w:ascii="Times New Roman" w:hAnsi="Times New Roman"/>
                <w:sz w:val="18"/>
              </w:rPr>
              <w:t>2.40%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II: 18, IV: 13, V: 8, III: 5, bIII: 5</w:t>
            </w:r>
          </w:p>
        </w:tc>
      </w:tr>
      <w:tr>
        <w:tc>
          <w:tcPr>
            <w:tcW w:type="dxa" w:w="1440"/>
          </w:tcPr>
          <w:p>
            <w:pPr>
              <w:jc w:val="center"/>
            </w:pPr>
            <w:r/>
            <w:r>
              <w:rPr>
                <w:rFonts w:ascii="Times New Roman" w:hAnsi="Times New Roman"/>
                <w:sz w:val="18"/>
              </w:rPr>
              <w:t>(132130)</w:t>
            </w:r>
          </w:p>
        </w:tc>
        <w:tc>
          <w:tcPr>
            <w:tcW w:type="dxa" w:w="1440"/>
          </w:tcPr>
          <w:p>
            <w:pPr>
              <w:jc w:val="center"/>
            </w:pPr>
            <w:r/>
            <w:r>
              <w:rPr>
                <w:rFonts w:ascii="Times New Roman" w:hAnsi="Times New Roman"/>
                <w:sz w:val="18"/>
              </w:rPr>
              <w:t>5-23</w:t>
            </w:r>
          </w:p>
        </w:tc>
        <w:tc>
          <w:tcPr>
            <w:tcW w:type="dxa" w:w="1440"/>
          </w:tcPr>
          <w:p>
            <w:pPr>
              <w:jc w:val="center"/>
            </w:pPr>
            <w:r/>
            <w:r>
              <w:rPr>
                <w:rFonts w:ascii="Times New Roman" w:hAnsi="Times New Roman"/>
                <w:sz w:val="18"/>
              </w:rPr>
              <w:t>74</w:t>
            </w:r>
          </w:p>
        </w:tc>
        <w:tc>
          <w:tcPr>
            <w:tcW w:type="dxa" w:w="1440"/>
          </w:tcPr>
          <w:p>
            <w:pPr>
              <w:jc w:val="center"/>
            </w:pPr>
            <w:r/>
            <w:r>
              <w:rPr>
                <w:rFonts w:ascii="Times New Roman" w:hAnsi="Times New Roman"/>
                <w:sz w:val="18"/>
              </w:rPr>
              <w:t>2.20%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IV: 17, II: 14, bIII: 7, V: 5</w:t>
            </w:r>
          </w:p>
        </w:tc>
      </w:tr>
    </w:tbl>
    <w:p>
      <w:pPr>
        <w:jc w:val="center"/>
      </w:pPr>
      <w:r>
        <w:rPr>
          <w:rFonts w:ascii="Times New Roman" w:hAnsi="Times New Roman"/>
          <w:i/>
          <w:sz w:val="18"/>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Source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w:t>
            </w:r>
          </w:p>
        </w:tc>
        <w:tc>
          <w:tcPr>
            <w:tcW w:type="dxa" w:w="1440"/>
          </w:tcPr>
          <w:p>
            <w:pPr>
              <w:jc w:val="center"/>
            </w:pPr>
            <w:r/>
            <w:r>
              <w:rPr>
                <w:rFonts w:ascii="Times New Roman" w:hAnsi="Times New Roman"/>
                <w:b/>
                <w:sz w:val="18"/>
              </w:rPr>
              <w:t>Target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Count</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19</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18</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(111111)</w:t>
            </w:r>
          </w:p>
        </w:tc>
        <w:tc>
          <w:tcPr>
            <w:tcW w:type="dxa" w:w="1440"/>
          </w:tcPr>
          <w:p>
            <w:pPr>
              <w:jc w:val="center"/>
            </w:pPr>
            <w:r/>
            <w:r>
              <w:rPr>
                <w:rFonts w:ascii="Times New Roman" w:hAnsi="Times New Roman"/>
                <w:sz w:val="18"/>
              </w:rPr>
              <w:t>V</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13</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11</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(112101)</w:t>
            </w:r>
          </w:p>
        </w:tc>
        <w:tc>
          <w:tcPr>
            <w:tcW w:type="dxa" w:w="1440"/>
          </w:tcPr>
          <w:p>
            <w:pPr>
              <w:jc w:val="center"/>
            </w:pPr>
            <w:r/>
            <w:r>
              <w:rPr>
                <w:rFonts w:ascii="Times New Roman" w:hAnsi="Times New Roman"/>
                <w:sz w:val="18"/>
              </w:rPr>
              <w:t>VI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(101220)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harmonic complexity (Figure 3).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variability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3" name="Picture 3"/>
            <wp:cNvGraphicFramePr>
              <a:graphicFrameLocks noChangeAspect="1"/>
            </wp:cNvGraphicFramePr>
            <a:graphic>
              <a:graphicData uri="http://schemas.openxmlformats.org/drawingml/2006/picture">
                <pic:pic>
                  <pic:nvPicPr>
                    <pic:cNvPr id="0" name="fig_5.png"/>
                    <pic:cNvPicPr/>
                  </pic:nvPicPr>
                  <pic:blipFill>
                    <a:blip r:embed="rId19"/>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11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afterwards.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4).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_6.png"/>
                    <pic:cNvPicPr/>
                  </pic:nvPicPr>
                  <pic:blipFill>
                    <a:blip r:embed="rId20"/>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5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fig_8.png"/>
                    <pic:cNvPicPr/>
                  </pic:nvPicPr>
                  <pic:blipFill>
                    <a:blip r:embed="rId21"/>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variability: CV = 0.99</w:t>
      </w:r>
    </w:p>
    <w:p>
      <w:pPr>
        <w:spacing w:before="0" w:after="0"/>
        <w:ind w:left="720" w:hanging="360"/>
        <w:jc w:val="both"/>
      </w:pPr>
      <w:r>
        <w:rPr>
          <w:rFonts w:ascii="Times New Roman" w:hAnsi="Times New Roman"/>
          <w:sz w:val="20"/>
        </w:rPr>
        <w:t>• Highest dissonance variability: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6).</w:t>
      </w:r>
    </w:p>
    <w:p>
      <w:pPr>
        <w:spacing w:before="0" w:after="0"/>
        <w:jc w:val="both"/>
      </w:pP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fig_9.png"/>
                    <pic:cNvPicPr/>
                  </pic:nvPicPr>
                  <pic:blipFill>
                    <a:blip r:embed="rId22"/>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12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harmonic materials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18"/>
              </w:rPr>
              <w:t>Weighting (ic₁, ic₂, ic₆)</w:t>
            </w:r>
          </w:p>
        </w:tc>
        <w:tc>
          <w:tcPr>
            <w:tcW w:type="dxa" w:w="2880"/>
          </w:tcPr>
          <w:p>
            <w:pPr>
              <w:jc w:val="center"/>
            </w:pPr>
            <w:r/>
            <w:r>
              <w:rPr>
                <w:rFonts w:ascii="Times New Roman" w:hAnsi="Times New Roman"/>
                <w:b/>
                <w:sz w:val="18"/>
              </w:rPr>
              <w:t>ARI</w:t>
            </w:r>
          </w:p>
        </w:tc>
        <w:tc>
          <w:tcPr>
            <w:tcW w:type="dxa" w:w="2880"/>
          </w:tcPr>
          <w:p>
            <w:pPr>
              <w:jc w:val="center"/>
            </w:pPr>
            <w:r/>
            <w:r>
              <w:rPr>
                <w:rFonts w:ascii="Times New Roman" w:hAnsi="Times New Roman"/>
                <w:b/>
                <w:sz w:val="18"/>
              </w:rPr>
              <w:t>Tunes assigned alike</w:t>
            </w:r>
          </w:p>
        </w:tc>
      </w:tr>
      <w:tr>
        <w:tc>
          <w:tcPr>
            <w:tcW w:type="dxa" w:w="2880"/>
          </w:tcPr>
          <w:p>
            <w:pPr>
              <w:jc w:val="center"/>
            </w:pPr>
            <w:r/>
            <w:r>
              <w:rPr>
                <w:rFonts w:ascii="Times New Roman" w:hAnsi="Times New Roman"/>
                <w:sz w:val="18"/>
              </w:rPr>
              <w:t>reported: 1.0, 0.5, 0.8</w:t>
            </w:r>
          </w:p>
        </w:tc>
        <w:tc>
          <w:tcPr>
            <w:tcW w:type="dxa" w:w="2880"/>
          </w:tcPr>
          <w:p>
            <w:pPr>
              <w:jc w:val="center"/>
            </w:pPr>
            <w:r/>
            <w:r>
              <w:rPr>
                <w:rFonts w:ascii="Times New Roman" w:hAnsi="Times New Roman"/>
                <w:sz w:val="18"/>
              </w:rPr>
              <w:t>—</w:t>
            </w:r>
          </w:p>
        </w:tc>
        <w:tc>
          <w:tcPr>
            <w:tcW w:type="dxa" w:w="2880"/>
          </w:tcPr>
          <w:p>
            <w:pPr>
              <w:jc w:val="center"/>
            </w:pPr>
            <w:r/>
            <w:r>
              <w:rPr>
                <w:rFonts w:ascii="Times New Roman" w:hAnsi="Times New Roman"/>
                <w:sz w:val="18"/>
              </w:rPr>
              <w:t>—</w:t>
            </w:r>
          </w:p>
        </w:tc>
      </w:tr>
      <w:tr>
        <w:tc>
          <w:tcPr>
            <w:tcW w:type="dxa" w:w="2880"/>
          </w:tcPr>
          <w:p>
            <w:pPr>
              <w:jc w:val="center"/>
            </w:pPr>
            <w:r/>
            <w:r>
              <w:rPr>
                <w:rFonts w:ascii="Times New Roman" w:hAnsi="Times New Roman"/>
                <w:sz w:val="18"/>
              </w:rPr>
              <w:t>1.0, 0.5, 0.6</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1.0, 0.5, 1.0</w:t>
            </w:r>
          </w:p>
        </w:tc>
        <w:tc>
          <w:tcPr>
            <w:tcW w:type="dxa" w:w="2880"/>
          </w:tcPr>
          <w:p>
            <w:pPr>
              <w:jc w:val="center"/>
            </w:pPr>
            <w:r/>
            <w:r>
              <w:rPr>
                <w:rFonts w:ascii="Times New Roman" w:hAnsi="Times New Roman"/>
                <w:sz w:val="18"/>
              </w:rPr>
              <w:t>0.58</w:t>
            </w:r>
          </w:p>
        </w:tc>
        <w:tc>
          <w:tcPr>
            <w:tcW w:type="dxa" w:w="2880"/>
          </w:tcPr>
          <w:p>
            <w:pPr>
              <w:jc w:val="center"/>
            </w:pPr>
            <w:r/>
            <w:r>
              <w:rPr>
                <w:rFonts w:ascii="Times New Roman" w:hAnsi="Times New Roman"/>
                <w:sz w:val="18"/>
              </w:rPr>
              <w:t>83%</w:t>
            </w:r>
          </w:p>
        </w:tc>
      </w:tr>
      <w:tr>
        <w:tc>
          <w:tcPr>
            <w:tcW w:type="dxa" w:w="2880"/>
          </w:tcPr>
          <w:p>
            <w:pPr>
              <w:jc w:val="center"/>
            </w:pPr>
            <w:r/>
            <w:r>
              <w:rPr>
                <w:rFonts w:ascii="Times New Roman" w:hAnsi="Times New Roman"/>
                <w:sz w:val="18"/>
              </w:rPr>
              <w:t>1.0, 0.25, 0.8</w:t>
            </w:r>
          </w:p>
        </w:tc>
        <w:tc>
          <w:tcPr>
            <w:tcW w:type="dxa" w:w="2880"/>
          </w:tcPr>
          <w:p>
            <w:pPr>
              <w:jc w:val="center"/>
            </w:pPr>
            <w:r/>
            <w:r>
              <w:rPr>
                <w:rFonts w:ascii="Times New Roman" w:hAnsi="Times New Roman"/>
                <w:sz w:val="18"/>
              </w:rPr>
              <w:t>0.55</w:t>
            </w:r>
          </w:p>
        </w:tc>
        <w:tc>
          <w:tcPr>
            <w:tcW w:type="dxa" w:w="2880"/>
          </w:tcPr>
          <w:p>
            <w:pPr>
              <w:jc w:val="center"/>
            </w:pPr>
            <w:r/>
            <w:r>
              <w:rPr>
                <w:rFonts w:ascii="Times New Roman" w:hAnsi="Times New Roman"/>
                <w:sz w:val="18"/>
              </w:rPr>
              <w:t>85%</w:t>
            </w:r>
          </w:p>
        </w:tc>
      </w:tr>
      <w:tr>
        <w:tc>
          <w:tcPr>
            <w:tcW w:type="dxa" w:w="2880"/>
          </w:tcPr>
          <w:p>
            <w:pPr>
              <w:jc w:val="center"/>
            </w:pPr>
            <w:r/>
            <w:r>
              <w:rPr>
                <w:rFonts w:ascii="Times New Roman" w:hAnsi="Times New Roman"/>
                <w:sz w:val="18"/>
              </w:rPr>
              <w:t>1.0, 1.0, 1.0</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0.8 plus ic₄ at 0.2</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bl>
    <w:p>
      <w:pPr>
        <w:jc w:val="center"/>
      </w:pPr>
      <w:r>
        <w:rPr>
          <w:rFonts w:ascii="Times New Roman" w:hAnsi="Times New Roman"/>
          <w:i/>
          <w:sz w:val="18"/>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7 shows how the four groups separate across the clustering features, and Figure 13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7" name="Picture 7"/>
            <wp:cNvGraphicFramePr>
              <a:graphicFrameLocks noChangeAspect="1"/>
            </wp:cNvGraphicFramePr>
            <a:graphic>
              <a:graphicData uri="http://schemas.openxmlformats.org/drawingml/2006/picture">
                <pic:pic>
                  <pic:nvPicPr>
                    <pic:cNvPr id="0" name="cluster_characteristics.png"/>
                    <pic:cNvPicPr/>
                  </pic:nvPicPr>
                  <pic:blipFill>
                    <a:blip r:embed="rId23"/>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4.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4.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18"/>
              </w:rPr>
              <w:t>Dissonance measure</w:t>
            </w:r>
          </w:p>
        </w:tc>
        <w:tc>
          <w:tcPr>
            <w:tcW w:type="dxa" w:w="1728"/>
          </w:tcPr>
          <w:p>
            <w:pPr>
              <w:jc w:val="center"/>
            </w:pPr>
            <w:r/>
            <w:r>
              <w:rPr>
                <w:rFonts w:ascii="Times New Roman" w:hAnsi="Times New Roman"/>
                <w:b/>
                <w:sz w:val="18"/>
              </w:rPr>
              <w:t>D → C</w:t>
            </w:r>
          </w:p>
        </w:tc>
        <w:tc>
          <w:tcPr>
            <w:tcW w:type="dxa" w:w="1728"/>
          </w:tcPr>
          <w:p>
            <w:pPr>
              <w:jc w:val="center"/>
            </w:pPr>
            <w:r/>
            <w:r>
              <w:rPr>
                <w:rFonts w:ascii="Times New Roman" w:hAnsi="Times New Roman"/>
                <w:b/>
                <w:sz w:val="18"/>
              </w:rPr>
              <w:t>C → D</w:t>
            </w:r>
          </w:p>
        </w:tc>
        <w:tc>
          <w:tcPr>
            <w:tcW w:type="dxa" w:w="1728"/>
          </w:tcPr>
          <w:p>
            <w:pPr>
              <w:jc w:val="center"/>
            </w:pPr>
            <w:r/>
            <w:r>
              <w:rPr>
                <w:rFonts w:ascii="Times New Roman" w:hAnsi="Times New Roman"/>
                <w:b/>
                <w:sz w:val="18"/>
              </w:rPr>
              <w:t>Neither</w:t>
            </w:r>
          </w:p>
        </w:tc>
        <w:tc>
          <w:tcPr>
            <w:tcW w:type="dxa" w:w="1728"/>
          </w:tcPr>
          <w:p>
            <w:pPr>
              <w:jc w:val="center"/>
            </w:pPr>
            <w:r/>
            <w:r>
              <w:rPr>
                <w:rFonts w:ascii="Times New Roman" w:hAnsi="Times New Roman"/>
                <w:b/>
                <w:sz w:val="18"/>
              </w:rPr>
              <w:t>Mean F (D→C / C→D)</w:t>
            </w:r>
          </w:p>
        </w:tc>
      </w:tr>
      <w:tr>
        <w:tc>
          <w:tcPr>
            <w:tcW w:type="dxa" w:w="1728"/>
          </w:tcPr>
          <w:p>
            <w:pPr>
              <w:jc w:val="center"/>
            </w:pPr>
            <w:r/>
            <w:r>
              <w:rPr>
                <w:rFonts w:ascii="Times New Roman" w:hAnsi="Times New Roman"/>
                <w:sz w:val="18"/>
              </w:rPr>
              <w:t>raw (reported above)</w:t>
            </w:r>
          </w:p>
        </w:tc>
        <w:tc>
          <w:tcPr>
            <w:tcW w:type="dxa" w:w="1728"/>
          </w:tcPr>
          <w:p>
            <w:pPr>
              <w:jc w:val="center"/>
            </w:pPr>
            <w:r/>
            <w:r>
              <w:rPr>
                <w:rFonts w:ascii="Times New Roman" w:hAnsi="Times New Roman"/>
                <w:sz w:val="18"/>
              </w:rPr>
              <w:t>17.4%</w:t>
            </w:r>
          </w:p>
        </w:tc>
        <w:tc>
          <w:tcPr>
            <w:tcW w:type="dxa" w:w="1728"/>
          </w:tcPr>
          <w:p>
            <w:pPr>
              <w:jc w:val="center"/>
            </w:pPr>
            <w:r/>
            <w:r>
              <w:rPr>
                <w:rFonts w:ascii="Times New Roman" w:hAnsi="Times New Roman"/>
                <w:sz w:val="18"/>
              </w:rPr>
              <w:t>8.7%</w:t>
            </w:r>
          </w:p>
        </w:tc>
        <w:tc>
          <w:tcPr>
            <w:tcW w:type="dxa" w:w="1728"/>
          </w:tcPr>
          <w:p>
            <w:pPr>
              <w:jc w:val="center"/>
            </w:pPr>
            <w:r/>
            <w:r>
              <w:rPr>
                <w:rFonts w:ascii="Times New Roman" w:hAnsi="Times New Roman"/>
                <w:sz w:val="18"/>
              </w:rPr>
              <w:t>80.4%</w:t>
            </w:r>
          </w:p>
        </w:tc>
        <w:tc>
          <w:tcPr>
            <w:tcW w:type="dxa" w:w="1728"/>
          </w:tcPr>
          <w:p>
            <w:pPr>
              <w:jc w:val="center"/>
            </w:pPr>
            <w:r/>
            <w:r>
              <w:rPr>
                <w:rFonts w:ascii="Times New Roman" w:hAnsi="Times New Roman"/>
                <w:sz w:val="18"/>
              </w:rPr>
              <w:t>2.12 / 1.36</w:t>
            </w:r>
          </w:p>
        </w:tc>
      </w:tr>
      <w:tr>
        <w:tc>
          <w:tcPr>
            <w:tcW w:type="dxa" w:w="1728"/>
          </w:tcPr>
          <w:p>
            <w:pPr>
              <w:jc w:val="center"/>
            </w:pPr>
            <w:r/>
            <w:r>
              <w:rPr>
                <w:rFonts w:ascii="Times New Roman" w:hAnsi="Times New Roman"/>
                <w:sz w:val="18"/>
              </w:rPr>
              <w:t>density-independent</w:t>
            </w:r>
          </w:p>
        </w:tc>
        <w:tc>
          <w:tcPr>
            <w:tcW w:type="dxa" w:w="1728"/>
          </w:tcPr>
          <w:p>
            <w:pPr>
              <w:jc w:val="center"/>
            </w:pPr>
            <w:r/>
            <w:r>
              <w:rPr>
                <w:rFonts w:ascii="Times New Roman" w:hAnsi="Times New Roman"/>
                <w:sz w:val="18"/>
              </w:rPr>
              <w:t>10.9%</w:t>
            </w:r>
          </w:p>
        </w:tc>
        <w:tc>
          <w:tcPr>
            <w:tcW w:type="dxa" w:w="1728"/>
          </w:tcPr>
          <w:p>
            <w:pPr>
              <w:jc w:val="center"/>
            </w:pPr>
            <w:r/>
            <w:r>
              <w:rPr>
                <w:rFonts w:ascii="Times New Roman" w:hAnsi="Times New Roman"/>
                <w:sz w:val="18"/>
              </w:rPr>
              <w:t>4.3%</w:t>
            </w:r>
          </w:p>
        </w:tc>
        <w:tc>
          <w:tcPr>
            <w:tcW w:type="dxa" w:w="1728"/>
          </w:tcPr>
          <w:p>
            <w:pPr>
              <w:jc w:val="center"/>
            </w:pPr>
            <w:r/>
            <w:r>
              <w:rPr>
                <w:rFonts w:ascii="Times New Roman" w:hAnsi="Times New Roman"/>
                <w:sz w:val="18"/>
              </w:rPr>
              <w:t>84.8%</w:t>
            </w:r>
          </w:p>
        </w:tc>
        <w:tc>
          <w:tcPr>
            <w:tcW w:type="dxa" w:w="1728"/>
          </w:tcPr>
          <w:p>
            <w:pPr>
              <w:jc w:val="center"/>
            </w:pPr>
            <w:r/>
            <w:r>
              <w:rPr>
                <w:rFonts w:ascii="Times New Roman" w:hAnsi="Times New Roman"/>
                <w:sz w:val="18"/>
              </w:rPr>
              <w:t>1.77 / 0.90</w:t>
            </w:r>
          </w:p>
        </w:tc>
      </w:tr>
    </w:tbl>
    <w:p>
      <w:pPr>
        <w:jc w:val="center"/>
      </w:pPr>
      <w:r>
        <w:rPr>
          <w:rFonts w:ascii="Times New Roman" w:hAnsi="Times New Roman"/>
          <w:i/>
          <w:sz w:val="18"/>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8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8" name="Picture 8"/>
            <wp:cNvGraphicFramePr>
              <a:graphicFrameLocks noChangeAspect="1"/>
            </wp:cNvGraphicFramePr>
            <a:graphic>
              <a:graphicData uri="http://schemas.openxmlformats.org/drawingml/2006/picture">
                <pic:pic>
                  <pic:nvPicPr>
                    <pic:cNvPr id="0" name="significance_by_lag.png"/>
                    <pic:cNvPicPr/>
                  </pic:nvPicPr>
                  <pic:blipFill>
                    <a:blip r:embed="rId24"/>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5)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This gradient demonstrates that triadic sparsity correlates systematically with Parker's usage preferences rather than occurring by chance. Figure 9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5.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18"/>
              </w:rPr>
              <w:t>Frequency Quartile</w:t>
            </w:r>
          </w:p>
        </w:tc>
        <w:tc>
          <w:tcPr>
            <w:tcW w:type="dxa" w:w="2160"/>
          </w:tcPr>
          <w:p>
            <w:pPr>
              <w:jc w:val="center"/>
            </w:pPr>
            <w:r/>
            <w:r>
              <w:rPr>
                <w:rFonts w:ascii="Times New Roman" w:hAnsi="Times New Roman"/>
                <w:b/>
                <w:sz w:val="18"/>
              </w:rPr>
              <w:t>Mean Triads</w:t>
            </w:r>
          </w:p>
        </w:tc>
        <w:tc>
          <w:tcPr>
            <w:tcW w:type="dxa" w:w="2160"/>
          </w:tcPr>
          <w:p>
            <w:pPr>
              <w:jc w:val="center"/>
            </w:pPr>
            <w:r/>
            <w:r>
              <w:rPr>
                <w:rFonts w:ascii="Times New Roman" w:hAnsi="Times New Roman"/>
                <w:b/>
                <w:sz w:val="18"/>
              </w:rPr>
              <w:t>SD</w:t>
            </w:r>
          </w:p>
        </w:tc>
        <w:tc>
          <w:tcPr>
            <w:tcW w:type="dxa" w:w="2160"/>
          </w:tcPr>
          <w:p>
            <w:pPr>
              <w:jc w:val="center"/>
            </w:pPr>
            <w:r/>
            <w:r>
              <w:rPr>
                <w:rFonts w:ascii="Times New Roman" w:hAnsi="Times New Roman"/>
                <w:b/>
                <w:sz w:val="18"/>
              </w:rPr>
              <w:t>N</w:t>
            </w:r>
          </w:p>
        </w:tc>
      </w:tr>
      <w:tr>
        <w:tc>
          <w:tcPr>
            <w:tcW w:type="dxa" w:w="2160"/>
          </w:tcPr>
          <w:p>
            <w:pPr>
              <w:jc w:val="center"/>
            </w:pPr>
            <w:r/>
            <w:r>
              <w:rPr>
                <w:rFonts w:ascii="Times New Roman" w:hAnsi="Times New Roman"/>
                <w:sz w:val="18"/>
              </w:rPr>
              <w:t>Q1 (Rare)</w:t>
            </w:r>
          </w:p>
        </w:tc>
        <w:tc>
          <w:tcPr>
            <w:tcW w:type="dxa" w:w="2160"/>
          </w:tcPr>
          <w:p>
            <w:pPr>
              <w:jc w:val="center"/>
            </w:pPr>
            <w:r/>
            <w:r>
              <w:rPr>
                <w:rFonts w:ascii="Times New Roman" w:hAnsi="Times New Roman"/>
                <w:sz w:val="18"/>
              </w:rPr>
              <w:t>3.74</w:t>
            </w:r>
          </w:p>
        </w:tc>
        <w:tc>
          <w:tcPr>
            <w:tcW w:type="dxa" w:w="2160"/>
          </w:tcPr>
          <w:p>
            <w:pPr>
              <w:jc w:val="center"/>
            </w:pPr>
            <w:r/>
            <w:r>
              <w:rPr>
                <w:rFonts w:ascii="Times New Roman" w:hAnsi="Times New Roman"/>
                <w:sz w:val="18"/>
              </w:rPr>
              <w:t>2.94</w:t>
            </w:r>
          </w:p>
        </w:tc>
        <w:tc>
          <w:tcPr>
            <w:tcW w:type="dxa" w:w="2160"/>
          </w:tcPr>
          <w:p>
            <w:pPr>
              <w:jc w:val="center"/>
            </w:pPr>
            <w:r/>
            <w:r>
              <w:rPr>
                <w:rFonts w:ascii="Times New Roman" w:hAnsi="Times New Roman"/>
                <w:sz w:val="18"/>
              </w:rPr>
              <w:t>45</w:t>
            </w:r>
          </w:p>
        </w:tc>
      </w:tr>
      <w:tr>
        <w:tc>
          <w:tcPr>
            <w:tcW w:type="dxa" w:w="2160"/>
          </w:tcPr>
          <w:p>
            <w:pPr>
              <w:jc w:val="center"/>
            </w:pPr>
            <w:r/>
            <w:r>
              <w:rPr>
                <w:rFonts w:ascii="Times New Roman" w:hAnsi="Times New Roman"/>
                <w:sz w:val="18"/>
              </w:rPr>
              <w:t>Q2</w:t>
            </w:r>
          </w:p>
        </w:tc>
        <w:tc>
          <w:tcPr>
            <w:tcW w:type="dxa" w:w="2160"/>
          </w:tcPr>
          <w:p>
            <w:pPr>
              <w:jc w:val="center"/>
            </w:pPr>
            <w:r/>
            <w:r>
              <w:rPr>
                <w:rFonts w:ascii="Times New Roman" w:hAnsi="Times New Roman"/>
                <w:sz w:val="18"/>
              </w:rPr>
              <w:t>2.53</w:t>
            </w:r>
          </w:p>
        </w:tc>
        <w:tc>
          <w:tcPr>
            <w:tcW w:type="dxa" w:w="2160"/>
          </w:tcPr>
          <w:p>
            <w:pPr>
              <w:jc w:val="center"/>
            </w:pPr>
            <w:r/>
            <w:r>
              <w:rPr>
                <w:rFonts w:ascii="Times New Roman" w:hAnsi="Times New Roman"/>
                <w:sz w:val="18"/>
              </w:rPr>
              <w:t>2.26</w:t>
            </w:r>
          </w:p>
        </w:tc>
        <w:tc>
          <w:tcPr>
            <w:tcW w:type="dxa" w:w="2160"/>
          </w:tcPr>
          <w:p>
            <w:pPr>
              <w:jc w:val="center"/>
            </w:pPr>
            <w:r/>
            <w:r>
              <w:rPr>
                <w:rFonts w:ascii="Times New Roman" w:hAnsi="Times New Roman"/>
                <w:sz w:val="18"/>
              </w:rPr>
              <w:t>38</w:t>
            </w:r>
          </w:p>
        </w:tc>
      </w:tr>
      <w:tr>
        <w:tc>
          <w:tcPr>
            <w:tcW w:type="dxa" w:w="2160"/>
          </w:tcPr>
          <w:p>
            <w:pPr>
              <w:jc w:val="center"/>
            </w:pPr>
            <w:r/>
            <w:r>
              <w:rPr>
                <w:rFonts w:ascii="Times New Roman" w:hAnsi="Times New Roman"/>
                <w:sz w:val="18"/>
              </w:rPr>
              <w:t>Q3</w:t>
            </w:r>
          </w:p>
        </w:tc>
        <w:tc>
          <w:tcPr>
            <w:tcW w:type="dxa" w:w="2160"/>
          </w:tcPr>
          <w:p>
            <w:pPr>
              <w:jc w:val="center"/>
            </w:pPr>
            <w:r/>
            <w:r>
              <w:rPr>
                <w:rFonts w:ascii="Times New Roman" w:hAnsi="Times New Roman"/>
                <w:sz w:val="18"/>
              </w:rPr>
              <w:t>1.98</w:t>
            </w:r>
          </w:p>
        </w:tc>
        <w:tc>
          <w:tcPr>
            <w:tcW w:type="dxa" w:w="2160"/>
          </w:tcPr>
          <w:p>
            <w:pPr>
              <w:jc w:val="center"/>
            </w:pPr>
            <w:r/>
            <w:r>
              <w:rPr>
                <w:rFonts w:ascii="Times New Roman" w:hAnsi="Times New Roman"/>
                <w:sz w:val="18"/>
              </w:rPr>
              <w:t>1.91</w:t>
            </w:r>
          </w:p>
        </w:tc>
        <w:tc>
          <w:tcPr>
            <w:tcW w:type="dxa" w:w="2160"/>
          </w:tcPr>
          <w:p>
            <w:pPr>
              <w:jc w:val="center"/>
            </w:pPr>
            <w:r/>
            <w:r>
              <w:rPr>
                <w:rFonts w:ascii="Times New Roman" w:hAnsi="Times New Roman"/>
                <w:sz w:val="18"/>
              </w:rPr>
              <w:t>41</w:t>
            </w:r>
          </w:p>
        </w:tc>
      </w:tr>
      <w:tr>
        <w:tc>
          <w:tcPr>
            <w:tcW w:type="dxa" w:w="2160"/>
          </w:tcPr>
          <w:p>
            <w:pPr>
              <w:jc w:val="center"/>
            </w:pPr>
            <w:r/>
            <w:r>
              <w:rPr>
                <w:rFonts w:ascii="Times New Roman" w:hAnsi="Times New Roman"/>
                <w:sz w:val="18"/>
              </w:rPr>
              <w:t>Q4 (Most Common)</w:t>
            </w:r>
          </w:p>
        </w:tc>
        <w:tc>
          <w:tcPr>
            <w:tcW w:type="dxa" w:w="2160"/>
          </w:tcPr>
          <w:p>
            <w:pPr>
              <w:jc w:val="center"/>
            </w:pPr>
            <w:r/>
            <w:r>
              <w:rPr>
                <w:rFonts w:ascii="Times New Roman" w:hAnsi="Times New Roman"/>
                <w:sz w:val="18"/>
              </w:rPr>
              <w:t>0.94</w:t>
            </w:r>
          </w:p>
        </w:tc>
        <w:tc>
          <w:tcPr>
            <w:tcW w:type="dxa" w:w="2160"/>
          </w:tcPr>
          <w:p>
            <w:pPr>
              <w:jc w:val="center"/>
            </w:pPr>
            <w:r/>
            <w:r>
              <w:rPr>
                <w:rFonts w:ascii="Times New Roman" w:hAnsi="Times New Roman"/>
                <w:sz w:val="18"/>
              </w:rPr>
              <w:t>1.23</w:t>
            </w:r>
          </w:p>
        </w:tc>
        <w:tc>
          <w:tcPr>
            <w:tcW w:type="dxa" w:w="2160"/>
          </w:tcPr>
          <w:p>
            <w:pPr>
              <w:jc w:val="center"/>
            </w:pPr>
            <w:r/>
            <w:r>
              <w:rPr>
                <w:rFonts w:ascii="Times New Roman" w:hAnsi="Times New Roman"/>
                <w:sz w:val="18"/>
              </w:rPr>
              <w:t>41</w:t>
            </w:r>
          </w:p>
        </w:tc>
      </w:tr>
    </w:tbl>
    <w:p>
      <w:pPr>
        <w:jc w:val="center"/>
      </w:pPr>
      <w:r>
        <w:rPr>
          <w:rFonts w:ascii="Times New Roman" w:hAnsi="Times New Roman"/>
          <w:i/>
          <w:sz w:val="18"/>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709811"/>
            <wp:docPr id="9" name="Picture 9"/>
            <wp:cNvGraphicFramePr>
              <a:graphicFrameLocks noChangeAspect="1"/>
            </wp:cNvGraphicFramePr>
            <a:graphic>
              <a:graphicData uri="http://schemas.openxmlformats.org/drawingml/2006/picture">
                <pic:pic>
                  <pic:nvPicPr>
                    <pic:cNvPr id="0" name="fig_14.png"/>
                    <pic:cNvPicPr/>
                  </pic:nvPicPr>
                  <pic:blipFill>
                    <a:blip r:embed="rId25"/>
                    <a:stretch>
                      <a:fillRect/>
                    </a:stretch>
                  </pic:blipFill>
                  <pic:spPr>
                    <a:xfrm>
                      <a:off x="0" y="0"/>
                      <a:ext cx="5029200" cy="3709811"/>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(2016b)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Love's later ecological account (2017) frames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(surface articulation):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with—though do not definitively prove—reactive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harmonic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harmonic material.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surface articulation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surface articulation (relatively brief phrases averaging 2 segments) organizes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may belong to the tunes rather than to Parker. Nothing in the present design separates the two. The decisive test would be a null model in which interval vectors are generated for the same progressions by sampling pitch classes from the chord-scale relationships alone, with the observed series compared against that baseline; an alternative would compare different performers on the same tune, holding the changes constant. We regard this as the most important open question raised by the present results, and the one we would address first.</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The quartile comparison is between interval vector types rather than between successive time points, which mitigates the concern, but it does not remove it, and the reported effect sizes should be read with that in mind (Gorman &amp; Allison, 1996; Matyas &amp; Greenwood, 1996).</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(2009)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Zaddach, W.-G., &amp; Abeßer, J. (2016a).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Frieler, K., Pfleiderer, M., Abeßer, J., &amp; Zaddach, W.-G. (2016b).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(2009). </w:t>
      </w:r>
      <w:r>
        <w:rPr>
          <w:rFonts w:ascii="Times New Roman" w:hAnsi="Times New Roman"/>
          <w:i/>
          <w:sz w:val="20"/>
        </w:rPr>
        <w:t>Charlie Parker: 60 melodies &amp; solos</w:t>
      </w:r>
      <w:r>
        <w:rPr>
          <w:rFonts w:ascii="Times New Roman" w:hAnsi="Times New Roman"/>
          <w:sz w:val="20"/>
        </w:rPr>
        <w:t>. Qpress.</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xml:space="preserve"> (2nd ed.). Masaya Music Services.</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3719886"/>
            <wp:docPr id="10" name="Picture 10"/>
            <wp:cNvGraphicFramePr>
              <a:graphicFrameLocks noChangeAspect="1"/>
            </wp:cNvGraphicFramePr>
            <a:graphic>
              <a:graphicData uri="http://schemas.openxmlformats.org/drawingml/2006/picture">
                <pic:pic>
                  <pic:nvPicPr>
                    <pic:cNvPr id="0" name="fig_4.png"/>
                    <pic:cNvPicPr/>
                  </pic:nvPicPr>
                  <pic:blipFill>
                    <a:blip r:embed="rId26"/>
                    <a:stretch>
                      <a:fillRect/>
                    </a:stretch>
                  </pic:blipFill>
                  <pic:spPr>
                    <a:xfrm>
                      <a:off x="0" y="0"/>
                      <a:ext cx="5029200" cy="13719886"/>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1" name="Picture 11"/>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10.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3" name="Picture 13"/>
            <wp:cNvGraphicFramePr>
              <a:graphicFrameLocks noChangeAspect="1"/>
            </wp:cNvGraphicFramePr>
            <a:graphic>
              <a:graphicData uri="http://schemas.openxmlformats.org/drawingml/2006/picture">
                <pic:pic>
                  <pic:nvPicPr>
                    <pic:cNvPr id="0" name="fig_12.png"/>
                    <pic:cNvPicPr/>
                  </pic:nvPicPr>
                  <pic:blipFill>
                    <a:blip r:embed="rId29"/>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