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harmonic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HARMONIC SEGMENTATION</w:t>
      </w:r>
    </w:p>
    <w:p>
      <w:pPr>
        <w:spacing w:before="0" w:after="0"/>
        <w:jc w:val="both"/>
      </w:pPr>
    </w:p>
    <w:p>
      <w:pPr>
        <w:spacing w:before="0" w:after="0"/>
        <w:jc w:val="both"/>
      </w:pPr>
      <w:r>
        <w:rPr>
          <w:rFonts w:ascii="Times New Roman" w:hAnsi="Times New Roman"/>
          <w:sz w:val="20"/>
        </w:rPr>
        <w:t>The harmonic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Mean values shown relative to corpus averages.</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 xml:space="preserve">Complexity (iv_sum): </w:t>
      </w:r>
      <w:r>
        <w:rPr>
          <w:rFonts w:ascii="Times New Roman" w:hAnsi="Times New Roman"/>
          <w:sz w:val="20"/>
        </w:rPr>
        <w:t>Σ</w:t>
      </w:r>
      <w:r>
        <w:rPr>
          <w:rFonts w:ascii="Times New Roman" w:hAnsi="Times New Roman"/>
          <w:sz w:val="20"/>
        </w:rPr>
        <w:t>(ic</w:t>
      </w:r>
      <w:r>
        <w:rPr>
          <w:rFonts w:ascii="Times New Roman" w:hAnsi="Times New Roman"/>
          <w:i/>
          <w:sz w:val="20"/>
        </w:rPr>
        <w:t>i</w:t>
      </w:r>
      <w:r>
        <w:rPr>
          <w:rFonts w:ascii="Times New Roman" w:hAnsi="Times New Roman"/>
          <w:sz w:val="20"/>
        </w:rPr>
        <w:t>, i = 1..6)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 xml:space="preserve">Dissonance: </w:t>
      </w:r>
      <w:r>
        <w:rPr>
          <w:rFonts w:ascii="Times New Roman" w:hAnsi="Times New Roman"/>
          <w:sz w:val="20"/>
        </w:rPr>
        <w:t>ic₁ + 0.5 · ic₂ + 0.8 · ic₆</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 xml:space="preserve">Intervallic distance (iv_distance): </w:t>
      </w:r>
      <w:r>
        <w:rPr>
          <w:rFonts w:ascii="Times New Roman" w:hAnsi="Times New Roman"/>
          <w:sz w:val="20"/>
        </w:rPr>
        <w:t>√(Σ(ic</w:t>
      </w:r>
      <w:r>
        <w:rPr>
          <w:rFonts w:ascii="Times New Roman" w:hAnsi="Times New Roman"/>
          <w:i/>
          <w:sz w:val="20"/>
        </w:rPr>
        <w:t>i</w:t>
      </w:r>
      <w:r>
        <w:rPr>
          <w:rFonts w:ascii="Times New Roman" w:hAnsi="Times New Roman"/>
          <w:sz w:val="20"/>
        </w:rPr>
        <w:t>(t+1)</w:t>
      </w:r>
      <w:r>
        <w:rPr>
          <w:rFonts w:ascii="Times New Roman" w:hAnsi="Times New Roman"/>
          <w:sz w:val="20"/>
        </w:rPr>
        <w:t xml:space="preserve"> – ic</w:t>
      </w:r>
      <w:r>
        <w:rPr>
          <w:rFonts w:ascii="Times New Roman" w:hAnsi="Times New Roman"/>
          <w:i/>
          <w:sz w:val="20"/>
        </w:rPr>
        <w:t>i</w:t>
      </w:r>
      <w:r>
        <w:rPr>
          <w:rFonts w:ascii="Times New Roman" w:hAnsi="Times New Roman"/>
          <w:sz w:val="20"/>
        </w:rPr>
        <w:t>(t)</w:t>
      </w:r>
      <w:r>
        <w:rPr>
          <w:rFonts w:ascii="Times New Roman" w:hAnsi="Times New Roman"/>
          <w:sz w:val="20"/>
        </w:rPr>
        <w:t>)², i = 1..6)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 xml:space="preserve">For each phrase, we aggregated segment-level metrics into phrase-level statistics: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harmonic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harmonic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4 compares mean complexity across chorus positions directly.</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7.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Cross-chorus complexity comparison showing head is simpler than improvised choruses.</w:t>
      </w:r>
    </w:p>
    <w:p>
      <w:pPr>
        <w:spacing w:before="0" w:after="0"/>
        <w:jc w:val="both"/>
      </w:pP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10" name="Picture 10"/>
            <wp:cNvGraphicFramePr>
              <a:graphicFrameLocks noChangeAspect="1"/>
            </wp:cNvGraphicFramePr>
            <a:graphic>
              <a:graphicData uri="http://schemas.openxmlformats.org/drawingml/2006/picture">
                <pic:pic>
                  <pic:nvPicPr>
                    <pic:cNvPr id="0" name="fig_14.png"/>
                    <pic:cNvPicPr/>
                  </pic:nvPicPr>
                  <pic:blipFill>
                    <a:blip r:embed="rId26"/>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3719886"/>
            <wp:docPr id="11" name="Picture 11"/>
            <wp:cNvGraphicFramePr>
              <a:graphicFrameLocks noChangeAspect="1"/>
            </wp:cNvGraphicFramePr>
            <a:graphic>
              <a:graphicData uri="http://schemas.openxmlformats.org/drawingml/2006/picture">
                <pic:pic>
                  <pic:nvPicPr>
                    <pic:cNvPr id="0" name="fig_4.png"/>
                    <pic:cNvPicPr/>
                  </pic:nvPicPr>
                  <pic:blipFill>
                    <a:blip r:embed="rId27"/>
                    <a:stretch>
                      <a:fillRect/>
                    </a:stretch>
                  </pic:blipFill>
                  <pic:spPr>
                    <a:xfrm>
                      <a:off x="0" y="0"/>
                      <a:ext cx="5029200" cy="13719886"/>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