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volatility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2016a;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10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11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5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_8.png"/>
                    <pic:cNvPicPr/>
                  </pic:nvPicPr>
                  <pic:blipFill>
                    <a:blip r:embed="rId21"/>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6).</w:t>
      </w:r>
    </w:p>
    <w:p>
      <w:pPr>
        <w:spacing w:before="0" w:after="0"/>
        <w:jc w:val="both"/>
      </w:pP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fig_9.png"/>
                    <pic:cNvPicPr/>
                  </pic:nvPicPr>
                  <pic:blipFill>
                    <a:blip r:embed="rId22"/>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7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7" name="Picture 7"/>
            <wp:cNvGraphicFramePr>
              <a:graphicFrameLocks noChangeAspect="1"/>
            </wp:cNvGraphicFramePr>
            <a:graphic>
              <a:graphicData uri="http://schemas.openxmlformats.org/drawingml/2006/picture">
                <pic:pic>
                  <pic:nvPicPr>
                    <pic:cNvPr id="0" name="cluster_characteristics.png"/>
                    <pic:cNvPicPr/>
                  </pic:nvPicPr>
                  <pic:blipFill>
                    <a:blip r:embed="rId23"/>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8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8" name="Picture 8"/>
            <wp:cNvGraphicFramePr>
              <a:graphicFrameLocks noChangeAspect="1"/>
            </wp:cNvGraphicFramePr>
            <a:graphic>
              <a:graphicData uri="http://schemas.openxmlformats.org/drawingml/2006/picture">
                <pic:pic>
                  <pic:nvPicPr>
                    <pic:cNvPr id="0" name="significance_by_lag.png"/>
                    <pic:cNvPicPr/>
                  </pic:nvPicPr>
                  <pic:blipFill>
                    <a:blip r:embed="rId24"/>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9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9" name="Picture 9"/>
            <wp:cNvGraphicFramePr>
              <a:graphicFrameLocks noChangeAspect="1"/>
            </wp:cNvGraphicFramePr>
            <a:graphic>
              <a:graphicData uri="http://schemas.openxmlformats.org/drawingml/2006/picture">
                <pic:pic>
                  <pic:nvPicPr>
                    <pic:cNvPr id="0" name="fig_14.png"/>
                    <pic:cNvPicPr/>
                  </pic:nvPicPr>
                  <pic:blipFill>
                    <a:blip r:embed="rId25"/>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(2016b)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(2009)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Zaddach, W.-G., &amp; Abeßer, J. (2016a).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Frieler, K., Pfleiderer, M., Abeßer, J., &amp; Zaddach, W.-G. (2016b).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(2009). </w:t>
      </w:r>
      <w:r>
        <w:rPr>
          <w:rFonts w:ascii="Times New Roman" w:hAnsi="Times New Roman"/>
          <w:i/>
          <w:sz w:val="20"/>
        </w:rPr>
        <w:t>Charlie Parker: 60 melodies &amp; solos</w:t>
      </w:r>
      <w:r>
        <w:rPr>
          <w:rFonts w:ascii="Times New Roman" w:hAnsi="Times New Roman"/>
          <w:sz w:val="20"/>
        </w:rPr>
        <w:t>. Qpress.</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xml:space="preserve"> (2nd ed.). Masaya Music Services.</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060977"/>
            <wp:docPr id="10" name="Picture 10"/>
            <wp:cNvGraphicFramePr>
              <a:graphicFrameLocks noChangeAspect="1"/>
            </wp:cNvGraphicFramePr>
            <a:graphic>
              <a:graphicData uri="http://schemas.openxmlformats.org/drawingml/2006/picture">
                <pic:pic>
                  <pic:nvPicPr>
                    <pic:cNvPr id="0" name="pipeline2.png"/>
                    <pic:cNvPicPr/>
                  </pic:nvPicPr>
                  <pic:blipFill>
                    <a:blip r:embed="rId26"/>
                    <a:stretch>
                      <a:fillRect/>
                    </a:stretch>
                  </pic:blipFill>
                  <pic:spPr>
                    <a:xfrm>
                      <a:off x="0" y="0"/>
                      <a:ext cx="5029200" cy="12060977"/>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