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ind w:left="2551" w:right="2551"/>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complexity, dissonance, and rate of change, and analyze temporal patterns through phrase-level segmentation using notated rest boundaries. We identify three improvisational strategies and introduce two measures: </w:t>
      </w:r>
      <w:r>
        <w:rPr>
          <w:rFonts w:ascii="Times New Roman" w:hAnsi="Times New Roman"/>
          <w:i/>
          <w:sz w:val="20"/>
        </w:rPr>
        <w:t>gravity</w:t>
      </w:r>
      <w:r>
        <w:rPr>
          <w:rFonts w:ascii="Times New Roman" w:hAnsi="Times New Roman"/>
          <w:sz w:val="20"/>
        </w:rPr>
        <w:t xml:space="preserve">, the extent to which one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an interval vector contains.</w:t>
      </w:r>
    </w:p>
    <w:p>
      <w:pPr>
        <w:spacing w:before="0" w:after="0"/>
        <w:jc w:val="both"/>
      </w:pPr>
    </w:p>
    <w:p>
      <w:pPr>
        <w:spacing w:before="0" w:after="0"/>
        <w:ind w:left="2551" w:right="2551"/>
        <w:jc w:val="both"/>
      </w:pPr>
      <w:r>
        <w:rPr>
          <w:rFonts w:ascii="Times New Roman" w:hAnsi="Times New Roman"/>
          <w:sz w:val="20"/>
        </w:rPr>
        <w:t>In most performances what Parker plays in one phrase does not help predict the next: in 80.4% of solos, dissonance carries no predictive information about the complexity that follows, or the reverse; organization above the phrase appears to be the rule. Clustering on complexity, volatility and predictability yields three groups differing in this respect, from almost no phrase-to-phrase prediction (3.6%) to organization through phrase duration (23.1%). A null model holding the progressions fixed confirms this continuity is Parker's, not the tunes'. Separately, the interval vectors he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suggesting fluency built on structures that stay open to many continuations.</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i/>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4"/>
        </w:rPr>
        <w:t>H</w:t>
      </w:r>
      <w:r>
        <w:rPr>
          <w:rFonts w:ascii="Times New Roman" w:hAnsi="Times New Roman"/>
          <w:sz w:val="20"/>
        </w:rPr>
        <w:t>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2016b;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8335945"/>
            <wp:docPr id="1" name="Picture 1"/>
            <wp:cNvGraphicFramePr>
              <a:graphicFrameLocks noChangeAspect="1"/>
            </wp:cNvGraphicFramePr>
            <a:graphic>
              <a:graphicData uri="http://schemas.openxmlformats.org/drawingml/2006/picture">
                <pic:pic>
                  <pic:nvPicPr>
                    <pic:cNvPr id="0" name="pipeline1_hi.png"/>
                    <pic:cNvPicPr/>
                  </pic:nvPicPr>
                  <pic:blipFill>
                    <a:blip r:embed="rId17"/>
                    <a:stretch>
                      <a:fillRect/>
                    </a:stretch>
                  </pic:blipFill>
                  <pic:spPr>
                    <a:xfrm>
                      <a:off x="0" y="0"/>
                      <a:ext cx="5029200" cy="8335945"/>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 Figure 3a notates this example; Figures 3b and 3c are referred to under robustness below.</w:t>
      </w:r>
    </w:p>
    <w:p>
      <w:pPr>
        <w:spacing w:before="0" w:after="0"/>
        <w:jc w:val="both"/>
      </w:pPr>
    </w:p>
    <w:p>
      <w:pPr>
        <w:jc w:val="center"/>
      </w:pPr>
      <w:r>
        <w:drawing>
          <wp:inline xmlns:a="http://schemas.openxmlformats.org/drawingml/2006/main" xmlns:pic="http://schemas.openxmlformats.org/drawingml/2006/picture">
            <wp:extent cx="4754880" cy="866504"/>
            <wp:docPr id="3" name="Picture 3"/>
            <wp:cNvGraphicFramePr>
              <a:graphicFrameLocks noChangeAspect="1"/>
            </wp:cNvGraphicFramePr>
            <a:graphic>
              <a:graphicData uri="http://schemas.openxmlformats.org/drawingml/2006/picture">
                <pic:pic>
                  <pic:nvPicPr>
                    <pic:cNvPr id="0" name="ex_notation_hi.png"/>
                    <pic:cNvPicPr/>
                  </pic:nvPicPr>
                  <pic:blipFill>
                    <a:blip r:embed="rId19"/>
                    <a:stretch>
                      <a:fillRect/>
                    </a:stretch>
                  </pic:blipFill>
                  <pic:spPr>
                    <a:xfrm>
                      <a:off x="0" y="0"/>
                      <a:ext cx="4754880" cy="866504"/>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Notated examples, all over a C7 chord. (a) The worked example used in the text: {C, E, G, B♭}, whose interval vector is (0, 1, 2, 1, 1, 1). (b) A triadically sparse collection, {C, D, E♭, B♭}, which contains no complete triad. (c) A triadically dense collection, {C, E♭, G♭, A}, which contains four, one on each of its notes.</w:t>
      </w:r>
    </w:p>
    <w:p>
      <w:pPr>
        <w:spacing w:before="0" w:after="0"/>
        <w:jc w:val="both"/>
      </w:pP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The relation is exact rather than approximate — complexity equals n(n−1)/2 for n distinct pitch classes in every one of the 3,371 segments — so complexity is a re-expression of how many distinct pitch classes a segment contains, and carries no information about which ones.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11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To separate the two we built a null model that holds the progressions fixed and replaces the improviser. For every segment it keeps the actual chord, key, and position in the performance, draws the number of distinct pitch classes from the distribution that chord function attracts corpus-wide, and draws that many pitch classes at random from the scale the chord implies under chord-scale theory. Complexity and dissonance are then computed exactly as above, phrases are rebuilt over the same rest-delimited spans, and the same statistics are run. Five hundred such corpora were generated. Whatever the null reproduces belongs to the progressions; whatever only the observed data shows belongs to Parker.</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The collection {C, D, E♭, B♭} in Figure 3b contains none at all, while {C, E♭, G♭, A} in Figure 3c contains four, a diminished triad on each of its four notes. The worked example {C, E, G, B♭} in Figure 3a sits between them with two, C major and E diminished.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IV</w:t>
            </w:r>
          </w:p>
        </w:tc>
        <w:tc>
          <w:tcPr>
            <w:tcW w:type="dxa" w:w="1440"/>
          </w:tcPr>
          <w:p>
            <w:pPr>
              <w:jc w:val="center"/>
            </w:pPr>
            <w:r/>
            <w:r>
              <w:rPr>
                <w:rFonts w:ascii="Times New Roman" w:hAnsi="Times New Roman"/>
                <w:b/>
                <w:sz w:val="20"/>
              </w:rPr>
              <w:t>Forte</w:t>
            </w:r>
          </w:p>
        </w:tc>
        <w:tc>
          <w:tcPr>
            <w:tcW w:type="dxa" w:w="1440"/>
          </w:tcPr>
          <w:p>
            <w:pPr>
              <w:jc w:val="center"/>
            </w:pPr>
            <w:r/>
            <w:r>
              <w:rPr>
                <w:rFonts w:ascii="Times New Roman" w:hAnsi="Times New Roman"/>
                <w:b/>
                <w:sz w:val="20"/>
              </w:rPr>
              <w:t>Freq.</w:t>
            </w:r>
          </w:p>
        </w:tc>
        <w:tc>
          <w:tcPr>
            <w:tcW w:type="dxa" w:w="1440"/>
          </w:tcPr>
          <w:p>
            <w:pPr>
              <w:jc w:val="center"/>
            </w:pPr>
            <w:r/>
            <w:r>
              <w:rPr>
                <w:rFonts w:ascii="Times New Roman" w:hAnsi="Times New Roman"/>
                <w:b/>
                <w:sz w:val="20"/>
              </w:rPr>
              <w:t>% of Corpus</w:t>
            </w:r>
          </w:p>
        </w:tc>
        <w:tc>
          <w:tcPr>
            <w:tcW w:type="dxa" w:w="1440"/>
          </w:tcPr>
          <w:p>
            <w:pPr>
              <w:jc w:val="center"/>
            </w:pPr>
            <w:r/>
            <w:r>
              <w:rPr>
                <w:rFonts w:ascii="Times New Roman" w:hAnsi="Times New Roman"/>
                <w:b/>
                <w:sz w:val="20"/>
              </w:rPr>
              <w:t>Primary Function</w:t>
            </w:r>
          </w:p>
        </w:tc>
        <w:tc>
          <w:tcPr>
            <w:tcW w:type="dxa" w:w="1440"/>
          </w:tcPr>
          <w:p>
            <w:pPr>
              <w:jc w:val="center"/>
            </w:pPr>
            <w:r/>
            <w:r>
              <w:rPr>
                <w:rFonts w:ascii="Times New Roman" w:hAnsi="Times New Roman"/>
                <w:b/>
                <w:sz w:val="20"/>
              </w:rPr>
              <w:t>Function Distribution</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3-2</w:t>
            </w:r>
          </w:p>
        </w:tc>
        <w:tc>
          <w:tcPr>
            <w:tcW w:type="dxa" w:w="1440"/>
          </w:tcPr>
          <w:p>
            <w:pPr>
              <w:jc w:val="center"/>
            </w:pPr>
            <w:r/>
            <w:r>
              <w:rPr>
                <w:rFonts w:ascii="Times New Roman" w:hAnsi="Times New Roman"/>
                <w:sz w:val="20"/>
              </w:rPr>
              <w:t>226</w:t>
            </w:r>
          </w:p>
        </w:tc>
        <w:tc>
          <w:tcPr>
            <w:tcW w:type="dxa" w:w="1440"/>
          </w:tcPr>
          <w:p>
            <w:pPr>
              <w:jc w:val="center"/>
            </w:pPr>
            <w:r/>
            <w:r>
              <w:rPr>
                <w:rFonts w:ascii="Times New Roman" w:hAnsi="Times New Roman"/>
                <w:sz w:val="20"/>
              </w:rPr>
              <w:t>6.70%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II: 51, I: 48, V: 44, IV: 24, VI: 19, III: 19</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4-10</w:t>
            </w:r>
          </w:p>
        </w:tc>
        <w:tc>
          <w:tcPr>
            <w:tcW w:type="dxa" w:w="1440"/>
          </w:tcPr>
          <w:p>
            <w:pPr>
              <w:jc w:val="center"/>
            </w:pPr>
            <w:r/>
            <w:r>
              <w:rPr>
                <w:rFonts w:ascii="Times New Roman" w:hAnsi="Times New Roman"/>
                <w:sz w:val="20"/>
              </w:rPr>
              <w:t>163</w:t>
            </w:r>
          </w:p>
        </w:tc>
        <w:tc>
          <w:tcPr>
            <w:tcW w:type="dxa" w:w="1440"/>
          </w:tcPr>
          <w:p>
            <w:pPr>
              <w:jc w:val="center"/>
            </w:pPr>
            <w:r/>
            <w:r>
              <w:rPr>
                <w:rFonts w:ascii="Times New Roman" w:hAnsi="Times New Roman"/>
                <w:sz w:val="20"/>
              </w:rPr>
              <w:t>4.84%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45, V: 37, II: 24, IV: 18, III: 14</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3-11</w:t>
            </w:r>
          </w:p>
        </w:tc>
        <w:tc>
          <w:tcPr>
            <w:tcW w:type="dxa" w:w="1440"/>
          </w:tcPr>
          <w:p>
            <w:pPr>
              <w:jc w:val="center"/>
            </w:pPr>
            <w:r/>
            <w:r>
              <w:rPr>
                <w:rFonts w:ascii="Times New Roman" w:hAnsi="Times New Roman"/>
                <w:sz w:val="20"/>
              </w:rPr>
              <w:t>121</w:t>
            </w:r>
          </w:p>
        </w:tc>
        <w:tc>
          <w:tcPr>
            <w:tcW w:type="dxa" w:w="1440"/>
          </w:tcPr>
          <w:p>
            <w:pPr>
              <w:jc w:val="center"/>
            </w:pPr>
            <w:r/>
            <w:r>
              <w:rPr>
                <w:rFonts w:ascii="Times New Roman" w:hAnsi="Times New Roman"/>
                <w:sz w:val="20"/>
              </w:rPr>
              <w:t>3.59%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48, II: 23, V: 18, III: 9, VI: 8, IV: 8</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5-27</w:t>
            </w:r>
          </w:p>
        </w:tc>
        <w:tc>
          <w:tcPr>
            <w:tcW w:type="dxa" w:w="1440"/>
          </w:tcPr>
          <w:p>
            <w:pPr>
              <w:jc w:val="center"/>
            </w:pPr>
            <w:r/>
            <w:r>
              <w:rPr>
                <w:rFonts w:ascii="Times New Roman" w:hAnsi="Times New Roman"/>
                <w:sz w:val="20"/>
              </w:rPr>
              <w:t>116</w:t>
            </w:r>
          </w:p>
        </w:tc>
        <w:tc>
          <w:tcPr>
            <w:tcW w:type="dxa" w:w="1440"/>
          </w:tcPr>
          <w:p>
            <w:pPr>
              <w:jc w:val="center"/>
            </w:pPr>
            <w:r/>
            <w:r>
              <w:rPr>
                <w:rFonts w:ascii="Times New Roman" w:hAnsi="Times New Roman"/>
                <w:sz w:val="20"/>
              </w:rPr>
              <w:t>3.44%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38, II: 29, IV: 15, V: 13, bIII: 10</w:t>
            </w:r>
          </w:p>
        </w:tc>
      </w:tr>
      <w:tr>
        <w:tc>
          <w:tcPr>
            <w:tcW w:type="dxa" w:w="1440"/>
          </w:tcPr>
          <w:p>
            <w:pPr>
              <w:jc w:val="center"/>
            </w:pPr>
            <w:r/>
            <w:r>
              <w:rPr>
                <w:rFonts w:ascii="Times New Roman" w:hAnsi="Times New Roman"/>
                <w:sz w:val="20"/>
              </w:rPr>
              <w:t>(021120)</w:t>
            </w:r>
          </w:p>
        </w:tc>
        <w:tc>
          <w:tcPr>
            <w:tcW w:type="dxa" w:w="1440"/>
          </w:tcPr>
          <w:p>
            <w:pPr>
              <w:jc w:val="center"/>
            </w:pPr>
            <w:r/>
            <w:r>
              <w:rPr>
                <w:rFonts w:ascii="Times New Roman" w:hAnsi="Times New Roman"/>
                <w:sz w:val="20"/>
              </w:rPr>
              <w:t>4-22</w:t>
            </w:r>
          </w:p>
        </w:tc>
        <w:tc>
          <w:tcPr>
            <w:tcW w:type="dxa" w:w="1440"/>
          </w:tcPr>
          <w:p>
            <w:pPr>
              <w:jc w:val="center"/>
            </w:pPr>
            <w:r/>
            <w:r>
              <w:rPr>
                <w:rFonts w:ascii="Times New Roman" w:hAnsi="Times New Roman"/>
                <w:sz w:val="20"/>
              </w:rPr>
              <w:t>98</w:t>
            </w:r>
          </w:p>
        </w:tc>
        <w:tc>
          <w:tcPr>
            <w:tcW w:type="dxa" w:w="1440"/>
          </w:tcPr>
          <w:p>
            <w:pPr>
              <w:jc w:val="center"/>
            </w:pPr>
            <w:r/>
            <w:r>
              <w:rPr>
                <w:rFonts w:ascii="Times New Roman" w:hAnsi="Times New Roman"/>
                <w:sz w:val="20"/>
              </w:rPr>
              <w:t>2.91%</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IV: 22, V: 19, II: 17, bVII: 6</w:t>
            </w:r>
          </w:p>
        </w:tc>
      </w:tr>
      <w:tr>
        <w:tc>
          <w:tcPr>
            <w:tcW w:type="dxa" w:w="1440"/>
          </w:tcPr>
          <w:p>
            <w:pPr>
              <w:jc w:val="center"/>
            </w:pPr>
            <w:r/>
            <w:r>
              <w:rPr>
                <w:rFonts w:ascii="Times New Roman" w:hAnsi="Times New Roman"/>
                <w:sz w:val="20"/>
              </w:rPr>
              <w:t>(011010)</w:t>
            </w:r>
          </w:p>
        </w:tc>
        <w:tc>
          <w:tcPr>
            <w:tcW w:type="dxa" w:w="1440"/>
          </w:tcPr>
          <w:p>
            <w:pPr>
              <w:jc w:val="center"/>
            </w:pPr>
            <w:r/>
            <w:r>
              <w:rPr>
                <w:rFonts w:ascii="Times New Roman" w:hAnsi="Times New Roman"/>
                <w:sz w:val="20"/>
              </w:rPr>
              <w:t>3-7</w:t>
            </w:r>
          </w:p>
        </w:tc>
        <w:tc>
          <w:tcPr>
            <w:tcW w:type="dxa" w:w="1440"/>
          </w:tcPr>
          <w:p>
            <w:pPr>
              <w:jc w:val="center"/>
            </w:pPr>
            <w:r/>
            <w:r>
              <w:rPr>
                <w:rFonts w:ascii="Times New Roman" w:hAnsi="Times New Roman"/>
                <w:sz w:val="20"/>
              </w:rPr>
              <w:t>94</w:t>
            </w:r>
          </w:p>
        </w:tc>
        <w:tc>
          <w:tcPr>
            <w:tcW w:type="dxa" w:w="1440"/>
          </w:tcPr>
          <w:p>
            <w:pPr>
              <w:jc w:val="center"/>
            </w:pPr>
            <w:r/>
            <w:r>
              <w:rPr>
                <w:rFonts w:ascii="Times New Roman" w:hAnsi="Times New Roman"/>
                <w:sz w:val="20"/>
              </w:rPr>
              <w:t>2.79%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39, II: 19, IV: 11, V: 11, bVII: 6</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4-11</w:t>
            </w:r>
          </w:p>
        </w:tc>
        <w:tc>
          <w:tcPr>
            <w:tcW w:type="dxa" w:w="1440"/>
          </w:tcPr>
          <w:p>
            <w:pPr>
              <w:jc w:val="center"/>
            </w:pPr>
            <w:r/>
            <w:r>
              <w:rPr>
                <w:rFonts w:ascii="Times New Roman" w:hAnsi="Times New Roman"/>
                <w:sz w:val="20"/>
              </w:rPr>
              <w:t>92</w:t>
            </w:r>
          </w:p>
        </w:tc>
        <w:tc>
          <w:tcPr>
            <w:tcW w:type="dxa" w:w="1440"/>
          </w:tcPr>
          <w:p>
            <w:pPr>
              <w:jc w:val="center"/>
            </w:pPr>
            <w:r/>
            <w:r>
              <w:rPr>
                <w:rFonts w:ascii="Times New Roman" w:hAnsi="Times New Roman"/>
                <w:sz w:val="20"/>
              </w:rPr>
              <w:t>2.73%</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V: 22, II: 12, IV: 11, bIII: 8</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4-14</w:t>
            </w:r>
          </w:p>
        </w:tc>
        <w:tc>
          <w:tcPr>
            <w:tcW w:type="dxa" w:w="1440"/>
          </w:tcPr>
          <w:p>
            <w:pPr>
              <w:jc w:val="center"/>
            </w:pPr>
            <w:r/>
            <w:r>
              <w:rPr>
                <w:rFonts w:ascii="Times New Roman" w:hAnsi="Times New Roman"/>
                <w:sz w:val="20"/>
              </w:rPr>
              <w:t>90</w:t>
            </w:r>
          </w:p>
        </w:tc>
        <w:tc>
          <w:tcPr>
            <w:tcW w:type="dxa" w:w="1440"/>
          </w:tcPr>
          <w:p>
            <w:pPr>
              <w:jc w:val="center"/>
            </w:pPr>
            <w:r/>
            <w:r>
              <w:rPr>
                <w:rFonts w:ascii="Times New Roman" w:hAnsi="Times New Roman"/>
                <w:sz w:val="20"/>
              </w:rPr>
              <w:t>2.67%</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30, II: 18, VI: 13, IV: 9, V: 9</w:t>
            </w:r>
          </w:p>
        </w:tc>
      </w:tr>
      <w:tr>
        <w:tc>
          <w:tcPr>
            <w:tcW w:type="dxa" w:w="1440"/>
          </w:tcPr>
          <w:p>
            <w:pPr>
              <w:jc w:val="center"/>
            </w:pPr>
            <w:r/>
            <w:r>
              <w:rPr>
                <w:rFonts w:ascii="Times New Roman" w:hAnsi="Times New Roman"/>
                <w:sz w:val="20"/>
              </w:rPr>
              <w:t>(012120)</w:t>
            </w:r>
          </w:p>
        </w:tc>
        <w:tc>
          <w:tcPr>
            <w:tcW w:type="dxa" w:w="1440"/>
          </w:tcPr>
          <w:p>
            <w:pPr>
              <w:jc w:val="center"/>
            </w:pPr>
            <w:r/>
            <w:r>
              <w:rPr>
                <w:rFonts w:ascii="Times New Roman" w:hAnsi="Times New Roman"/>
                <w:sz w:val="20"/>
              </w:rPr>
              <w:t>4-26</w:t>
            </w:r>
          </w:p>
        </w:tc>
        <w:tc>
          <w:tcPr>
            <w:tcW w:type="dxa" w:w="1440"/>
          </w:tcPr>
          <w:p>
            <w:pPr>
              <w:jc w:val="center"/>
            </w:pPr>
            <w:r/>
            <w:r>
              <w:rPr>
                <w:rFonts w:ascii="Times New Roman" w:hAnsi="Times New Roman"/>
                <w:sz w:val="20"/>
              </w:rPr>
              <w:t>81</w:t>
            </w:r>
          </w:p>
        </w:tc>
        <w:tc>
          <w:tcPr>
            <w:tcW w:type="dxa" w:w="1440"/>
          </w:tcPr>
          <w:p>
            <w:pPr>
              <w:jc w:val="center"/>
            </w:pPr>
            <w:r/>
            <w:r>
              <w:rPr>
                <w:rFonts w:ascii="Times New Roman" w:hAnsi="Times New Roman"/>
                <w:sz w:val="20"/>
              </w:rPr>
              <w:t>2.40%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II: 18, IV: 13, V: 8, III: 5, bIII: 5</w:t>
            </w:r>
          </w:p>
        </w:tc>
      </w:tr>
      <w:tr>
        <w:tc>
          <w:tcPr>
            <w:tcW w:type="dxa" w:w="1440"/>
          </w:tcPr>
          <w:p>
            <w:pPr>
              <w:jc w:val="center"/>
            </w:pPr>
            <w:r/>
            <w:r>
              <w:rPr>
                <w:rFonts w:ascii="Times New Roman" w:hAnsi="Times New Roman"/>
                <w:sz w:val="20"/>
              </w:rPr>
              <w:t>(132130)</w:t>
            </w:r>
          </w:p>
        </w:tc>
        <w:tc>
          <w:tcPr>
            <w:tcW w:type="dxa" w:w="1440"/>
          </w:tcPr>
          <w:p>
            <w:pPr>
              <w:jc w:val="center"/>
            </w:pPr>
            <w:r/>
            <w:r>
              <w:rPr>
                <w:rFonts w:ascii="Times New Roman" w:hAnsi="Times New Roman"/>
                <w:sz w:val="20"/>
              </w:rPr>
              <w:t>5-23</w:t>
            </w:r>
          </w:p>
        </w:tc>
        <w:tc>
          <w:tcPr>
            <w:tcW w:type="dxa" w:w="1440"/>
          </w:tcPr>
          <w:p>
            <w:pPr>
              <w:jc w:val="center"/>
            </w:pPr>
            <w:r/>
            <w:r>
              <w:rPr>
                <w:rFonts w:ascii="Times New Roman" w:hAnsi="Times New Roman"/>
                <w:sz w:val="20"/>
              </w:rPr>
              <w:t>74</w:t>
            </w:r>
          </w:p>
        </w:tc>
        <w:tc>
          <w:tcPr>
            <w:tcW w:type="dxa" w:w="1440"/>
          </w:tcPr>
          <w:p>
            <w:pPr>
              <w:jc w:val="center"/>
            </w:pPr>
            <w:r/>
            <w:r>
              <w:rPr>
                <w:rFonts w:ascii="Times New Roman" w:hAnsi="Times New Roman"/>
                <w:sz w:val="20"/>
              </w:rPr>
              <w:t>2.20%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IV: 17, II: 14, bIII: 7, V: 5</w:t>
            </w:r>
          </w:p>
        </w:tc>
      </w:tr>
    </w:tbl>
    <w:p>
      <w:pPr>
        <w:jc w:val="center"/>
      </w:pPr>
      <w:r>
        <w:rPr>
          <w:rFonts w:ascii="Times New Roman" w:hAnsi="Times New Roman"/>
          <w:i/>
          <w:sz w:val="20"/>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Source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w:t>
            </w:r>
          </w:p>
        </w:tc>
        <w:tc>
          <w:tcPr>
            <w:tcW w:type="dxa" w:w="1440"/>
          </w:tcPr>
          <w:p>
            <w:pPr>
              <w:jc w:val="center"/>
            </w:pPr>
            <w:r/>
            <w:r>
              <w:rPr>
                <w:rFonts w:ascii="Times New Roman" w:hAnsi="Times New Roman"/>
                <w:b/>
                <w:sz w:val="20"/>
              </w:rPr>
              <w:t>Target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Count</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19</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18</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(111111)</w:t>
            </w:r>
          </w:p>
        </w:tc>
        <w:tc>
          <w:tcPr>
            <w:tcW w:type="dxa" w:w="1440"/>
          </w:tcPr>
          <w:p>
            <w:pPr>
              <w:jc w:val="center"/>
            </w:pPr>
            <w:r/>
            <w:r>
              <w:rPr>
                <w:rFonts w:ascii="Times New Roman" w:hAnsi="Times New Roman"/>
                <w:sz w:val="20"/>
              </w:rPr>
              <w:t>V</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13</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11</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(112101)</w:t>
            </w:r>
          </w:p>
        </w:tc>
        <w:tc>
          <w:tcPr>
            <w:tcW w:type="dxa" w:w="1440"/>
          </w:tcPr>
          <w:p>
            <w:pPr>
              <w:jc w:val="center"/>
            </w:pPr>
            <w:r/>
            <w:r>
              <w:rPr>
                <w:rFonts w:ascii="Times New Roman" w:hAnsi="Times New Roman"/>
                <w:sz w:val="20"/>
              </w:rPr>
              <w:t>VI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(101220)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4).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fig_5.png"/>
                    <pic:cNvPicPr/>
                  </pic:nvPicPr>
                  <pic:blipFill>
                    <a:blip r:embed="rId20"/>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12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5).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6.png"/>
                    <pic:cNvPicPr/>
                  </pic:nvPicPr>
                  <pic:blipFill>
                    <a:blip r:embed="rId21"/>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6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fig_8.png"/>
                    <pic:cNvPicPr/>
                  </pic:nvPicPr>
                  <pic:blipFill>
                    <a:blip r:embed="rId22"/>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7).</w:t>
      </w:r>
    </w:p>
    <w:p>
      <w:pPr>
        <w:spacing w:before="0" w:after="0"/>
        <w:jc w:val="both"/>
      </w:pP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fig_9.png"/>
                    <pic:cNvPicPr/>
                  </pic:nvPicPr>
                  <pic:blipFill>
                    <a:blip r:embed="rId23"/>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13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20"/>
              </w:rPr>
              <w:t>Weighting (ic₁, ic₂, ic₆)</w:t>
            </w:r>
          </w:p>
        </w:tc>
        <w:tc>
          <w:tcPr>
            <w:tcW w:type="dxa" w:w="2880"/>
          </w:tcPr>
          <w:p>
            <w:pPr>
              <w:jc w:val="center"/>
            </w:pPr>
            <w:r/>
            <w:r>
              <w:rPr>
                <w:rFonts w:ascii="Times New Roman" w:hAnsi="Times New Roman"/>
                <w:b/>
                <w:sz w:val="20"/>
              </w:rPr>
              <w:t>ARI</w:t>
            </w:r>
          </w:p>
        </w:tc>
        <w:tc>
          <w:tcPr>
            <w:tcW w:type="dxa" w:w="2880"/>
          </w:tcPr>
          <w:p>
            <w:pPr>
              <w:jc w:val="center"/>
            </w:pPr>
            <w:r/>
            <w:r>
              <w:rPr>
                <w:rFonts w:ascii="Times New Roman" w:hAnsi="Times New Roman"/>
                <w:b/>
                <w:sz w:val="20"/>
              </w:rPr>
              <w:t>Tunes assigned alike</w:t>
            </w:r>
          </w:p>
        </w:tc>
      </w:tr>
      <w:tr>
        <w:tc>
          <w:tcPr>
            <w:tcW w:type="dxa" w:w="2880"/>
          </w:tcPr>
          <w:p>
            <w:pPr>
              <w:jc w:val="center"/>
            </w:pPr>
            <w:r/>
            <w:r>
              <w:rPr>
                <w:rFonts w:ascii="Times New Roman" w:hAnsi="Times New Roman"/>
                <w:sz w:val="20"/>
              </w:rPr>
              <w:t>reported: 1.0, 0.5, 0.8</w:t>
            </w:r>
          </w:p>
        </w:tc>
        <w:tc>
          <w:tcPr>
            <w:tcW w:type="dxa" w:w="2880"/>
          </w:tcPr>
          <w:p>
            <w:pPr>
              <w:jc w:val="center"/>
            </w:pPr>
            <w:r/>
            <w:r>
              <w:rPr>
                <w:rFonts w:ascii="Times New Roman" w:hAnsi="Times New Roman"/>
                <w:sz w:val="20"/>
              </w:rPr>
              <w:t>—</w:t>
            </w:r>
          </w:p>
        </w:tc>
        <w:tc>
          <w:tcPr>
            <w:tcW w:type="dxa" w:w="2880"/>
          </w:tcPr>
          <w:p>
            <w:pPr>
              <w:jc w:val="center"/>
            </w:pPr>
            <w:r/>
            <w:r>
              <w:rPr>
                <w:rFonts w:ascii="Times New Roman" w:hAnsi="Times New Roman"/>
                <w:sz w:val="20"/>
              </w:rPr>
              <w:t>—</w:t>
            </w:r>
          </w:p>
        </w:tc>
      </w:tr>
      <w:tr>
        <w:tc>
          <w:tcPr>
            <w:tcW w:type="dxa" w:w="2880"/>
          </w:tcPr>
          <w:p>
            <w:pPr>
              <w:jc w:val="center"/>
            </w:pPr>
            <w:r/>
            <w:r>
              <w:rPr>
                <w:rFonts w:ascii="Times New Roman" w:hAnsi="Times New Roman"/>
                <w:sz w:val="20"/>
              </w:rPr>
              <w:t>1.0, 0.5, 0.6</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1.0, 0.5, 1.0</w:t>
            </w:r>
          </w:p>
        </w:tc>
        <w:tc>
          <w:tcPr>
            <w:tcW w:type="dxa" w:w="2880"/>
          </w:tcPr>
          <w:p>
            <w:pPr>
              <w:jc w:val="center"/>
            </w:pPr>
            <w:r/>
            <w:r>
              <w:rPr>
                <w:rFonts w:ascii="Times New Roman" w:hAnsi="Times New Roman"/>
                <w:sz w:val="20"/>
              </w:rPr>
              <w:t>0.58</w:t>
            </w:r>
          </w:p>
        </w:tc>
        <w:tc>
          <w:tcPr>
            <w:tcW w:type="dxa" w:w="2880"/>
          </w:tcPr>
          <w:p>
            <w:pPr>
              <w:jc w:val="center"/>
            </w:pPr>
            <w:r/>
            <w:r>
              <w:rPr>
                <w:rFonts w:ascii="Times New Roman" w:hAnsi="Times New Roman"/>
                <w:sz w:val="20"/>
              </w:rPr>
              <w:t>83%</w:t>
            </w:r>
          </w:p>
        </w:tc>
      </w:tr>
      <w:tr>
        <w:tc>
          <w:tcPr>
            <w:tcW w:type="dxa" w:w="2880"/>
          </w:tcPr>
          <w:p>
            <w:pPr>
              <w:jc w:val="center"/>
            </w:pPr>
            <w:r/>
            <w:r>
              <w:rPr>
                <w:rFonts w:ascii="Times New Roman" w:hAnsi="Times New Roman"/>
                <w:sz w:val="20"/>
              </w:rPr>
              <w:t>1.0, 0.25, 0.8</w:t>
            </w:r>
          </w:p>
        </w:tc>
        <w:tc>
          <w:tcPr>
            <w:tcW w:type="dxa" w:w="2880"/>
          </w:tcPr>
          <w:p>
            <w:pPr>
              <w:jc w:val="center"/>
            </w:pPr>
            <w:r/>
            <w:r>
              <w:rPr>
                <w:rFonts w:ascii="Times New Roman" w:hAnsi="Times New Roman"/>
                <w:sz w:val="20"/>
              </w:rPr>
              <w:t>0.55</w:t>
            </w:r>
          </w:p>
        </w:tc>
        <w:tc>
          <w:tcPr>
            <w:tcW w:type="dxa" w:w="2880"/>
          </w:tcPr>
          <w:p>
            <w:pPr>
              <w:jc w:val="center"/>
            </w:pPr>
            <w:r/>
            <w:r>
              <w:rPr>
                <w:rFonts w:ascii="Times New Roman" w:hAnsi="Times New Roman"/>
                <w:sz w:val="20"/>
              </w:rPr>
              <w:t>85%</w:t>
            </w:r>
          </w:p>
        </w:tc>
      </w:tr>
      <w:tr>
        <w:tc>
          <w:tcPr>
            <w:tcW w:type="dxa" w:w="2880"/>
          </w:tcPr>
          <w:p>
            <w:pPr>
              <w:jc w:val="center"/>
            </w:pPr>
            <w:r/>
            <w:r>
              <w:rPr>
                <w:rFonts w:ascii="Times New Roman" w:hAnsi="Times New Roman"/>
                <w:sz w:val="20"/>
              </w:rPr>
              <w:t>1.0, 1.0, 1.0</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0.8 plus ic₄ at 0.2</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bl>
    <w:p>
      <w:pPr>
        <w:jc w:val="center"/>
      </w:pPr>
      <w:r>
        <w:rPr>
          <w:rFonts w:ascii="Times New Roman" w:hAnsi="Times New Roman"/>
          <w:i/>
          <w:sz w:val="20"/>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8 shows how the four groups separate across the clustering features, and Figure 14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8" name="Picture 8"/>
            <wp:cNvGraphicFramePr>
              <a:graphicFrameLocks noChangeAspect="1"/>
            </wp:cNvGraphicFramePr>
            <a:graphic>
              <a:graphicData uri="http://schemas.openxmlformats.org/drawingml/2006/picture">
                <pic:pic>
                  <pic:nvPicPr>
                    <pic:cNvPr id="0" name="cluster_characteristics.png"/>
                    <pic:cNvPicPr/>
                  </pic:nvPicPr>
                  <pic:blipFill>
                    <a:blip r:embed="rId24"/>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Because the segments follow a fixed chord sequence, these rates need to be read against what the progressions alone would produce. Table 4 compares each statistic with the null model described in the Methodology. Three results stand out. Phrase-to-phrase predictability is Parker's and not the tunes': mean lag-1 autocorrelation is +0.152 in the corpus against −0.031 under the null, whose 95% interval excludes it, so the continuity on which the strategy clustering rests does not follow from the changes. The Dissonance→Complexity rate also exceeds the null (17.4% against 4.8%, 95% interval [0.0, 13.0]). The Complexity→Dissonance rate does not (8.7% against 4.9%, interval [0.0, 12.0]): that weaker direction is not distinguishable from what the chord sequence produces by itself, and we therefore withdraw any claim to it. The asymmetry we report above is on this evidence an asymmetry between one direction that survives the control and one that does not.</w:t>
      </w:r>
    </w:p>
    <w:p>
      <w:pPr>
        <w:spacing w:before="0" w:after="0"/>
        <w:jc w:val="both"/>
      </w:pPr>
    </w:p>
    <w:p>
      <w:pPr>
        <w:spacing w:before="120" w:after="120"/>
        <w:jc w:val="both"/>
      </w:pPr>
      <w:r>
        <w:rPr>
          <w:rFonts w:ascii="Times New Roman" w:hAnsi="Times New Roman"/>
          <w:b/>
          <w:sz w:val="20"/>
        </w:rPr>
        <w:t>Table 4. Observed statistics compared with a null model that holds the chord progressions fixed.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Statistic</w:t>
            </w:r>
          </w:p>
        </w:tc>
        <w:tc>
          <w:tcPr>
            <w:tcW w:type="dxa" w:w="1728"/>
          </w:tcPr>
          <w:p>
            <w:pPr>
              <w:jc w:val="center"/>
            </w:pPr>
            <w:r/>
            <w:r>
              <w:rPr>
                <w:rFonts w:ascii="Times New Roman" w:hAnsi="Times New Roman"/>
                <w:b/>
                <w:sz w:val="20"/>
              </w:rPr>
              <w:t>Observed</w:t>
            </w:r>
          </w:p>
        </w:tc>
        <w:tc>
          <w:tcPr>
            <w:tcW w:type="dxa" w:w="1728"/>
          </w:tcPr>
          <w:p>
            <w:pPr>
              <w:jc w:val="center"/>
            </w:pPr>
            <w:r/>
            <w:r>
              <w:rPr>
                <w:rFonts w:ascii="Times New Roman" w:hAnsi="Times New Roman"/>
                <w:b/>
                <w:sz w:val="20"/>
              </w:rPr>
              <w:t>Null mean</w:t>
            </w:r>
          </w:p>
        </w:tc>
        <w:tc>
          <w:tcPr>
            <w:tcW w:type="dxa" w:w="1728"/>
          </w:tcPr>
          <w:p>
            <w:pPr>
              <w:jc w:val="center"/>
            </w:pPr>
            <w:r/>
            <w:r>
              <w:rPr>
                <w:rFonts w:ascii="Times New Roman" w:hAnsi="Times New Roman"/>
                <w:b/>
                <w:sz w:val="20"/>
              </w:rPr>
              <w:t>Null 95% interval</w:t>
            </w:r>
          </w:p>
        </w:tc>
        <w:tc>
          <w:tcPr>
            <w:tcW w:type="dxa" w:w="1728"/>
          </w:tcPr>
          <w:p>
            <w:pPr>
              <w:jc w:val="center"/>
            </w:pPr>
            <w:r/>
            <w:r>
              <w:rPr>
                <w:rFonts w:ascii="Times New Roman" w:hAnsi="Times New Roman"/>
                <w:b/>
                <w:sz w:val="20"/>
              </w:rPr>
              <w:t>Verdict</w:t>
            </w:r>
          </w:p>
        </w:tc>
      </w:tr>
      <w:tr>
        <w:tc>
          <w:tcPr>
            <w:tcW w:type="dxa" w:w="1728"/>
          </w:tcPr>
          <w:p>
            <w:pPr>
              <w:jc w:val="center"/>
            </w:pPr>
            <w:r/>
            <w:r>
              <w:rPr>
                <w:rFonts w:ascii="Times New Roman" w:hAnsi="Times New Roman"/>
                <w:sz w:val="20"/>
              </w:rPr>
              <w:t>Mean complexity</w:t>
            </w:r>
          </w:p>
        </w:tc>
        <w:tc>
          <w:tcPr>
            <w:tcW w:type="dxa" w:w="1728"/>
          </w:tcPr>
          <w:p>
            <w:pPr>
              <w:jc w:val="center"/>
            </w:pPr>
            <w:r/>
            <w:r>
              <w:rPr>
                <w:rFonts w:ascii="Times New Roman" w:hAnsi="Times New Roman"/>
                <w:sz w:val="20"/>
              </w:rPr>
              <w:t>10.15</w:t>
            </w:r>
          </w:p>
        </w:tc>
        <w:tc>
          <w:tcPr>
            <w:tcW w:type="dxa" w:w="1728"/>
          </w:tcPr>
          <w:p>
            <w:pPr>
              <w:jc w:val="center"/>
            </w:pPr>
            <w:r/>
            <w:r>
              <w:rPr>
                <w:rFonts w:ascii="Times New Roman" w:hAnsi="Times New Roman"/>
                <w:sz w:val="20"/>
              </w:rPr>
              <w:t>9.70</w:t>
            </w:r>
          </w:p>
        </w:tc>
        <w:tc>
          <w:tcPr>
            <w:tcW w:type="dxa" w:w="1728"/>
          </w:tcPr>
          <w:p>
            <w:pPr>
              <w:jc w:val="center"/>
            </w:pPr>
            <w:r/>
            <w:r>
              <w:rPr>
                <w:rFonts w:ascii="Times New Roman" w:hAnsi="Times New Roman"/>
                <w:sz w:val="20"/>
              </w:rPr>
              <w:t>[9.49, 9.91]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dissonance</w:t>
            </w:r>
          </w:p>
        </w:tc>
        <w:tc>
          <w:tcPr>
            <w:tcW w:type="dxa" w:w="1728"/>
          </w:tcPr>
          <w:p>
            <w:pPr>
              <w:jc w:val="center"/>
            </w:pPr>
            <w:r/>
            <w:r>
              <w:rPr>
                <w:rFonts w:ascii="Times New Roman" w:hAnsi="Times New Roman"/>
                <w:sz w:val="20"/>
              </w:rPr>
              <w:t>3.16</w:t>
            </w:r>
          </w:p>
        </w:tc>
        <w:tc>
          <w:tcPr>
            <w:tcW w:type="dxa" w:w="1728"/>
          </w:tcPr>
          <w:p>
            <w:pPr>
              <w:jc w:val="center"/>
            </w:pPr>
            <w:r/>
            <w:r>
              <w:rPr>
                <w:rFonts w:ascii="Times New Roman" w:hAnsi="Times New Roman"/>
                <w:sz w:val="20"/>
              </w:rPr>
              <w:t>2.45</w:t>
            </w:r>
          </w:p>
        </w:tc>
        <w:tc>
          <w:tcPr>
            <w:tcW w:type="dxa" w:w="1728"/>
          </w:tcPr>
          <w:p>
            <w:pPr>
              <w:jc w:val="center"/>
            </w:pPr>
            <w:r/>
            <w:r>
              <w:rPr>
                <w:rFonts w:ascii="Times New Roman" w:hAnsi="Times New Roman"/>
                <w:sz w:val="20"/>
              </w:rPr>
              <w:t>[2.39, 2.51]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lag-1 autocorrelation</w:t>
            </w:r>
          </w:p>
        </w:tc>
        <w:tc>
          <w:tcPr>
            <w:tcW w:type="dxa" w:w="1728"/>
          </w:tcPr>
          <w:p>
            <w:pPr>
              <w:jc w:val="center"/>
            </w:pPr>
            <w:r/>
            <w:r>
              <w:rPr>
                <w:rFonts w:ascii="Times New Roman" w:hAnsi="Times New Roman"/>
                <w:sz w:val="20"/>
              </w:rPr>
              <w:t>+0.152</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[−0.081, +0.024]</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volatility (CV)</w:t>
            </w:r>
          </w:p>
        </w:tc>
        <w:tc>
          <w:tcPr>
            <w:tcW w:type="dxa" w:w="1728"/>
          </w:tcPr>
          <w:p>
            <w:pPr>
              <w:jc w:val="center"/>
            </w:pPr>
            <w:r/>
            <w:r>
              <w:rPr>
                <w:rFonts w:ascii="Times New Roman" w:hAnsi="Times New Roman"/>
                <w:sz w:val="20"/>
              </w:rPr>
              <w:t>0.588</w:t>
            </w:r>
          </w:p>
        </w:tc>
        <w:tc>
          <w:tcPr>
            <w:tcW w:type="dxa" w:w="1728"/>
          </w:tcPr>
          <w:p>
            <w:pPr>
              <w:jc w:val="center"/>
            </w:pPr>
            <w:r/>
            <w:r>
              <w:rPr>
                <w:rFonts w:ascii="Times New Roman" w:hAnsi="Times New Roman"/>
                <w:sz w:val="20"/>
              </w:rPr>
              <w:t>0.511</w:t>
            </w:r>
          </w:p>
        </w:tc>
        <w:tc>
          <w:tcPr>
            <w:tcW w:type="dxa" w:w="1728"/>
          </w:tcPr>
          <w:p>
            <w:pPr>
              <w:jc w:val="center"/>
            </w:pPr>
            <w:r/>
            <w:r>
              <w:rPr>
                <w:rFonts w:ascii="Times New Roman" w:hAnsi="Times New Roman"/>
                <w:sz w:val="20"/>
              </w:rPr>
              <w:t>[0.496, 0.527]</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Dissonance→Complexity rate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[0.0, 13.0]</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Complexity→Dissonance rate</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4.9%</w:t>
            </w:r>
          </w:p>
        </w:tc>
        <w:tc>
          <w:tcPr>
            <w:tcW w:type="dxa" w:w="1728"/>
          </w:tcPr>
          <w:p>
            <w:pPr>
              <w:jc w:val="center"/>
            </w:pPr>
            <w:r/>
            <w:r>
              <w:rPr>
                <w:rFonts w:ascii="Times New Roman" w:hAnsi="Times New Roman"/>
                <w:sz w:val="20"/>
              </w:rPr>
              <w:t>[0.0, 12.0]</w:t>
            </w:r>
          </w:p>
        </w:tc>
        <w:tc>
          <w:tcPr>
            <w:tcW w:type="dxa" w:w="1728"/>
          </w:tcPr>
          <w:p>
            <w:pPr>
              <w:jc w:val="center"/>
            </w:pPr>
            <w:r/>
            <w:r>
              <w:rPr>
                <w:rFonts w:ascii="Times New Roman" w:hAnsi="Times New Roman"/>
                <w:sz w:val="20"/>
              </w:rPr>
              <w:t>within null</w:t>
            </w:r>
          </w:p>
        </w:tc>
      </w:tr>
    </w:tbl>
    <w:p>
      <w:pPr>
        <w:jc w:val="center"/>
      </w:pPr>
      <w:r>
        <w:rPr>
          <w:rFonts w:ascii="Times New Roman" w:hAnsi="Times New Roman"/>
          <w:i/>
          <w:sz w:val="20"/>
        </w:rPr>
        <w:t>Note. 500 simulated corpora. Each keeps the observed chord sequence, key and phrase boundaries, and replaces Parker's notes with pitch classes drawn from the scale each chord implies.</w:t>
      </w:r>
    </w:p>
    <w:p>
      <w:pPr>
        <w:spacing w:before="0" w:after="0"/>
        <w:jc w:val="both"/>
      </w:pP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5.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5.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Dissonance measure</w:t>
            </w:r>
          </w:p>
        </w:tc>
        <w:tc>
          <w:tcPr>
            <w:tcW w:type="dxa" w:w="1728"/>
          </w:tcPr>
          <w:p>
            <w:pPr>
              <w:jc w:val="center"/>
            </w:pPr>
            <w:r/>
            <w:r>
              <w:rPr>
                <w:rFonts w:ascii="Times New Roman" w:hAnsi="Times New Roman"/>
                <w:b/>
                <w:sz w:val="20"/>
              </w:rPr>
              <w:t>D → C</w:t>
            </w:r>
          </w:p>
        </w:tc>
        <w:tc>
          <w:tcPr>
            <w:tcW w:type="dxa" w:w="1728"/>
          </w:tcPr>
          <w:p>
            <w:pPr>
              <w:jc w:val="center"/>
            </w:pPr>
            <w:r/>
            <w:r>
              <w:rPr>
                <w:rFonts w:ascii="Times New Roman" w:hAnsi="Times New Roman"/>
                <w:b/>
                <w:sz w:val="20"/>
              </w:rPr>
              <w:t>C → D</w:t>
            </w:r>
          </w:p>
        </w:tc>
        <w:tc>
          <w:tcPr>
            <w:tcW w:type="dxa" w:w="1728"/>
          </w:tcPr>
          <w:p>
            <w:pPr>
              <w:jc w:val="center"/>
            </w:pPr>
            <w:r/>
            <w:r>
              <w:rPr>
                <w:rFonts w:ascii="Times New Roman" w:hAnsi="Times New Roman"/>
                <w:b/>
                <w:sz w:val="20"/>
              </w:rPr>
              <w:t>Neither</w:t>
            </w:r>
          </w:p>
        </w:tc>
        <w:tc>
          <w:tcPr>
            <w:tcW w:type="dxa" w:w="1728"/>
          </w:tcPr>
          <w:p>
            <w:pPr>
              <w:jc w:val="center"/>
            </w:pPr>
            <w:r/>
            <w:r>
              <w:rPr>
                <w:rFonts w:ascii="Times New Roman" w:hAnsi="Times New Roman"/>
                <w:b/>
                <w:sz w:val="20"/>
              </w:rPr>
              <w:t>Mean F (D→C / C→D)</w:t>
            </w:r>
          </w:p>
        </w:tc>
      </w:tr>
      <w:tr>
        <w:tc>
          <w:tcPr>
            <w:tcW w:type="dxa" w:w="1728"/>
          </w:tcPr>
          <w:p>
            <w:pPr>
              <w:jc w:val="center"/>
            </w:pPr>
            <w:r/>
            <w:r>
              <w:rPr>
                <w:rFonts w:ascii="Times New Roman" w:hAnsi="Times New Roman"/>
                <w:sz w:val="20"/>
              </w:rPr>
              <w:t>raw (reported above)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80.4%</w:t>
            </w:r>
          </w:p>
        </w:tc>
        <w:tc>
          <w:tcPr>
            <w:tcW w:type="dxa" w:w="1728"/>
          </w:tcPr>
          <w:p>
            <w:pPr>
              <w:jc w:val="center"/>
            </w:pPr>
            <w:r/>
            <w:r>
              <w:rPr>
                <w:rFonts w:ascii="Times New Roman" w:hAnsi="Times New Roman"/>
                <w:sz w:val="20"/>
              </w:rPr>
              <w:t>2.12 / 1.36</w:t>
            </w:r>
          </w:p>
        </w:tc>
      </w:tr>
      <w:tr>
        <w:tc>
          <w:tcPr>
            <w:tcW w:type="dxa" w:w="1728"/>
          </w:tcPr>
          <w:p>
            <w:pPr>
              <w:jc w:val="center"/>
            </w:pPr>
            <w:r/>
            <w:r>
              <w:rPr>
                <w:rFonts w:ascii="Times New Roman" w:hAnsi="Times New Roman"/>
                <w:sz w:val="20"/>
              </w:rPr>
              <w:t>density-independent</w:t>
            </w:r>
          </w:p>
        </w:tc>
        <w:tc>
          <w:tcPr>
            <w:tcW w:type="dxa" w:w="1728"/>
          </w:tcPr>
          <w:p>
            <w:pPr>
              <w:jc w:val="center"/>
            </w:pPr>
            <w:r/>
            <w:r>
              <w:rPr>
                <w:rFonts w:ascii="Times New Roman" w:hAnsi="Times New Roman"/>
                <w:sz w:val="20"/>
              </w:rPr>
              <w:t>10.9%</w:t>
            </w:r>
          </w:p>
        </w:tc>
        <w:tc>
          <w:tcPr>
            <w:tcW w:type="dxa" w:w="1728"/>
          </w:tcPr>
          <w:p>
            <w:pPr>
              <w:jc w:val="center"/>
            </w:pPr>
            <w:r/>
            <w:r>
              <w:rPr>
                <w:rFonts w:ascii="Times New Roman" w:hAnsi="Times New Roman"/>
                <w:sz w:val="20"/>
              </w:rPr>
              <w:t>4.3%</w:t>
            </w:r>
          </w:p>
        </w:tc>
        <w:tc>
          <w:tcPr>
            <w:tcW w:type="dxa" w:w="1728"/>
          </w:tcPr>
          <w:p>
            <w:pPr>
              <w:jc w:val="center"/>
            </w:pPr>
            <w:r/>
            <w:r>
              <w:rPr>
                <w:rFonts w:ascii="Times New Roman" w:hAnsi="Times New Roman"/>
                <w:sz w:val="20"/>
              </w:rPr>
              <w:t>84.8%</w:t>
            </w:r>
          </w:p>
        </w:tc>
        <w:tc>
          <w:tcPr>
            <w:tcW w:type="dxa" w:w="1728"/>
          </w:tcPr>
          <w:p>
            <w:pPr>
              <w:jc w:val="center"/>
            </w:pPr>
            <w:r/>
            <w:r>
              <w:rPr>
                <w:rFonts w:ascii="Times New Roman" w:hAnsi="Times New Roman"/>
                <w:sz w:val="20"/>
              </w:rPr>
              <w:t>1.77 / 0.90</w:t>
            </w:r>
          </w:p>
        </w:tc>
      </w:tr>
    </w:tbl>
    <w:p>
      <w:pPr>
        <w:jc w:val="center"/>
      </w:pPr>
      <w:r>
        <w:rPr>
          <w:rFonts w:ascii="Times New Roman" w:hAnsi="Times New Roman"/>
          <w:i/>
          <w:sz w:val="20"/>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9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9" name="Picture 9"/>
            <wp:cNvGraphicFramePr>
              <a:graphicFrameLocks noChangeAspect="1"/>
            </wp:cNvGraphicFramePr>
            <a:graphic>
              <a:graphicData uri="http://schemas.openxmlformats.org/drawingml/2006/picture">
                <pic:pic>
                  <pic:nvPicPr>
                    <pic:cNvPr id="0" name="significance_by_lag.png"/>
                    <pic:cNvPicPr/>
                  </pic:nvPicPr>
                  <pic:blipFill>
                    <a:blip r:embed="rId25"/>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6)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10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6.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20"/>
              </w:rPr>
              <w:t>Frequency Quartile</w:t>
            </w:r>
          </w:p>
        </w:tc>
        <w:tc>
          <w:tcPr>
            <w:tcW w:type="dxa" w:w="2160"/>
          </w:tcPr>
          <w:p>
            <w:pPr>
              <w:jc w:val="center"/>
            </w:pPr>
            <w:r/>
            <w:r>
              <w:rPr>
                <w:rFonts w:ascii="Times New Roman" w:hAnsi="Times New Roman"/>
                <w:b/>
                <w:sz w:val="20"/>
              </w:rPr>
              <w:t>Mean Triads</w:t>
            </w:r>
          </w:p>
        </w:tc>
        <w:tc>
          <w:tcPr>
            <w:tcW w:type="dxa" w:w="2160"/>
          </w:tcPr>
          <w:p>
            <w:pPr>
              <w:jc w:val="center"/>
            </w:pPr>
            <w:r/>
            <w:r>
              <w:rPr>
                <w:rFonts w:ascii="Times New Roman" w:hAnsi="Times New Roman"/>
                <w:b/>
                <w:sz w:val="20"/>
              </w:rPr>
              <w:t>SD</w:t>
            </w:r>
          </w:p>
        </w:tc>
        <w:tc>
          <w:tcPr>
            <w:tcW w:type="dxa" w:w="2160"/>
          </w:tcPr>
          <w:p>
            <w:pPr>
              <w:jc w:val="center"/>
            </w:pPr>
            <w:r/>
            <w:r>
              <w:rPr>
                <w:rFonts w:ascii="Times New Roman" w:hAnsi="Times New Roman"/>
                <w:b/>
                <w:sz w:val="20"/>
              </w:rPr>
              <w:t>N</w:t>
            </w:r>
          </w:p>
        </w:tc>
      </w:tr>
      <w:tr>
        <w:tc>
          <w:tcPr>
            <w:tcW w:type="dxa" w:w="2160"/>
          </w:tcPr>
          <w:p>
            <w:pPr>
              <w:jc w:val="center"/>
            </w:pPr>
            <w:r/>
            <w:r>
              <w:rPr>
                <w:rFonts w:ascii="Times New Roman" w:hAnsi="Times New Roman"/>
                <w:sz w:val="20"/>
              </w:rPr>
              <w:t>Q1 (Rare)</w:t>
            </w:r>
          </w:p>
        </w:tc>
        <w:tc>
          <w:tcPr>
            <w:tcW w:type="dxa" w:w="2160"/>
          </w:tcPr>
          <w:p>
            <w:pPr>
              <w:jc w:val="center"/>
            </w:pPr>
            <w:r/>
            <w:r>
              <w:rPr>
                <w:rFonts w:ascii="Times New Roman" w:hAnsi="Times New Roman"/>
                <w:sz w:val="20"/>
              </w:rPr>
              <w:t>3.74</w:t>
            </w:r>
          </w:p>
        </w:tc>
        <w:tc>
          <w:tcPr>
            <w:tcW w:type="dxa" w:w="2160"/>
          </w:tcPr>
          <w:p>
            <w:pPr>
              <w:jc w:val="center"/>
            </w:pPr>
            <w:r/>
            <w:r>
              <w:rPr>
                <w:rFonts w:ascii="Times New Roman" w:hAnsi="Times New Roman"/>
                <w:sz w:val="20"/>
              </w:rPr>
              <w:t>2.94</w:t>
            </w:r>
          </w:p>
        </w:tc>
        <w:tc>
          <w:tcPr>
            <w:tcW w:type="dxa" w:w="2160"/>
          </w:tcPr>
          <w:p>
            <w:pPr>
              <w:jc w:val="center"/>
            </w:pPr>
            <w:r/>
            <w:r>
              <w:rPr>
                <w:rFonts w:ascii="Times New Roman" w:hAnsi="Times New Roman"/>
                <w:sz w:val="20"/>
              </w:rPr>
              <w:t>45</w:t>
            </w:r>
          </w:p>
        </w:tc>
      </w:tr>
      <w:tr>
        <w:tc>
          <w:tcPr>
            <w:tcW w:type="dxa" w:w="2160"/>
          </w:tcPr>
          <w:p>
            <w:pPr>
              <w:jc w:val="center"/>
            </w:pPr>
            <w:r/>
            <w:r>
              <w:rPr>
                <w:rFonts w:ascii="Times New Roman" w:hAnsi="Times New Roman"/>
                <w:sz w:val="20"/>
              </w:rPr>
              <w:t>Q2</w:t>
            </w:r>
          </w:p>
        </w:tc>
        <w:tc>
          <w:tcPr>
            <w:tcW w:type="dxa" w:w="2160"/>
          </w:tcPr>
          <w:p>
            <w:pPr>
              <w:jc w:val="center"/>
            </w:pPr>
            <w:r/>
            <w:r>
              <w:rPr>
                <w:rFonts w:ascii="Times New Roman" w:hAnsi="Times New Roman"/>
                <w:sz w:val="20"/>
              </w:rPr>
              <w:t>2.53</w:t>
            </w:r>
          </w:p>
        </w:tc>
        <w:tc>
          <w:tcPr>
            <w:tcW w:type="dxa" w:w="2160"/>
          </w:tcPr>
          <w:p>
            <w:pPr>
              <w:jc w:val="center"/>
            </w:pPr>
            <w:r/>
            <w:r>
              <w:rPr>
                <w:rFonts w:ascii="Times New Roman" w:hAnsi="Times New Roman"/>
                <w:sz w:val="20"/>
              </w:rPr>
              <w:t>2.26</w:t>
            </w:r>
          </w:p>
        </w:tc>
        <w:tc>
          <w:tcPr>
            <w:tcW w:type="dxa" w:w="2160"/>
          </w:tcPr>
          <w:p>
            <w:pPr>
              <w:jc w:val="center"/>
            </w:pPr>
            <w:r/>
            <w:r>
              <w:rPr>
                <w:rFonts w:ascii="Times New Roman" w:hAnsi="Times New Roman"/>
                <w:sz w:val="20"/>
              </w:rPr>
              <w:t>38</w:t>
            </w:r>
          </w:p>
        </w:tc>
      </w:tr>
      <w:tr>
        <w:tc>
          <w:tcPr>
            <w:tcW w:type="dxa" w:w="2160"/>
          </w:tcPr>
          <w:p>
            <w:pPr>
              <w:jc w:val="center"/>
            </w:pPr>
            <w:r/>
            <w:r>
              <w:rPr>
                <w:rFonts w:ascii="Times New Roman" w:hAnsi="Times New Roman"/>
                <w:sz w:val="20"/>
              </w:rPr>
              <w:t>Q3</w:t>
            </w:r>
          </w:p>
        </w:tc>
        <w:tc>
          <w:tcPr>
            <w:tcW w:type="dxa" w:w="2160"/>
          </w:tcPr>
          <w:p>
            <w:pPr>
              <w:jc w:val="center"/>
            </w:pPr>
            <w:r/>
            <w:r>
              <w:rPr>
                <w:rFonts w:ascii="Times New Roman" w:hAnsi="Times New Roman"/>
                <w:sz w:val="20"/>
              </w:rPr>
              <w:t>1.98</w:t>
            </w:r>
          </w:p>
        </w:tc>
        <w:tc>
          <w:tcPr>
            <w:tcW w:type="dxa" w:w="2160"/>
          </w:tcPr>
          <w:p>
            <w:pPr>
              <w:jc w:val="center"/>
            </w:pPr>
            <w:r/>
            <w:r>
              <w:rPr>
                <w:rFonts w:ascii="Times New Roman" w:hAnsi="Times New Roman"/>
                <w:sz w:val="20"/>
              </w:rPr>
              <w:t>1.91</w:t>
            </w:r>
          </w:p>
        </w:tc>
        <w:tc>
          <w:tcPr>
            <w:tcW w:type="dxa" w:w="2160"/>
          </w:tcPr>
          <w:p>
            <w:pPr>
              <w:jc w:val="center"/>
            </w:pPr>
            <w:r/>
            <w:r>
              <w:rPr>
                <w:rFonts w:ascii="Times New Roman" w:hAnsi="Times New Roman"/>
                <w:sz w:val="20"/>
              </w:rPr>
              <w:t>41</w:t>
            </w:r>
          </w:p>
        </w:tc>
      </w:tr>
      <w:tr>
        <w:tc>
          <w:tcPr>
            <w:tcW w:type="dxa" w:w="2160"/>
          </w:tcPr>
          <w:p>
            <w:pPr>
              <w:jc w:val="center"/>
            </w:pPr>
            <w:r/>
            <w:r>
              <w:rPr>
                <w:rFonts w:ascii="Times New Roman" w:hAnsi="Times New Roman"/>
                <w:sz w:val="20"/>
              </w:rPr>
              <w:t>Q4 (Most Common)</w:t>
            </w:r>
          </w:p>
        </w:tc>
        <w:tc>
          <w:tcPr>
            <w:tcW w:type="dxa" w:w="2160"/>
          </w:tcPr>
          <w:p>
            <w:pPr>
              <w:jc w:val="center"/>
            </w:pPr>
            <w:r/>
            <w:r>
              <w:rPr>
                <w:rFonts w:ascii="Times New Roman" w:hAnsi="Times New Roman"/>
                <w:sz w:val="20"/>
              </w:rPr>
              <w:t>0.94</w:t>
            </w:r>
          </w:p>
        </w:tc>
        <w:tc>
          <w:tcPr>
            <w:tcW w:type="dxa" w:w="2160"/>
          </w:tcPr>
          <w:p>
            <w:pPr>
              <w:jc w:val="center"/>
            </w:pPr>
            <w:r/>
            <w:r>
              <w:rPr>
                <w:rFonts w:ascii="Times New Roman" w:hAnsi="Times New Roman"/>
                <w:sz w:val="20"/>
              </w:rPr>
              <w:t>1.23</w:t>
            </w:r>
          </w:p>
        </w:tc>
        <w:tc>
          <w:tcPr>
            <w:tcW w:type="dxa" w:w="2160"/>
          </w:tcPr>
          <w:p>
            <w:pPr>
              <w:jc w:val="center"/>
            </w:pPr>
            <w:r/>
            <w:r>
              <w:rPr>
                <w:rFonts w:ascii="Times New Roman" w:hAnsi="Times New Roman"/>
                <w:sz w:val="20"/>
              </w:rPr>
              <w:t>41</w:t>
            </w:r>
          </w:p>
        </w:tc>
      </w:tr>
    </w:tbl>
    <w:p>
      <w:pPr>
        <w:jc w:val="center"/>
      </w:pPr>
      <w:r>
        <w:rPr>
          <w:rFonts w:ascii="Times New Roman" w:hAnsi="Times New Roman"/>
          <w:i/>
          <w:sz w:val="20"/>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185750"/>
            <wp:docPr id="10" name="Picture 10"/>
            <wp:cNvGraphicFramePr>
              <a:graphicFrameLocks noChangeAspect="1"/>
            </wp:cNvGraphicFramePr>
            <a:graphic>
              <a:graphicData uri="http://schemas.openxmlformats.org/drawingml/2006/picture">
                <pic:pic>
                  <pic:nvPicPr>
                    <pic:cNvPr id="0" name="robustness_frequency_scatter.png"/>
                    <pic:cNvPicPr/>
                  </pic:nvPicPr>
                  <pic:blipFill>
                    <a:blip r:embed="rId26"/>
                    <a:stretch>
                      <a:fillRect/>
                    </a:stretch>
                  </pic:blipFill>
                  <pic:spPr>
                    <a:xfrm>
                      <a:off x="0" y="0"/>
                      <a:ext cx="5029200" cy="3185750"/>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(2016a)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could belong to the tunes rather than to Parker. We tested this directly with the null model described in the Methodology, and the main findings survive it: phrase-to-phrase predictability and the Dissonance→Complexity effect both exceed what the progressions produce on their own (Table 4). One result does not survive, and we withdraw it: the Complexity→Dissonance rate falls inside the null interval. The control is nonetheless only as good as its assumptions. It samples uniformly from one scale per chord function, where a player chooses unevenly within a scale and sometimes outside it, so it is a conservative floor rather than a model of how anyone actually improvises. Comparing different performers on the same tune, holding the changes constant, would test the same question against a human baseline rather than a random one.</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(n.d.)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 https://doi.org/10.1525/mp.2013.31.1.32</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Abeßer, J., &amp; Zaddach, W.-G. (2016a).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Frieler, K., Pfleiderer, M., Zaddach, W.-G., &amp; Abeßer, J. (2016b).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(n.d.). </w:t>
      </w:r>
      <w:r>
        <w:rPr>
          <w:rFonts w:ascii="Times New Roman" w:hAnsi="Times New Roman"/>
          <w:i/>
          <w:sz w:val="20"/>
        </w:rPr>
        <w:t>Charlie Parker’s 60 melodies &amp; solos</w:t>
      </w:r>
      <w:r>
        <w:rPr>
          <w:rFonts w:ascii="Times New Roman" w:hAnsi="Times New Roman"/>
          <w:sz w:val="20"/>
        </w:rPr>
        <w:t>. qPress. https://qpress.ca/product/60-melodies-solos-charlie-parker-omnibook</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Hal Leonard.</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212409"/>
            <wp:docPr id="11" name="Picture 11"/>
            <wp:cNvGraphicFramePr>
              <a:graphicFrameLocks noChangeAspect="1"/>
            </wp:cNvGraphicFramePr>
            <a:graphic>
              <a:graphicData uri="http://schemas.openxmlformats.org/drawingml/2006/picture">
                <pic:pic>
                  <pic:nvPicPr>
                    <pic:cNvPr id="0" name="pipeline2_hi.png"/>
                    <pic:cNvPicPr/>
                  </pic:nvPicPr>
                  <pic:blipFill>
                    <a:blip r:embed="rId27"/>
                    <a:stretch>
                      <a:fillRect/>
                    </a:stretch>
                  </pic:blipFill>
                  <pic:spPr>
                    <a:xfrm>
                      <a:off x="0" y="0"/>
                      <a:ext cx="5029200" cy="12212409"/>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7.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fig_10.png"/>
                    <pic:cNvPicPr/>
                  </pic:nvPicPr>
                  <pic:blipFill>
                    <a:blip r:embed="rId29"/>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4" name="Picture 14"/>
            <wp:cNvGraphicFramePr>
              <a:graphicFrameLocks noChangeAspect="1"/>
            </wp:cNvGraphicFramePr>
            <a:graphic>
              <a:graphicData uri="http://schemas.openxmlformats.org/drawingml/2006/picture">
                <pic:pic>
                  <pic:nvPicPr>
                    <pic:cNvPr id="0" name="fig_12.png"/>
                    <pic:cNvPicPr/>
                  </pic:nvPicPr>
                  <pic:blipFill>
                    <a:blip r:embed="rId30"/>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14.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