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63b163662324b30" /><Relationship Type="http://schemas.openxmlformats.org/package/2006/relationships/metadata/core-properties" Target="/docProps/core.xml" Id="R6824ff8d5e0c445d" /><Relationship Type="http://schemas.openxmlformats.org/officeDocument/2006/relationships/extended-properties" Target="/docProps/app.xml" Id="Rf5f1c908be2246ab" /><Relationship Type="http://schemas.openxmlformats.org/officeDocument/2006/relationships/custom-properties" Target="/docProps/custom.xml" Id="Rbf6c7679569b478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48"/>
        </w:rPr>
        <w:t xml:space="preserve">AI-Powered Student Performance &amp; Placement Analytics</w:t>
      </w:r>
    </w:p>
    <w:p w14:paraId="00100002" w14:textId="00100003">
      <w:pPr>
        <w:spacing w:after="80"/>
        <w:jc w:val="center"/>
      </w:pPr>
      <w:r>
        <w:rPr>
          <w:sz w:val="28"/>
        </w:rPr>
        <w:t xml:space="preserve">Academic Project Report</w:t>
      </w:r>
    </w:p>
    <w:p w14:paraId="00100004" w14:textId="00100005">
      <w:pPr>
        <w:spacing w:after="80"/>
        <w:jc w:val="center"/>
      </w:pPr>
      <w:r>
        <w:rPr>
          <w:sz w:val="24"/>
        </w:rPr>
        <w:t xml:space="preserve">Author: Anushka</w:t>
      </w:r>
    </w:p>
    <w:p w14:paraId="00100006" w14:textId="00100007">
      <w:pPr>
        <w:spacing w:after="80"/>
        <w:jc w:val="center"/>
      </w:pPr>
      <w:r>
        <w:rPr>
          <w:sz w:val="22"/>
        </w:rPr>
        <w:t xml:space="preserve">Program: IBM SkillsBuild Data Analytics with AI Academic Internship – BharatCares / AICTE</w:t>
      </w:r>
    </w:p>
    <w:p w14:paraId="00100008" w14:textId="00100009">
      <w:pPr>
        <w:spacing w:after="320"/>
        <w:jc w:val="center"/>
      </w:pPr>
      <w:r>
        <w:rPr>
          <w:sz w:val="22"/>
        </w:rPr>
        <w:t xml:space="preserve">Dataset: placementdata.csv — 10,000 students, 12 features</w:t>
      </w:r>
    </w:p>
    <w:p w14:paraId="0010000A" w14:textId="0010000B">
      <w:pPr>
        <w:pStyle w:val="Heading1"/>
        <w:spacing w:after="120"/>
      </w:pPr>
      <w:r>
        <w:rPr>
          <w:b/>
          <w:sz w:val="32"/>
        </w:rPr>
        <w:t xml:space="preserve">Abstract</w:t>
      </w:r>
    </w:p>
    <w:p w14:paraId="0010000C" w14:textId="0010000D">
      <w:pPr>
        <w:spacing w:after="240"/>
      </w:pPr>
      <w:r>
        <w:rPr>
          <w:sz w:val="22"/>
        </w:rPr>
        <w:t xml:space="preserve">This project applies machine learning classification to predict student placement outcomes using a dataset of 10,000 students. Six classification models — Logistic Regression, Decision Tree, Random Forest, Gradient Boosting, Support Vector Machine (SVM), and K-Nearest Neighbours (KNN) — were trained and evaluated on academic scores, aptitude scores, soft skills ratings, and extracurricular engagement features. Logistic Regression achieved the highest test accuracy (80.85%) and ROC-AUC (0.8837) with zero overfitting. All analysis was performed in Python using pandas, scikit-learn, matplotlib, and seaborn.</w:t>
      </w:r>
    </w:p>
    <w:p w14:paraId="0010000E" w14:textId="0010000F">
      <w:pPr>
        <w:pStyle w:val="Heading1"/>
        <w:spacing w:after="120"/>
      </w:pPr>
      <w:r>
        <w:rPr>
          <w:b/>
          <w:sz w:val="32"/>
        </w:rPr>
        <w:t xml:space="preserve">1. Introduction</w:t>
      </w:r>
    </w:p>
    <w:p w14:paraId="00100010" w14:textId="00100011">
      <w:pPr>
        <w:spacing w:after="120"/>
      </w:pPr>
      <w:r>
        <w:rPr>
          <w:sz w:val="22"/>
        </w:rPr>
        <w:t xml:space="preserve">Campus placement is a critical milestone for engineering and management students. Placement outcomes depend on a combination of academic performance, aptitude, communication skills, and co-curricular engagement. Predictive analytics can help students, educators, and career-counselling teams identify which factors are most strongly associated with placement success and design targeted interventions.</w:t>
      </w:r>
    </w:p>
    <w:p w14:paraId="00100012" w14:textId="00100013">
      <w:pPr>
        <w:spacing w:after="240"/>
      </w:pPr>
      <w:r>
        <w:rPr>
          <w:sz w:val="22"/>
        </w:rPr>
        <w:t xml:space="preserve">This project builds a binary classification pipeline — from raw data exploration through preprocessing, feature analysis, model training, and comprehensive evaluation — to predict whether a student will be Placed or NotPlaced. The work was completed as part of the IBM SkillsBuild Data Analytics with AI Academic Internship conducted by BharatCares in association with AICTE.</w:t>
      </w:r>
    </w:p>
    <w:p w14:paraId="00100014" w14:textId="00100015">
      <w:pPr>
        <w:pStyle w:val="Heading1"/>
        <w:spacing w:after="120"/>
      </w:pPr>
      <w:r>
        <w:rPr>
          <w:b/>
          <w:sz w:val="32"/>
        </w:rPr>
        <w:t xml:space="preserve">2. Problem Statement</w:t>
      </w:r>
    </w:p>
    <w:p w14:paraId="00100016" w14:textId="00100017">
      <w:pPr>
        <w:spacing w:after="240"/>
      </w:pPr>
      <w:r>
        <w:rPr>
          <w:sz w:val="22"/>
        </w:rPr>
        <w:t xml:space="preserve">Given a structured dataset of student academic and engagement features, build a supervised binary classification model that predicts placement status (Placed / NotPlaced) with high accuracy and generalisability. The model must be evaluated using multiple metrics — accuracy, precision, recall, F1-score, and ROC-AUC — to ensure it performs well beyond simple accuracy on a class-imbalanced target.</w:t>
      </w:r>
    </w:p>
    <w:p w14:paraId="00100018" w14:textId="00100019">
      <w:pPr>
        <w:pStyle w:val="Heading1"/>
        <w:spacing w:after="120"/>
      </w:pPr>
      <w:r>
        <w:rPr>
          <w:b/>
          <w:sz w:val="32"/>
        </w:rPr>
        <w:t xml:space="preserve">3. Objectives</w:t>
      </w:r>
    </w:p>
    <w:p w14:paraId="0010001A" w14:textId="0010001B">
      <w:pPr>
        <w:numPr>
          <w:ilvl w:val="0"/>
          <w:numId w:val="1"/>
        </w:numPr>
        <w:spacing w:after="80"/>
      </w:pPr>
      <w:r>
        <w:rPr>
          <w:sz w:val="22"/>
        </w:rPr>
        <w:t xml:space="preserve">1. Perform detailed exploratory data analysis (EDA) on the student placement dataset.</w:t>
      </w:r>
    </w:p>
    <w:p w14:paraId="0010001C" w14:textId="0010001D">
      <w:pPr>
        <w:numPr>
          <w:ilvl w:val="0"/>
          <w:numId w:val="1"/>
        </w:numPr>
        <w:spacing w:after="80"/>
      </w:pPr>
      <w:r>
        <w:rPr>
          <w:sz w:val="22"/>
        </w:rPr>
        <w:t xml:space="preserve">2. Preprocess the data: handle encoding, feature scaling, and train/test splitting.</w:t>
      </w:r>
    </w:p>
    <w:p w14:paraId="0010001E" w14:textId="0010001F">
      <w:pPr>
        <w:numPr>
          <w:ilvl w:val="0"/>
          <w:numId w:val="1"/>
        </w:numPr>
        <w:spacing w:after="80"/>
      </w:pPr>
      <w:r>
        <w:rPr>
          <w:sz w:val="22"/>
        </w:rPr>
        <w:t xml:space="preserve">3. Analyse feature importance using Random Forest, Gradient Boosting, and Permutation methods.</w:t>
      </w:r>
    </w:p>
    <w:p w14:paraId="00100020" w14:textId="00100021">
      <w:pPr>
        <w:numPr>
          <w:ilvl w:val="0"/>
          <w:numId w:val="1"/>
        </w:numPr>
        <w:spacing w:after="80"/>
      </w:pPr>
      <w:r>
        <w:rPr>
          <w:sz w:val="22"/>
        </w:rPr>
        <w:t xml:space="preserve">4. Train six classification models and record training results.</w:t>
      </w:r>
    </w:p>
    <w:p w14:paraId="00100022" w14:textId="00100023">
      <w:pPr>
        <w:numPr>
          <w:ilvl w:val="0"/>
          <w:numId w:val="1"/>
        </w:numPr>
        <w:spacing w:after="80"/>
      </w:pPr>
      <w:r>
        <w:rPr>
          <w:sz w:val="22"/>
        </w:rPr>
        <w:t xml:space="preserve">5. Evaluate all models using test-set metrics and 5-fold stratified cross-validation.</w:t>
      </w:r>
    </w:p>
    <w:p w14:paraId="00100024" w14:textId="00100025">
      <w:pPr>
        <w:numPr>
          <w:ilvl w:val="0"/>
          <w:numId w:val="1"/>
        </w:numPr>
        <w:spacing w:after="240"/>
      </w:pPr>
      <w:r>
        <w:rPr>
          <w:sz w:val="22"/>
        </w:rPr>
        <w:t xml:space="preserve">6. Identify evaluation results across metrics and provide a justified conclusion.</w:t>
      </w:r>
    </w:p>
    <w:p w14:paraId="00100026" w14:textId="00100027">
      <w:pPr>
        <w:pStyle w:val="Heading1"/>
        <w:spacing w:after="120"/>
      </w:pPr>
      <w:r>
        <w:rPr>
          <w:b/>
          <w:sz w:val="32"/>
        </w:rPr>
        <w:t xml:space="preserve">4. Dataset Description</w:t>
      </w:r>
    </w:p>
    <w:p w14:paraId="00100028" w14:textId="00100029">
      <w:pPr>
        <w:spacing w:after="160"/>
      </w:pPr>
      <w:r>
        <w:rPr>
          <w:sz w:val="22"/>
        </w:rPr>
        <w:t xml:space="preserve">The dataset placementdata.csv was sourced from Kaggle. It contains 10,000 student records with 12 columns. There are zero missing values, zero duplicate rows, and no statistical outliers detected by the IQR method. The target variable PlacementStatus is binary: Placed (41.97%) and NotPlaced (58.03%), representing a mild class imbalance that was addressed through stratified splitting.</w:t>
      </w:r>
    </w:p>
    <w:p w14:paraId="0010002A" w14:textId="0010002B">
      <w:pPr>
        <w:spacing w:after="80"/>
      </w:pPr>
      <w:r>
        <w:rPr>
          <w:b/>
          <w:sz w:val="22"/>
        </w:rPr>
        <w:t xml:space="preserve">Key columns:</w:t>
      </w:r>
    </w:p>
    <w:p w14:paraId="0010002C" w14:textId="0010002D">
      <w:pPr>
        <w:spacing w:after="240"/>
      </w:pPr>
      <w:r>
        <w:rPr>
          <w:sz w:val="22"/>
        </w:rPr>
        <w:t xml:space="preserve">StudentID (dropped — identifier), CGPA (6.5–9.1), Internships (0–2), Projects (0–3), Workshops/Certifications (0–3), AptitudeTestScore (60–90), SoftSkillsRating (3.0–4.8), ExtracurricularActivities (Yes/No), PlacementTraining (Yes/No), SSC_Marks (55–90), HSC_Marks (57–88), PlacementStatus (target).</w:t>
      </w:r>
    </w:p>
    <w:p w14:paraId="0010002E" w14:textId="0010002F">
      <w:pPr>
        <w:pStyle w:val="Heading1"/>
        <w:spacing w:after="120"/>
      </w:pPr>
      <w:r>
        <w:rPr>
          <w:b/>
          <w:sz w:val="32"/>
        </w:rPr>
        <w:t xml:space="preserve">5. Methodology</w:t>
      </w:r>
    </w:p>
    <w:p w14:paraId="00100030" w14:textId="00100031">
      <w:pPr>
        <w:spacing w:after="160"/>
      </w:pPr>
      <w:r>
        <w:rPr>
          <w:sz w:val="22"/>
        </w:rPr>
        <w:t xml:space="preserve">The project followed a structured six-step pipeline implemented in Python and organised as a Jupyter notebook (Anushka_StudentPerformanceAnalytics.ipynb).</w:t>
      </w:r>
    </w:p>
    <w:p w14:paraId="00100032" w14:textId="00100033">
      <w:pPr>
        <w:pStyle w:val="Heading2"/>
        <w:spacing w:after="80"/>
      </w:pPr>
      <w:r>
        <w:rPr>
          <w:b/>
          <w:sz w:val="28"/>
        </w:rPr>
        <w:t xml:space="preserve">5.1 Data Preprocessing</w:t>
      </w:r>
    </w:p>
    <w:p w14:paraId="00100034" w14:textId="00100035">
      <w:pPr>
        <w:spacing w:after="160"/>
      </w:pPr>
      <w:r>
        <w:rPr>
          <w:sz w:val="22"/>
        </w:rPr>
        <w:t xml:space="preserve">The following preprocessing steps were applied: (1) StudentID was dropped as it is a sequential identifier with no predictive value. (2) The column Workshops/Certifications was renamed to Workshops_Certifications to remove the special character. (3) ExtracurricularActivities and PlacementTraining were label-encoded: Yes=1, No=0. (4) PlacementStatus was encoded: Placed=1, NotPlaced=0. (5) The data was split into 80% training (8,000 samples) and 20% test (2,000 samples) using stratified splitting to preserve class proportions. (6) StandardScaler was fitted on the training set only and applied to both sets — used for distance-sensitive models (Logistic Regression, SVM, KNN). Tree-based models used unscaled data.</w:t>
      </w:r>
    </w:p>
    <w:p w14:paraId="00100036" w14:textId="00100037">
      <w:pPr>
        <w:pStyle w:val="Heading2"/>
        <w:spacing w:after="80"/>
      </w:pPr>
      <w:r>
        <w:rPr>
          <w:b/>
          <w:sz w:val="28"/>
        </w:rPr>
        <w:t xml:space="preserve">5.2 Exploratory Data Analysis</w:t>
      </w:r>
    </w:p>
    <w:p w14:paraId="00100038" w14:textId="00100039">
      <w:pPr>
        <w:spacing w:after="160"/>
      </w:pPr>
      <w:r>
        <w:rPr>
          <w:sz w:val="22"/>
        </w:rPr>
        <w:t xml:space="preserve">EDA was performed across seven visualisations. Key findings: AptitudeTestScore has the highest Pearson correlation with placement status (r = 0.52). HSC_Marks is the second strongest (r = 0.51). ExtracurricularActivities (Yes) corresponds to a 62% placement rate vs 14% for No. PlacementTraining (Yes) corresponds to a 52% placement rate vs 16% for No. Students with CGPA &gt;= 8.0 have a 67–79% placement rate. Placed students consistently outperform Not-Placed students on all eight continuous features.</w:t>
      </w:r>
    </w:p>
    <w:p w14:paraId="0010003A" w14:textId="0010003B">
      <w:pPr>
        <w:pStyle w:val="Heading2"/>
        <w:spacing w:after="80"/>
      </w:pPr>
      <w:r>
        <w:rPr>
          <w:b/>
          <w:sz w:val="28"/>
        </w:rPr>
        <w:t xml:space="preserve">5.3 Feature Analysis</w:t>
      </w:r>
    </w:p>
    <w:p w14:paraId="0010003C" w14:textId="0010003D">
      <w:pPr>
        <w:spacing w:after="160"/>
      </w:pPr>
      <w:r>
        <w:rPr>
          <w:sz w:val="22"/>
        </w:rPr>
        <w:t xml:space="preserve">Feature importance was assessed using three complementary methods: Random Forest MDI importance, Gradient Boosting importance, and Permutation Importance on the test set (30 repeats). A consolidated average rank was computed. AptitudeTestScore (avg rank 1.7), HSC_Marks (2.0), and ExtracurricularActivities (3.0) emerged as the top three features. Multicollinearity was assessed using Pearson correlation (maximum |r| = 0.565 between any two features — well below the 0.70 concern threshold) and Variance Inflation Factor (VIF range: 1.19–1.98, all below 5). All 10 features were retained for model training.</w:t>
      </w:r>
    </w:p>
    <w:p w14:paraId="0010003E" w14:textId="0010003F">
      <w:pPr>
        <w:pStyle w:val="Heading2"/>
        <w:spacing w:after="80"/>
      </w:pPr>
      <w:r>
        <w:rPr>
          <w:b/>
          <w:sz w:val="28"/>
        </w:rPr>
        <w:t xml:space="preserve">5.4 Machine Learning Models</w:t>
      </w:r>
    </w:p>
    <w:p w14:paraId="00100040" w14:textId="00100041">
      <w:pPr>
        <w:spacing w:after="240"/>
      </w:pPr>
      <w:r>
        <w:rPr>
          <w:sz w:val="22"/>
        </w:rPr>
        <w:t xml:space="preserve">Six classifiers were trained on the 8,000-sample training set using default hyperparameters (with minor adjustments for stability): Logistic Regression (C=1.0, max_iter=1000, scaled data), Decision Tree (min_samples_leaf=5, unscaled), Random Forest (n_estimators=300, unscaled), Gradient Boosting (n_estimators=200, lr=0.1, max_depth=4, unscaled), SVM with CalibratedClassifierCV wrapper (RBF kernel, C=1.0, scaled), and KNN (k=11, Euclidean, scaled).</w:t>
      </w:r>
    </w:p>
    <w:p w14:paraId="00100042" w14:textId="00100043">
      <w:pPr>
        <w:pStyle w:val="Heading1"/>
        <w:spacing w:after="120"/>
      </w:pPr>
      <w:r>
        <w:rPr>
          <w:b/>
          <w:sz w:val="32"/>
        </w:rPr>
        <w:t xml:space="preserve">6. Model Evaluation</w:t>
      </w:r>
    </w:p>
    <w:p w14:paraId="00100044" w14:textId="00100045">
      <w:pPr>
        <w:spacing w:after="160"/>
      </w:pPr>
      <w:r>
        <w:rPr>
          <w:sz w:val="22"/>
        </w:rPr>
        <w:t xml:space="preserve">All models were evaluated on the untouched 2,000-sample test set. Metrics computed: Accuracy, Precision (Placed class), Recall (Placed class), F1-Score (Placed class), and ROC-AUC. Confusion matrices and ROC curves were generated for each model. Five-fold stratified cross-validation was performed on the full 10,000-sample dataset.</w:t>
      </w:r>
    </w:p>
    <w:p w14:paraId="00100046" w14:textId="00100047">
      <w:pPr>
        <w:pStyle w:val="Heading1"/>
        <w:spacing w:after="120"/>
      </w:pPr>
      <w:r>
        <w:rPr>
          <w:b/>
          <w:sz w:val="32"/>
        </w:rPr>
        <w:t xml:space="preserve">7. Results and Discussion</w:t>
      </w:r>
    </w:p>
    <w:p w14:paraId="00100048" w14:textId="00100049">
      <w:pPr>
        <w:spacing w:after="160"/>
      </w:pPr>
      <w:r>
        <w:rPr>
          <w:sz w:val="22"/>
        </w:rPr>
        <w:t xml:space="preserve">The consolidated evaluation results are presented below.</w:t>
      </w:r>
    </w:p>
    <w:tbl>
      <w:tblPr>
        <w:tblW w:w="5000" w:type="pct"/>
        <w:tblBorders>
          <w:top w:val="single" w:sz="4"/>
          <w:left w:val="single" w:sz="4"/>
          <w:bottom w:val="single" w:sz="4"/>
          <w:right w:val="single" w:sz="4"/>
          <w:insideH w:val="single" w:sz="4"/>
          <w:insideV w:val="single" w:sz="4"/>
        </w:tblBorders>
      </w:tblPr>
      <w:tblGrid>
        <w:gridCol w:w="1038"/>
        <w:gridCol w:w="1038"/>
        <w:gridCol w:w="1038"/>
        <w:gridCol w:w="1038"/>
        <w:gridCol w:w="1038"/>
        <w:gridCol w:w="1038"/>
        <w:gridCol w:w="1038"/>
        <w:gridCol w:w="1038"/>
      </w:tblGrid>
      <w:tr>
        <w:trPr>
          <w:tblHeader/>
        </w:trPr>
        <w:tc>
          <w:p w14:paraId="0010004A" w14:textId="0010004B">
            <w:r>
              <w:t xml:space="preserve">Model</w:t>
            </w:r>
          </w:p>
        </w:tc>
        <w:tc>
          <w:p w14:paraId="0010004C" w14:textId="0010004D">
            <w:r>
              <w:t xml:space="preserve">Test Acc</w:t>
            </w:r>
          </w:p>
        </w:tc>
        <w:tc>
          <w:p w14:paraId="0010004E" w14:textId="0010004F">
            <w:r>
              <w:t xml:space="preserve">Precision</w:t>
            </w:r>
          </w:p>
        </w:tc>
        <w:tc>
          <w:p w14:paraId="00100050" w14:textId="00100051">
            <w:r>
              <w:t xml:space="preserve">Recall</w:t>
            </w:r>
          </w:p>
        </w:tc>
        <w:tc>
          <w:p w14:paraId="00100052" w14:textId="00100053">
            <w:r>
              <w:t xml:space="preserve">F1-Score</w:t>
            </w:r>
          </w:p>
        </w:tc>
        <w:tc>
          <w:p w14:paraId="00100054" w14:textId="00100055">
            <w:r>
              <w:t xml:space="preserve">ROC-AUC</w:t>
            </w:r>
          </w:p>
        </w:tc>
        <w:tc>
          <w:p w14:paraId="00100056" w14:textId="00100057">
            <w:r>
              <w:t xml:space="preserve">Overfit Gap</w:t>
            </w:r>
          </w:p>
        </w:tc>
        <w:tc>
          <w:p w14:paraId="00100058" w14:textId="00100059">
            <w:r>
              <w:t xml:space="preserve">CV F1</w:t>
            </w:r>
          </w:p>
        </w:tc>
      </w:tr>
      <w:tr>
        <w:trPr/>
        <w:tc>
          <w:p w14:paraId="0010005A" w14:textId="0010005B">
            <w:r>
              <w:t xml:space="preserve">Logistic Regression</w:t>
            </w:r>
          </w:p>
        </w:tc>
        <w:tc>
          <w:p w14:paraId="0010005C" w14:textId="0010005D">
            <w:r>
              <w:t xml:space="preserve">80.85%</w:t>
            </w:r>
          </w:p>
        </w:tc>
        <w:tc>
          <w:p w14:paraId="0010005E" w14:textId="0010005F">
            <w:r>
              <w:t xml:space="preserve">76.95%</w:t>
            </w:r>
          </w:p>
        </w:tc>
        <w:tc>
          <w:p w14:paraId="00100060" w14:textId="00100061">
            <w:r>
              <w:t xml:space="preserve">77.59%</w:t>
            </w:r>
          </w:p>
        </w:tc>
        <w:tc>
          <w:p w14:paraId="00100062" w14:textId="00100063">
            <w:r>
              <w:t xml:space="preserve">77.27%</w:t>
            </w:r>
          </w:p>
        </w:tc>
        <w:tc>
          <w:p w14:paraId="00100064" w14:textId="00100065">
            <w:r>
              <w:t xml:space="preserve">0.8837</w:t>
            </w:r>
          </w:p>
        </w:tc>
        <w:tc>
          <w:p w14:paraId="00100066" w14:textId="00100067">
            <w:r>
              <w:t xml:space="preserve">-0.011</w:t>
            </w:r>
          </w:p>
        </w:tc>
        <w:tc>
          <w:p w14:paraId="00100068" w14:textId="00100069">
            <w:r>
              <w:t xml:space="preserve">76.30%</w:t>
            </w:r>
          </w:p>
        </w:tc>
      </w:tr>
      <w:tr>
        <w:trPr/>
        <w:tc>
          <w:p w14:paraId="0010006A" w14:textId="0010006B">
            <w:r>
              <w:t xml:space="preserve">Decision Tree</w:t>
            </w:r>
          </w:p>
        </w:tc>
        <w:tc>
          <w:p w14:paraId="0010006C" w14:textId="0010006D">
            <w:r>
              <w:t xml:space="preserve">75.00%</w:t>
            </w:r>
          </w:p>
        </w:tc>
        <w:tc>
          <w:p w14:paraId="0010006E" w14:textId="0010006F">
            <w:r>
              <w:t xml:space="preserve">71.32%</w:t>
            </w:r>
          </w:p>
        </w:tc>
        <w:tc>
          <w:p w14:paraId="00100070" w14:textId="00100071">
            <w:r>
              <w:t xml:space="preserve">67.58%</w:t>
            </w:r>
          </w:p>
        </w:tc>
        <w:tc>
          <w:p w14:paraId="00100072" w14:textId="00100073">
            <w:r>
              <w:t xml:space="preserve">69.40%</w:t>
            </w:r>
          </w:p>
        </w:tc>
        <w:tc>
          <w:p w14:paraId="00100074" w14:textId="00100075">
            <w:r>
              <w:t xml:space="preserve">0.7968</w:t>
            </w:r>
          </w:p>
        </w:tc>
        <w:tc>
          <w:p w14:paraId="00100076" w14:textId="00100077">
            <w:r>
              <w:t xml:space="preserve">0.128</w:t>
            </w:r>
          </w:p>
        </w:tc>
        <w:tc>
          <w:p w14:paraId="00100078" w14:textId="00100079">
            <w:r>
              <w:t xml:space="preserve">69.85%</w:t>
            </w:r>
          </w:p>
        </w:tc>
      </w:tr>
      <w:tr>
        <w:trPr/>
        <w:tc>
          <w:p w14:paraId="0010007A" w14:textId="0010007B">
            <w:r>
              <w:t xml:space="preserve">Random Forest</w:t>
            </w:r>
          </w:p>
        </w:tc>
        <w:tc>
          <w:p w14:paraId="0010007C" w14:textId="0010007D">
            <w:r>
              <w:t xml:space="preserve">79.70%</w:t>
            </w:r>
          </w:p>
        </w:tc>
        <w:tc>
          <w:p w14:paraId="0010007E" w14:textId="0010007F">
            <w:r>
              <w:t xml:space="preserve">76.56%</w:t>
            </w:r>
          </w:p>
        </w:tc>
        <w:tc>
          <w:p w14:paraId="00100080" w14:textId="00100081">
            <w:r>
              <w:t xml:space="preserve">74.37%</w:t>
            </w:r>
          </w:p>
        </w:tc>
        <w:tc>
          <w:p w14:paraId="00100082" w14:textId="00100083">
            <w:r>
              <w:t xml:space="preserve">75.45%</w:t>
            </w:r>
          </w:p>
        </w:tc>
        <w:tc>
          <w:p w14:paraId="00100084" w14:textId="00100085">
            <w:r>
              <w:t xml:space="preserve">0.8781</w:t>
            </w:r>
          </w:p>
        </w:tc>
        <w:tc>
          <w:p w14:paraId="00100086" w14:textId="00100087">
            <w:r>
              <w:t xml:space="preserve">0.079</w:t>
            </w:r>
          </w:p>
        </w:tc>
        <w:tc>
          <w:p w14:paraId="00100088" w14:textId="00100089">
            <w:r>
              <w:t xml:space="preserve">75.16%</w:t>
            </w:r>
          </w:p>
        </w:tc>
      </w:tr>
      <w:tr>
        <w:trPr/>
        <w:tc>
          <w:p w14:paraId="0010008A" w14:textId="0010008B">
            <w:r>
              <w:t xml:space="preserve">Gradient Boosting</w:t>
            </w:r>
          </w:p>
        </w:tc>
        <w:tc>
          <w:p w14:paraId="0010008C" w14:textId="0010008D">
            <w:r>
              <w:t xml:space="preserve">79.55%</w:t>
            </w:r>
          </w:p>
        </w:tc>
        <w:tc>
          <w:p w14:paraId="0010008E" w14:textId="0010008F">
            <w:r>
              <w:t xml:space="preserve">75.84%</w:t>
            </w:r>
          </w:p>
        </w:tc>
        <w:tc>
          <w:p w14:paraId="00100090" w14:textId="00100091">
            <w:r>
              <w:t xml:space="preserve">75.21%</w:t>
            </w:r>
          </w:p>
        </w:tc>
        <w:tc>
          <w:p w14:paraId="00100092" w14:textId="00100093">
            <w:r>
              <w:t xml:space="preserve">75.52%</w:t>
            </w:r>
          </w:p>
        </w:tc>
        <w:tc>
          <w:p w14:paraId="00100094" w14:textId="00100095">
            <w:r>
              <w:t xml:space="preserve">0.8742</w:t>
            </w:r>
          </w:p>
        </w:tc>
        <w:tc>
          <w:p w14:paraId="00100096" w14:textId="00100097">
            <w:r>
              <w:t xml:space="preserve">0.057</w:t>
            </w:r>
          </w:p>
        </w:tc>
        <w:tc>
          <w:p w14:paraId="00100098" w14:textId="00100099">
            <w:r>
              <w:t xml:space="preserve">74.74%</w:t>
            </w:r>
          </w:p>
        </w:tc>
      </w:tr>
      <w:tr>
        <w:trPr/>
        <w:tc>
          <w:p w14:paraId="0010009A" w14:textId="0010009B">
            <w:r>
              <w:t xml:space="preserve">SVM</w:t>
            </w:r>
          </w:p>
        </w:tc>
        <w:tc>
          <w:p w14:paraId="0010009C" w14:textId="0010009D">
            <w:r>
              <w:t xml:space="preserve">80.05%</w:t>
            </w:r>
          </w:p>
        </w:tc>
        <w:tc>
          <w:p w14:paraId="0010009E" w14:textId="0010009F">
            <w:r>
              <w:t xml:space="preserve">77.57%</w:t>
            </w:r>
          </w:p>
        </w:tc>
        <w:tc>
          <w:p w14:paraId="001000A0" w14:textId="001000A1">
            <w:r>
              <w:t xml:space="preserve">73.78%</w:t>
            </w:r>
          </w:p>
        </w:tc>
        <w:tc>
          <w:p w14:paraId="001000A2" w14:textId="001000A3">
            <w:r>
              <w:t xml:space="preserve">75.63%</w:t>
            </w:r>
          </w:p>
        </w:tc>
        <w:tc>
          <w:p w14:paraId="001000A4" w14:textId="001000A5">
            <w:r>
              <w:t xml:space="preserve">0.8608</w:t>
            </w:r>
          </w:p>
        </w:tc>
        <w:tc>
          <w:p w14:paraId="001000A6" w14:textId="001000A7">
            <w:r>
              <w:t xml:space="preserve">0.008</w:t>
            </w:r>
          </w:p>
        </w:tc>
        <w:tc>
          <w:p w14:paraId="001000A8" w14:textId="001000A9">
            <w:r>
              <w:t xml:space="preserve">75.37%</w:t>
            </w:r>
          </w:p>
        </w:tc>
      </w:tr>
      <w:tr>
        <w:trPr/>
        <w:tc>
          <w:p w14:paraId="001000AA" w14:textId="001000AB">
            <w:r>
              <w:t xml:space="preserve">KNN</w:t>
            </w:r>
          </w:p>
        </w:tc>
        <w:tc>
          <w:p w14:paraId="001000AC" w14:textId="001000AD">
            <w:r>
              <w:t xml:space="preserve">78.95%</w:t>
            </w:r>
          </w:p>
        </w:tc>
        <w:tc>
          <w:p w14:paraId="001000AE" w14:textId="001000AF">
            <w:r>
              <w:t xml:space="preserve">75.68%</w:t>
            </w:r>
          </w:p>
        </w:tc>
        <w:tc>
          <w:p w14:paraId="001000B0" w14:textId="001000B1">
            <w:r>
              <w:t xml:space="preserve">73.42%</w:t>
            </w:r>
          </w:p>
        </w:tc>
        <w:tc>
          <w:p w14:paraId="001000B2" w14:textId="001000B3">
            <w:r>
              <w:t xml:space="preserve">74.53%</w:t>
            </w:r>
          </w:p>
        </w:tc>
        <w:tc>
          <w:p w14:paraId="001000B4" w14:textId="001000B5">
            <w:r>
              <w:t xml:space="preserve">0.8649</w:t>
            </w:r>
          </w:p>
        </w:tc>
        <w:tc>
          <w:p w14:paraId="001000B6" w14:textId="001000B7">
            <w:r>
              <w:t xml:space="preserve">0.025</w:t>
            </w:r>
          </w:p>
        </w:tc>
        <w:tc>
          <w:p w14:paraId="001000B8" w14:textId="001000B9">
            <w:r>
              <w:t xml:space="preserve">74.04%</w:t>
            </w:r>
          </w:p>
        </w:tc>
      </w:tr>
      <w:tr>
        <w:trPr/>
        <w:tc>
          <w:p w14:paraId="001000BA" w14:textId="001000BB">
            <w:r>
              <w:t xml:space="preserve">All models evaluated on the same 2,000-sample test set. CV F1 = 5-fold stratified cross-validation F1 on full 10,000-sample dataset.</w:t>
            </w:r>
          </w:p>
        </w:tc>
        <w:tc>
          <w:p w14:paraId="001000BC" w14:textId="001000BD"/>
        </w:tc>
        <w:tc>
          <w:p w14:paraId="001000BE" w14:textId="001000BF"/>
        </w:tc>
        <w:tc>
          <w:p w14:paraId="001000C0" w14:textId="001000C1"/>
        </w:tc>
        <w:tc>
          <w:p w14:paraId="001000C2" w14:textId="001000C3"/>
        </w:tc>
        <w:tc>
          <w:p w14:paraId="001000C4" w14:textId="001000C5"/>
        </w:tc>
        <w:tc>
          <w:p w14:paraId="001000C6" w14:textId="001000C7"/>
        </w:tc>
        <w:tc>
          <w:p w14:paraId="001000C8" w14:textId="001000C9"/>
        </w:tc>
      </w:tr>
    </w:tbl>
    <w:p w14:paraId="001000CA" w14:textId="001000CB">
      <w:pPr>
        <w:spacing w:after="160"/>
      </w:pPr>
      <w:r>
        <w:rPr/>
        <w:t xml:space="preserve"/>
      </w:r>
    </w:p>
    <w:p w14:paraId="001000CC" w14:textId="001000CD">
      <w:pPr>
        <w:spacing w:after="80"/>
      </w:pPr>
      <w:r>
        <w:rPr>
          <w:b/>
          <w:sz w:val="22"/>
        </w:rPr>
        <w:t xml:space="preserve">Key discussion points:</w:t>
      </w:r>
    </w:p>
    <w:p w14:paraId="001000CE" w14:textId="001000CF">
      <w:pPr>
        <w:numPr>
          <w:ilvl w:val="0"/>
          <w:numId w:val="2"/>
        </w:numPr>
        <w:spacing w:after="80"/>
      </w:pPr>
      <w:r>
        <w:rPr>
          <w:sz w:val="22"/>
        </w:rPr>
        <w:t xml:space="preserve">Logistic Regression achieved the highest test accuracy (80.85%) and ROC-AUC (0.8837). Its train-test gap of -0.011 confirms zero overfitting and strong generalisation.</w:t>
      </w:r>
    </w:p>
    <w:p w14:paraId="001000D0" w14:textId="001000D1">
      <w:pPr>
        <w:numPr>
          <w:ilvl w:val="0"/>
          <w:numId w:val="2"/>
        </w:numPr>
        <w:spacing w:after="80"/>
      </w:pPr>
      <w:r>
        <w:rPr>
          <w:sz w:val="22"/>
        </w:rPr>
        <w:t xml:space="preserve">SVM delivered the second-highest accuracy (80.05%) with the smallest overfit gap (0.008), confirming it as the most stable model.</w:t>
      </w:r>
    </w:p>
    <w:p w14:paraId="001000D2" w14:textId="001000D3">
      <w:pPr>
        <w:numPr>
          <w:ilvl w:val="0"/>
          <w:numId w:val="2"/>
        </w:numPr>
        <w:spacing w:after="80"/>
      </w:pPr>
      <w:r>
        <w:rPr>
          <w:sz w:val="22"/>
        </w:rPr>
        <w:t xml:space="preserve">Decision Tree showed the worst performance (75.00% accuracy) and the highest overfitting (gap: 0.128). max_depth regularisation would improve generalisation.</w:t>
      </w:r>
    </w:p>
    <w:p w14:paraId="001000D4" w14:textId="001000D5">
      <w:pPr>
        <w:numPr>
          <w:ilvl w:val="0"/>
          <w:numId w:val="2"/>
        </w:numPr>
        <w:spacing w:after="80"/>
      </w:pPr>
      <w:r>
        <w:rPr>
          <w:sz w:val="22"/>
        </w:rPr>
        <w:t xml:space="preserve">Random Forest and Gradient Boosting perform comparably (~79–80% accuracy, AUC ~0.87) with moderate overfitting. Hyperparameter tuning (GridSearchCV) could push these to top performance.</w:t>
      </w:r>
    </w:p>
    <w:p w14:paraId="001000D6" w14:textId="001000D7">
      <w:pPr>
        <w:numPr>
          <w:ilvl w:val="0"/>
          <w:numId w:val="2"/>
        </w:numPr>
        <w:spacing w:after="240"/>
      </w:pPr>
      <w:r>
        <w:rPr>
          <w:sz w:val="22"/>
        </w:rPr>
        <w:t xml:space="preserve">All models substantially outperform a random baseline classifier (AUC = 0.50), validating the predictive signal in the feature set.</w:t>
      </w:r>
    </w:p>
    <w:p w14:paraId="001000D8" w14:textId="001000D9">
      <w:pPr>
        <w:pStyle w:val="Heading1"/>
        <w:spacing w:after="120"/>
      </w:pPr>
      <w:r>
        <w:rPr>
          <w:b/>
          <w:sz w:val="32"/>
        </w:rPr>
        <w:t xml:space="preserve">8. Limitations</w:t>
      </w:r>
    </w:p>
    <w:p w14:paraId="001000DA" w14:textId="001000DB">
      <w:pPr>
        <w:spacing w:after="240"/>
      </w:pPr>
      <w:r>
        <w:rPr>
          <w:sz w:val="22"/>
        </w:rPr>
        <w:t xml:space="preserve">The dataset appears to contain only students who participated in a formal placement process, which may introduce selection bias. Feature ranges are compressed (e.g., CGPA 6.5–9.1, Aptitude 60–90), suggesting a pre-filtered cohort. Correlations between features and placement status do not imply causation. No extensive hyperparameter tuning was performed. The dataset does not include branch/stream, company type, year of study, or economic background.</w:t>
      </w:r>
    </w:p>
    <w:p w14:paraId="001000DC" w14:textId="001000DD">
      <w:pPr>
        <w:pStyle w:val="Heading1"/>
        <w:spacing w:after="120"/>
      </w:pPr>
      <w:r>
        <w:rPr>
          <w:b/>
          <w:sz w:val="32"/>
        </w:rPr>
        <w:t xml:space="preserve">9. Conclusion</w:t>
      </w:r>
    </w:p>
    <w:p w14:paraId="001000DE" w14:textId="001000DF">
      <w:pPr>
        <w:spacing w:after="120"/>
      </w:pPr>
      <w:r>
        <w:rPr>
          <w:sz w:val="22"/>
        </w:rPr>
        <w:t xml:space="preserve">This project demonstrates that student placement outcomes can be predicted with reasonable accuracy using structured academic and engagement data. Among the six classifiers evaluated, Logistic Regression achieved the strongest combination of test accuracy (80.85%), ROC-AUC (0.8837), cross-validation F1 (76.30%), and zero overfitting. SVM was the most stable with a negligible overfit gap. The analysis pipeline is fully reproducible via the accompanying Jupyter notebook.</w:t>
      </w:r>
    </w:p>
    <w:p w14:paraId="001000E0" w14:textId="001000E1">
      <w:pPr>
        <w:spacing w:after="240"/>
      </w:pPr>
      <w:r>
        <w:rPr>
          <w:sz w:val="22"/>
        </w:rPr>
        <w:t xml:space="preserve">The three features most strongly associated with placement outcomes in this dataset are AptitudeTestScore, HSC_Marks, and ExtracurricularActivities. These findings suggest that a balanced focus on academic performance, aptitude preparation, and co-curricular involvement is associated with better placement outcomes — though correlation in this dataset does not establish causation.</w:t>
      </w:r>
    </w:p>
    <w:p w14:paraId="001000E2" w14:textId="001000E3">
      <w:pPr>
        <w:pStyle w:val="Heading1"/>
        <w:spacing w:after="120"/>
      </w:pPr>
      <w:r>
        <w:rPr>
          <w:b/>
          <w:sz w:val="32"/>
        </w:rPr>
        <w:t xml:space="preserve">10. Future Scope</w:t>
      </w:r>
    </w:p>
    <w:p w14:paraId="001000E4" w14:textId="001000E5">
      <w:pPr>
        <w:numPr>
          <w:ilvl w:val="0"/>
          <w:numId w:val="3"/>
        </w:numPr>
        <w:spacing w:after="80"/>
      </w:pPr>
      <w:r>
        <w:rPr>
          <w:sz w:val="22"/>
        </w:rPr>
        <w:t xml:space="preserve">Hyperparameter tuning using GridSearchCV or RandomizedSearchCV for Random Forest and Gradient Boosting.</w:t>
      </w:r>
    </w:p>
    <w:p w14:paraId="001000E6" w14:textId="001000E7">
      <w:pPr>
        <w:numPr>
          <w:ilvl w:val="0"/>
          <w:numId w:val="3"/>
        </w:numPr>
        <w:spacing w:after="80"/>
      </w:pPr>
      <w:r>
        <w:rPr>
          <w:sz w:val="22"/>
        </w:rPr>
        <w:t xml:space="preserve">SHAP (SHapley Additive exPlanations) for model explainability.</w:t>
      </w:r>
    </w:p>
    <w:p w14:paraId="001000E8" w14:textId="001000E9">
      <w:pPr>
        <w:numPr>
          <w:ilvl w:val="0"/>
          <w:numId w:val="3"/>
        </w:numPr>
        <w:spacing w:after="80"/>
      </w:pPr>
      <w:r>
        <w:rPr>
          <w:sz w:val="22"/>
        </w:rPr>
        <w:t xml:space="preserve">Application to a larger, multi-institution dataset with more diverse student profiles.</w:t>
      </w:r>
    </w:p>
    <w:p w14:paraId="001000EA" w14:textId="001000EB">
      <w:pPr>
        <w:numPr>
          <w:ilvl w:val="0"/>
          <w:numId w:val="3"/>
        </w:numPr>
        <w:spacing w:after="80"/>
      </w:pPr>
      <w:r>
        <w:rPr>
          <w:sz w:val="22"/>
        </w:rPr>
        <w:t xml:space="preserve">Deployment as an interactive web application using Streamlit or Flask.</w:t>
      </w:r>
    </w:p>
    <w:p w14:paraId="001000EC" w14:textId="001000ED">
      <w:pPr>
        <w:numPr>
          <w:ilvl w:val="0"/>
          <w:numId w:val="3"/>
        </w:numPr>
        <w:spacing w:after="240"/>
      </w:pPr>
      <w:r>
        <w:rPr>
          <w:sz w:val="22"/>
        </w:rPr>
        <w:t xml:space="preserve">Inclusion of additional features such as branch/stream, semester-wise grades, and socioeconomic indicators.</w:t>
      </w:r>
    </w:p>
    <w:p w14:paraId="001000EE" w14:textId="001000EF">
      <w:pPr>
        <w:pStyle w:val="Heading1"/>
        <w:spacing w:after="120"/>
      </w:pPr>
      <w:r>
        <w:rPr>
          <w:b/>
          <w:sz w:val="32"/>
        </w:rPr>
        <w:t xml:space="preserve">11. References</w:t>
      </w:r>
    </w:p>
    <w:p w14:paraId="001000F0" w14:textId="001000F1">
      <w:pPr>
        <w:spacing w:after="80"/>
      </w:pPr>
      <w:r>
        <w:rPr>
          <w:sz w:val="22"/>
        </w:rPr>
        <w:t xml:space="preserve">1. Kaggle. Student Placement Dataset. https://www.kaggle.com</w:t>
      </w:r>
    </w:p>
    <w:p w14:paraId="001000F2" w14:textId="001000F3">
      <w:pPr>
        <w:spacing w:after="80"/>
      </w:pPr>
      <w:r>
        <w:rPr>
          <w:sz w:val="22"/>
        </w:rPr>
        <w:t xml:space="preserve">2. Scikit-learn documentation. https://scikit-learn.org/stable/</w:t>
      </w:r>
    </w:p>
    <w:p w14:paraId="001000F4" w14:textId="001000F5">
      <w:pPr>
        <w:spacing w:after="80"/>
      </w:pPr>
      <w:r>
        <w:rPr>
          <w:sz w:val="22"/>
        </w:rPr>
        <w:t xml:space="preserve">3. Pandas documentation. https://pandas.pydata.org/docs/</w:t>
      </w:r>
    </w:p>
    <w:p w14:paraId="001000F6" w14:textId="001000F7">
      <w:pPr>
        <w:spacing w:after="80"/>
      </w:pPr>
      <w:r>
        <w:rPr>
          <w:sz w:val="22"/>
        </w:rPr>
        <w:t xml:space="preserve">4. Seaborn documentation. https://seaborn.pydata.org/</w:t>
      </w:r>
    </w:p>
    <w:p w14:paraId="001000F8" w14:textId="001000F9">
      <w:pPr>
        <w:spacing w:after="80"/>
      </w:pPr>
      <w:r>
        <w:rPr>
          <w:sz w:val="22"/>
        </w:rPr>
        <w:t xml:space="preserve">5. IBM SkillsBuild Data Analytics with AI curriculum materials. BharatCares / AICTE Internship Program, 2024–25.</w:t>
      </w:r>
    </w:p>
    <w:p w14:paraId="001000FA" w14:textId="001000FB">
      <w:pPr>
        <w:spacing w:after="80"/>
      </w:pPr>
      <w:r>
        <w:rPr>
          <w:sz w:val="22"/>
        </w:rPr>
        <w:t xml:space="preserve">6. Hastie, T., Tibshirani, R., Friedman, J. (2009). The Elements of Statistical Learning. Springer.</w:t>
      </w:r>
    </w:p>
    <w:p w14:paraId="001000FC" w14:textId="001000FD">
      <w:pPr>
        <w:spacing w:after="80"/>
      </w:pPr>
      <w:r>
        <w:rPr>
          <w:sz w:val="22"/>
        </w:rPr>
        <w:t xml:space="preserve">7. Breiman, L. (2001). Random Forests. Machine Learning, 45(1), 5–32.</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3b12d8b73da4b75" /><Relationship Type="http://schemas.openxmlformats.org/officeDocument/2006/relationships/styles" Target="/word/styles.xml" Id="R747d221e408a4f34" /><Relationship Type="http://schemas.openxmlformats.org/officeDocument/2006/relationships/theme" Target="/word/theme/theme1.xml" Id="Rbc7189e04cc94d6a" /><Relationship Type="http://schemas.openxmlformats.org/officeDocument/2006/relationships/numbering" Target="/word/numbering.xml" Id="Rb79bada1e9f544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2026-09-24T09:40:55Z</dcterms:created>
  <cp:lastModifiedBy>OfficeCLI</cp:lastModifiedBy>
  <dcterms:modified xsi:type="dcterms:W3CDTF">2026-09-24T09:40:55Z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2026-09-24T09:40:57Z</vt:lpwstr>
  </op:property>
</op:Properties>
</file>