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pptx" ContentType="application/vnd.openxmlformats-officedocument.presentationml.presentation"/>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00"/>
      </w:pPr>
    </w:p>
    <w:p>
      <w:pPr>
        <w:spacing w:after="70"/>
      </w:pPr>
      <w:r>
        <w:rPr>
          <w:color w:val="FFFFFF"/>
          <w:sz w:val="30"/>
          <w:szCs w:val="30"/>
        </w:rPr>
        <w:t xml:space="preserve">Project Apollo</w:t>
      </w:r>
    </w:p>
    <w:p>
      <w:pPr>
        <w:spacing w:after="260"/>
      </w:pPr>
      <w:r>
        <w:rPr>
          <w:color w:val="FFFFFF"/>
          <w:sz w:val="22"/>
          <w:szCs w:val="22"/>
        </w:rPr>
        <w:t xml:space="preserve">Integration Workstream</w:t>
      </w:r>
    </w:p>
    <w:p>
      <w:pPr>
        <w:spacing w:after="150"/>
      </w:pPr>
      <w:r>
        <w:rPr>
          <w:b/>
          <w:bCs/>
          <w:color w:val="FFFFFF"/>
          <w:sz w:val="78"/>
          <w:szCs w:val="78"/>
        </w:rPr>
        <w:t xml:space="preserve">Security Log Extraction to Splunk</w:t>
      </w:r>
    </w:p>
    <w:p>
      <w:pPr>
        <w:spacing w:after="40"/>
      </w:pPr>
      <w:r>
        <w:rPr>
          <w:color w:val="FFFFFF"/>
          <w:sz w:val="32"/>
          <w:szCs w:val="32"/>
        </w:rPr>
        <w:t xml:space="preserve">Technical Specification &amp; Design</w:t>
      </w:r>
    </w:p>
    <w:p>
      <w:pPr>
        <w:pBdr>
          <w:bottom w:val="single" w:color="FFFFFF" w:sz="12" w:space="10"/>
        </w:pBdr>
        <w:spacing w:after="0"/>
      </w:pPr>
      <w:r>
        <w:t xml:space="preserve"/>
      </w:r>
    </w:p>
    <w:p>
      <w:pPr>
        <w:spacing w:after="260"/>
      </w:pPr>
    </w:p>
    <w:p>
      <w:pPr>
        <w:spacing w:after="50"/>
      </w:pPr>
      <w:r>
        <w:rPr>
          <w:color w:val="FFFFFF"/>
          <w:sz w:val="22"/>
          <w:szCs w:val="22"/>
        </w:rPr>
        <w:t xml:space="preserve">SAP S/4HANA Cloud   |   SAP Integration Suite (Cloud Integration)</w:t>
      </w:r>
    </w:p>
    <w:p>
      <w:pPr>
        <w:spacing w:after="50"/>
      </w:pPr>
      <w:r>
        <w:rPr>
          <w:color w:val="FFFFFF"/>
          <w:sz w:val="22"/>
          <w:szCs w:val="22"/>
        </w:rPr>
        <w:t xml:space="preserve">Version 1.0     |     20 August 2026</w:t>
      </w:r>
    </w:p>
    <w:p>
      <w:r>
        <w:br w:type="page"/>
      </w:r>
    </w:p>
    <w:p>
      <w:pPr>
        <w:pStyle w:val="Heading1"/>
        <w:spacing w:after="140" w:before="320"/>
      </w:pPr>
      <w:r>
        <w:t xml:space="preserve">Document Information</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600"/>
        <w:gridCol w:w="6426"/>
      </w:tblGrid>
      <w:tr>
        <w:tc>
          <w:tcPr>
            <w:tcW w:type="dxa" w:w="2600"/>
            <w:tcMar>
              <w:top w:type="dxa" w:w="60"/>
              <w:left w:type="dxa" w:w="100"/>
              <w:bottom w:type="dxa" w:w="60"/>
              <w:right w:type="dxa" w:w="100"/>
            </w:tcMar>
          </w:tcPr>
          <w:p>
            <w:pPr>
              <w:spacing w:after="0" w:line="250"/>
            </w:pPr>
            <w:r>
              <w:rPr>
                <w:b/>
                <w:bCs/>
                <w:sz w:val="19"/>
                <w:szCs w:val="19"/>
              </w:rPr>
              <w:t xml:space="preserve">Programme</w:t>
            </w:r>
          </w:p>
        </w:tc>
        <w:tc>
          <w:tcPr>
            <w:tcW w:type="dxa" w:w="6426"/>
            <w:tcMar>
              <w:top w:type="dxa" w:w="60"/>
              <w:left w:type="dxa" w:w="100"/>
              <w:bottom w:type="dxa" w:w="60"/>
              <w:right w:type="dxa" w:w="100"/>
            </w:tcMar>
          </w:tcPr>
          <w:p>
            <w:pPr>
              <w:spacing w:after="0" w:line="250"/>
            </w:pPr>
            <w:r>
              <w:rPr>
                <w:sz w:val="19"/>
                <w:szCs w:val="19"/>
              </w:rPr>
              <w:t xml:space="preserve">Project Apollo</w:t>
            </w:r>
          </w:p>
        </w:tc>
      </w:tr>
      <w:tr>
        <w:tc>
          <w:tcPr>
            <w:tcW w:type="dxa" w:w="2600"/>
            <w:tcMar>
              <w:top w:type="dxa" w:w="60"/>
              <w:left w:type="dxa" w:w="100"/>
              <w:bottom w:type="dxa" w:w="60"/>
              <w:right w:type="dxa" w:w="100"/>
            </w:tcMar>
          </w:tcPr>
          <w:p>
            <w:pPr>
              <w:spacing w:after="0" w:line="250"/>
            </w:pPr>
            <w:r>
              <w:rPr>
                <w:b/>
                <w:bCs/>
                <w:sz w:val="19"/>
                <w:szCs w:val="19"/>
              </w:rPr>
              <w:t xml:space="preserve">Workstream</w:t>
            </w:r>
          </w:p>
        </w:tc>
        <w:tc>
          <w:tcPr>
            <w:tcW w:type="dxa" w:w="6426"/>
            <w:tcMar>
              <w:top w:type="dxa" w:w="60"/>
              <w:left w:type="dxa" w:w="100"/>
              <w:bottom w:type="dxa" w:w="60"/>
              <w:right w:type="dxa" w:w="100"/>
            </w:tcMar>
          </w:tcPr>
          <w:p>
            <w:pPr>
              <w:spacing w:after="0" w:line="250"/>
            </w:pPr>
            <w:r>
              <w:rPr>
                <w:sz w:val="19"/>
                <w:szCs w:val="19"/>
              </w:rPr>
              <w:t xml:space="preserve">Integration — Security &amp; Compliance Logging</w:t>
            </w:r>
          </w:p>
        </w:tc>
      </w:tr>
      <w:tr>
        <w:tc>
          <w:tcPr>
            <w:tcW w:type="dxa" w:w="2600"/>
            <w:tcMar>
              <w:top w:type="dxa" w:w="60"/>
              <w:left w:type="dxa" w:w="100"/>
              <w:bottom w:type="dxa" w:w="60"/>
              <w:right w:type="dxa" w:w="100"/>
            </w:tcMar>
          </w:tcPr>
          <w:p>
            <w:pPr>
              <w:spacing w:after="0" w:line="250"/>
            </w:pPr>
            <w:r>
              <w:rPr>
                <w:b/>
                <w:bCs/>
                <w:sz w:val="19"/>
                <w:szCs w:val="19"/>
              </w:rPr>
              <w:t xml:space="preserve">Document type</w:t>
            </w:r>
          </w:p>
        </w:tc>
        <w:tc>
          <w:tcPr>
            <w:tcW w:type="dxa" w:w="6426"/>
            <w:tcMar>
              <w:top w:type="dxa" w:w="60"/>
              <w:left w:type="dxa" w:w="100"/>
              <w:bottom w:type="dxa" w:w="60"/>
              <w:right w:type="dxa" w:w="100"/>
            </w:tcMar>
          </w:tcPr>
          <w:p>
            <w:pPr>
              <w:spacing w:after="0" w:line="250"/>
            </w:pPr>
            <w:r>
              <w:rPr>
                <w:sz w:val="19"/>
                <w:szCs w:val="19"/>
              </w:rPr>
              <w:t xml:space="preserve">Technical Specification &amp; Design (requirements + detailed design)</w:t>
            </w:r>
          </w:p>
        </w:tc>
      </w:tr>
      <w:tr>
        <w:tc>
          <w:tcPr>
            <w:tcW w:type="dxa" w:w="2600"/>
            <w:tcMar>
              <w:top w:type="dxa" w:w="60"/>
              <w:left w:type="dxa" w:w="100"/>
              <w:bottom w:type="dxa" w:w="60"/>
              <w:right w:type="dxa" w:w="100"/>
            </w:tcMar>
          </w:tcPr>
          <w:p>
            <w:pPr>
              <w:spacing w:after="0" w:line="250"/>
            </w:pPr>
            <w:r>
              <w:rPr>
                <w:b/>
                <w:bCs/>
                <w:sz w:val="19"/>
                <w:szCs w:val="19"/>
              </w:rPr>
              <w:t xml:space="preserve">Source system</w:t>
            </w:r>
          </w:p>
        </w:tc>
        <w:tc>
          <w:tcPr>
            <w:tcW w:type="dxa" w:w="6426"/>
            <w:tcMar>
              <w:top w:type="dxa" w:w="60"/>
              <w:left w:type="dxa" w:w="100"/>
              <w:bottom w:type="dxa" w:w="60"/>
              <w:right w:type="dxa" w:w="100"/>
            </w:tcMar>
          </w:tcPr>
          <w:p>
            <w:pPr>
              <w:spacing w:after="0" w:line="250"/>
            </w:pPr>
            <w:r>
              <w:rPr>
                <w:sz w:val="19"/>
                <w:szCs w:val="19"/>
              </w:rPr>
              <w:t xml:space="preserve">SAP S/4HANA Cloud Public Edition (tenant my435863)</w:t>
            </w:r>
          </w:p>
        </w:tc>
      </w:tr>
      <w:tr>
        <w:tc>
          <w:tcPr>
            <w:tcW w:type="dxa" w:w="2600"/>
            <w:tcMar>
              <w:top w:type="dxa" w:w="60"/>
              <w:left w:type="dxa" w:w="100"/>
              <w:bottom w:type="dxa" w:w="60"/>
              <w:right w:type="dxa" w:w="100"/>
            </w:tcMar>
          </w:tcPr>
          <w:p>
            <w:pPr>
              <w:spacing w:after="0" w:line="250"/>
            </w:pPr>
            <w:r>
              <w:rPr>
                <w:b/>
                <w:bCs/>
                <w:sz w:val="19"/>
                <w:szCs w:val="19"/>
              </w:rPr>
              <w:t xml:space="preserve">Target consumer</w:t>
            </w:r>
          </w:p>
        </w:tc>
        <w:tc>
          <w:tcPr>
            <w:tcW w:type="dxa" w:w="6426"/>
            <w:tcMar>
              <w:top w:type="dxa" w:w="60"/>
              <w:left w:type="dxa" w:w="100"/>
              <w:bottom w:type="dxa" w:w="60"/>
              <w:right w:type="dxa" w:w="100"/>
            </w:tcMar>
          </w:tcPr>
          <w:p>
            <w:pPr>
              <w:spacing w:after="0" w:line="250"/>
            </w:pPr>
            <w:r>
              <w:rPr>
                <w:sz w:val="19"/>
                <w:szCs w:val="19"/>
              </w:rPr>
              <w:t xml:space="preserve">Splunk (HTTP pull / modular input)</w:t>
            </w:r>
          </w:p>
        </w:tc>
      </w:tr>
      <w:tr>
        <w:tc>
          <w:tcPr>
            <w:tcW w:type="dxa" w:w="2600"/>
            <w:tcMar>
              <w:top w:type="dxa" w:w="60"/>
              <w:left w:type="dxa" w:w="100"/>
              <w:bottom w:type="dxa" w:w="60"/>
              <w:right w:type="dxa" w:w="100"/>
            </w:tcMar>
          </w:tcPr>
          <w:p>
            <w:pPr>
              <w:spacing w:after="0" w:line="250"/>
            </w:pPr>
            <w:r>
              <w:rPr>
                <w:b/>
                <w:bCs/>
                <w:sz w:val="19"/>
                <w:szCs w:val="19"/>
              </w:rPr>
              <w:t xml:space="preserve">Artifacts covered</w:t>
            </w:r>
          </w:p>
        </w:tc>
        <w:tc>
          <w:tcPr>
            <w:tcW w:type="dxa" w:w="6426"/>
            <w:tcMar>
              <w:top w:type="dxa" w:w="60"/>
              <w:left w:type="dxa" w:w="100"/>
              <w:bottom w:type="dxa" w:w="60"/>
              <w:right w:type="dxa" w:w="100"/>
            </w:tcMar>
          </w:tcPr>
          <w:p>
            <w:pPr>
              <w:spacing w:after="0" w:line="250"/>
            </w:pPr>
            <w:r>
              <w:rPr>
                <w:sz w:val="19"/>
                <w:szCs w:val="19"/>
              </w:rPr>
              <w:t xml:space="preserve">IF-01 Security Audit Log, IF-02 Read Access Log, IF-03 Business User Changes, IF-04 Business Role Changes</w:t>
            </w:r>
          </w:p>
        </w:tc>
      </w:tr>
      <w:tr>
        <w:tc>
          <w:tcPr>
            <w:tcW w:type="dxa" w:w="2600"/>
            <w:tcMar>
              <w:top w:type="dxa" w:w="60"/>
              <w:left w:type="dxa" w:w="100"/>
              <w:bottom w:type="dxa" w:w="60"/>
              <w:right w:type="dxa" w:w="100"/>
            </w:tcMar>
          </w:tcPr>
          <w:p>
            <w:pPr>
              <w:spacing w:after="0" w:line="250"/>
            </w:pPr>
            <w:r>
              <w:rPr>
                <w:b/>
                <w:bCs/>
                <w:sz w:val="19"/>
                <w:szCs w:val="19"/>
              </w:rPr>
              <w:t xml:space="preserve">Version</w:t>
            </w:r>
          </w:p>
        </w:tc>
        <w:tc>
          <w:tcPr>
            <w:tcW w:type="dxa" w:w="6426"/>
            <w:tcMar>
              <w:top w:type="dxa" w:w="60"/>
              <w:left w:type="dxa" w:w="100"/>
              <w:bottom w:type="dxa" w:w="60"/>
              <w:right w:type="dxa" w:w="100"/>
            </w:tcMar>
          </w:tcPr>
          <w:p>
            <w:pPr>
              <w:spacing w:after="0" w:line="250"/>
            </w:pPr>
            <w:r>
              <w:rPr>
                <w:sz w:val="19"/>
                <w:szCs w:val="19"/>
              </w:rPr>
              <w:t xml:space="preserve">1.0</w:t>
            </w:r>
          </w:p>
        </w:tc>
      </w:tr>
      <w:tr>
        <w:tc>
          <w:tcPr>
            <w:tcW w:type="dxa" w:w="2600"/>
            <w:tcMar>
              <w:top w:type="dxa" w:w="60"/>
              <w:left w:type="dxa" w:w="100"/>
              <w:bottom w:type="dxa" w:w="60"/>
              <w:right w:type="dxa" w:w="100"/>
            </w:tcMar>
          </w:tcPr>
          <w:p>
            <w:pPr>
              <w:spacing w:after="0" w:line="250"/>
            </w:pPr>
            <w:r>
              <w:rPr>
                <w:b/>
                <w:bCs/>
                <w:sz w:val="19"/>
                <w:szCs w:val="19"/>
              </w:rPr>
              <w:t xml:space="preserve">Status</w:t>
            </w:r>
          </w:p>
        </w:tc>
        <w:tc>
          <w:tcPr>
            <w:tcW w:type="dxa" w:w="6426"/>
            <w:tcMar>
              <w:top w:type="dxa" w:w="60"/>
              <w:left w:type="dxa" w:w="100"/>
              <w:bottom w:type="dxa" w:w="60"/>
              <w:right w:type="dxa" w:w="100"/>
            </w:tcMar>
          </w:tcPr>
          <w:p>
            <w:pPr>
              <w:spacing w:after="0" w:line="250"/>
            </w:pPr>
            <w:r>
              <w:rPr>
                <w:sz w:val="19"/>
                <w:szCs w:val="19"/>
              </w:rPr>
              <w:t xml:space="preserve">Baselined — all four interfaces built, validated and packaged</w:t>
            </w:r>
          </w:p>
        </w:tc>
      </w:tr>
      <w:tr>
        <w:tc>
          <w:tcPr>
            <w:tcW w:type="dxa" w:w="2600"/>
            <w:tcMar>
              <w:top w:type="dxa" w:w="60"/>
              <w:left w:type="dxa" w:w="100"/>
              <w:bottom w:type="dxa" w:w="60"/>
              <w:right w:type="dxa" w:w="100"/>
            </w:tcMar>
          </w:tcPr>
          <w:p>
            <w:pPr>
              <w:spacing w:after="0" w:line="250"/>
            </w:pPr>
            <w:r>
              <w:rPr>
                <w:b/>
                <w:bCs/>
                <w:sz w:val="19"/>
                <w:szCs w:val="19"/>
              </w:rPr>
              <w:t xml:space="preserve">Date</w:t>
            </w:r>
          </w:p>
        </w:tc>
        <w:tc>
          <w:tcPr>
            <w:tcW w:type="dxa" w:w="6426"/>
            <w:tcMar>
              <w:top w:type="dxa" w:w="60"/>
              <w:left w:type="dxa" w:w="100"/>
              <w:bottom w:type="dxa" w:w="60"/>
              <w:right w:type="dxa" w:w="100"/>
            </w:tcMar>
          </w:tcPr>
          <w:p>
            <w:pPr>
              <w:spacing w:after="0" w:line="250"/>
            </w:pPr>
            <w:r>
              <w:rPr>
                <w:sz w:val="19"/>
                <w:szCs w:val="19"/>
              </w:rPr>
              <w:t xml:space="preserve">20 August 2026</w:t>
            </w:r>
          </w:p>
        </w:tc>
      </w:tr>
      <w:tr>
        <w:tc>
          <w:tcPr>
            <w:tcW w:type="dxa" w:w="2600"/>
            <w:tcMar>
              <w:top w:type="dxa" w:w="60"/>
              <w:left w:type="dxa" w:w="100"/>
              <w:bottom w:type="dxa" w:w="60"/>
              <w:right w:type="dxa" w:w="100"/>
            </w:tcMar>
          </w:tcPr>
          <w:p>
            <w:pPr>
              <w:spacing w:after="0" w:line="250"/>
            </w:pPr>
            <w:r>
              <w:rPr>
                <w:b/>
                <w:bCs/>
                <w:sz w:val="19"/>
                <w:szCs w:val="19"/>
              </w:rPr>
              <w:t xml:space="preserve">Owner</w:t>
            </w:r>
          </w:p>
        </w:tc>
        <w:tc>
          <w:tcPr>
            <w:tcW w:type="dxa" w:w="6426"/>
            <w:tcMar>
              <w:top w:type="dxa" w:w="60"/>
              <w:left w:type="dxa" w:w="100"/>
              <w:bottom w:type="dxa" w:w="60"/>
              <w:right w:type="dxa" w:w="100"/>
            </w:tcMar>
          </w:tcPr>
          <w:p>
            <w:pPr>
              <w:spacing w:after="0" w:line="250"/>
            </w:pPr>
            <w:r>
              <w:rPr>
                <w:sz w:val="19"/>
                <w:szCs w:val="19"/>
              </w:rPr>
              <w:t xml:space="preserve">Service Stream — Integration Team</w:t>
            </w:r>
          </w:p>
        </w:tc>
      </w:tr>
    </w:tbl>
    <w:p>
      <w:pPr>
        <w:spacing w:after="240"/>
      </w:pPr>
    </w:p>
    <w:p>
      <w:pPr>
        <w:pStyle w:val="Heading1"/>
        <w:spacing w:after="140" w:before="320"/>
      </w:pPr>
      <w:r>
        <w:t xml:space="preserve">Document Control</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1100"/>
        <w:gridCol w:w="1500"/>
        <w:gridCol w:w="2200"/>
        <w:gridCol w:w="4226"/>
      </w:tblGrid>
      <w:tr>
        <w:trPr>
          <w:tblHeader/>
        </w:trPr>
        <w:tc>
          <w:tcPr>
            <w:tcW w:type="dxa" w:w="1100"/>
            <w:shd w:fill="D9E2F3" w:color="auto" w:val="clear"/>
            <w:tcMar>
              <w:top w:type="dxa" w:w="60"/>
              <w:left w:type="dxa" w:w="100"/>
              <w:bottom w:type="dxa" w:w="60"/>
              <w:right w:type="dxa" w:w="100"/>
            </w:tcMar>
          </w:tcPr>
          <w:p>
            <w:pPr>
              <w:spacing w:after="0" w:line="250"/>
            </w:pPr>
            <w:r>
              <w:rPr>
                <w:b/>
                <w:bCs/>
                <w:sz w:val="19"/>
                <w:szCs w:val="19"/>
              </w:rPr>
              <w:t xml:space="preserve">Version</w:t>
            </w:r>
          </w:p>
        </w:tc>
        <w:tc>
          <w:tcPr>
            <w:tcW w:type="dxa" w:w="1500"/>
            <w:shd w:fill="D9E2F3" w:color="auto" w:val="clear"/>
            <w:tcMar>
              <w:top w:type="dxa" w:w="60"/>
              <w:left w:type="dxa" w:w="100"/>
              <w:bottom w:type="dxa" w:w="60"/>
              <w:right w:type="dxa" w:w="100"/>
            </w:tcMar>
          </w:tcPr>
          <w:p>
            <w:pPr>
              <w:spacing w:after="0" w:line="250"/>
            </w:pPr>
            <w:r>
              <w:rPr>
                <w:b/>
                <w:bCs/>
                <w:sz w:val="19"/>
                <w:szCs w:val="19"/>
              </w:rPr>
              <w:t xml:space="preserve">Date</w:t>
            </w:r>
          </w:p>
        </w:tc>
        <w:tc>
          <w:tcPr>
            <w:tcW w:type="dxa" w:w="2200"/>
            <w:shd w:fill="D9E2F3" w:color="auto" w:val="clear"/>
            <w:tcMar>
              <w:top w:type="dxa" w:w="60"/>
              <w:left w:type="dxa" w:w="100"/>
              <w:bottom w:type="dxa" w:w="60"/>
              <w:right w:type="dxa" w:w="100"/>
            </w:tcMar>
          </w:tcPr>
          <w:p>
            <w:pPr>
              <w:spacing w:after="0" w:line="250"/>
            </w:pPr>
            <w:r>
              <w:rPr>
                <w:b/>
                <w:bCs/>
                <w:sz w:val="19"/>
                <w:szCs w:val="19"/>
              </w:rPr>
              <w:t xml:space="preserve">Author</w:t>
            </w:r>
          </w:p>
        </w:tc>
        <w:tc>
          <w:tcPr>
            <w:tcW w:type="dxa" w:w="4226"/>
            <w:shd w:fill="D9E2F3" w:color="auto" w:val="clear"/>
            <w:tcMar>
              <w:top w:type="dxa" w:w="60"/>
              <w:left w:type="dxa" w:w="100"/>
              <w:bottom w:type="dxa" w:w="60"/>
              <w:right w:type="dxa" w:w="100"/>
            </w:tcMar>
          </w:tcPr>
          <w:p>
            <w:pPr>
              <w:spacing w:after="0" w:line="250"/>
            </w:pPr>
            <w:r>
              <w:rPr>
                <w:b/>
                <w:bCs/>
                <w:sz w:val="19"/>
                <w:szCs w:val="19"/>
              </w:rPr>
              <w:t xml:space="preserve">Description</w:t>
            </w:r>
          </w:p>
        </w:tc>
      </w:tr>
      <w:tr>
        <w:tc>
          <w:tcPr>
            <w:tcW w:type="dxa" w:w="1100"/>
            <w:tcMar>
              <w:top w:type="dxa" w:w="60"/>
              <w:left w:type="dxa" w:w="100"/>
              <w:bottom w:type="dxa" w:w="60"/>
              <w:right w:type="dxa" w:w="100"/>
            </w:tcMar>
          </w:tcPr>
          <w:p>
            <w:pPr>
              <w:spacing w:after="0" w:line="250"/>
            </w:pPr>
            <w:r>
              <w:rPr>
                <w:sz w:val="19"/>
                <w:szCs w:val="19"/>
              </w:rPr>
              <w:t xml:space="preserve">0.1</w:t>
            </w:r>
          </w:p>
        </w:tc>
        <w:tc>
          <w:tcPr>
            <w:tcW w:type="dxa" w:w="1500"/>
            <w:tcMar>
              <w:top w:type="dxa" w:w="60"/>
              <w:left w:type="dxa" w:w="100"/>
              <w:bottom w:type="dxa" w:w="60"/>
              <w:right w:type="dxa" w:w="100"/>
            </w:tcMar>
          </w:tcPr>
          <w:p>
            <w:pPr>
              <w:spacing w:after="0" w:line="250"/>
            </w:pPr>
            <w:r>
              <w:rPr>
                <w:sz w:val="19"/>
                <w:szCs w:val="19"/>
              </w:rPr>
              <w:t xml:space="preserve">06 Aug 2026</w:t>
            </w:r>
          </w:p>
        </w:tc>
        <w:tc>
          <w:tcPr>
            <w:tcW w:type="dxa" w:w="2200"/>
            <w:tcMar>
              <w:top w:type="dxa" w:w="60"/>
              <w:left w:type="dxa" w:w="100"/>
              <w:bottom w:type="dxa" w:w="60"/>
              <w:right w:type="dxa" w:w="100"/>
            </w:tcMar>
          </w:tcPr>
          <w:p>
            <w:pPr>
              <w:spacing w:after="0" w:line="250"/>
            </w:pPr>
            <w:r>
              <w:rPr>
                <w:sz w:val="19"/>
                <w:szCs w:val="19"/>
              </w:rPr>
              <w:t xml:space="preserve">Integration Team</w:t>
            </w:r>
          </w:p>
        </w:tc>
        <w:tc>
          <w:tcPr>
            <w:tcW w:type="dxa" w:w="4226"/>
            <w:tcMar>
              <w:top w:type="dxa" w:w="60"/>
              <w:left w:type="dxa" w:w="100"/>
              <w:bottom w:type="dxa" w:w="60"/>
              <w:right w:type="dxa" w:w="100"/>
            </w:tcMar>
          </w:tcPr>
          <w:p>
            <w:pPr>
              <w:spacing w:after="0" w:line="250"/>
            </w:pPr>
            <w:r>
              <w:rPr>
                <w:sz w:val="19"/>
                <w:szCs w:val="19"/>
              </w:rPr>
              <w:t xml:space="preserve">Initial build spec — Security Audit Log, push-to-HEC design</w:t>
            </w:r>
          </w:p>
        </w:tc>
      </w:tr>
      <w:tr>
        <w:tc>
          <w:tcPr>
            <w:tcW w:type="dxa" w:w="1100"/>
            <w:tcMar>
              <w:top w:type="dxa" w:w="60"/>
              <w:left w:type="dxa" w:w="100"/>
              <w:bottom w:type="dxa" w:w="60"/>
              <w:right w:type="dxa" w:w="100"/>
            </w:tcMar>
          </w:tcPr>
          <w:p>
            <w:pPr>
              <w:spacing w:after="0" w:line="250"/>
            </w:pPr>
            <w:r>
              <w:rPr>
                <w:sz w:val="19"/>
                <w:szCs w:val="19"/>
              </w:rPr>
              <w:t xml:space="preserve">0.2</w:t>
            </w:r>
          </w:p>
        </w:tc>
        <w:tc>
          <w:tcPr>
            <w:tcW w:type="dxa" w:w="1500"/>
            <w:tcMar>
              <w:top w:type="dxa" w:w="60"/>
              <w:left w:type="dxa" w:w="100"/>
              <w:bottom w:type="dxa" w:w="60"/>
              <w:right w:type="dxa" w:w="100"/>
            </w:tcMar>
          </w:tcPr>
          <w:p>
            <w:pPr>
              <w:spacing w:after="0" w:line="250"/>
            </w:pPr>
            <w:r>
              <w:rPr>
                <w:sz w:val="19"/>
                <w:szCs w:val="19"/>
              </w:rPr>
              <w:t xml:space="preserve">06 Aug 2026</w:t>
            </w:r>
          </w:p>
        </w:tc>
        <w:tc>
          <w:tcPr>
            <w:tcW w:type="dxa" w:w="2200"/>
            <w:tcMar>
              <w:top w:type="dxa" w:w="60"/>
              <w:left w:type="dxa" w:w="100"/>
              <w:bottom w:type="dxa" w:w="60"/>
              <w:right w:type="dxa" w:w="100"/>
            </w:tcMar>
          </w:tcPr>
          <w:p>
            <w:pPr>
              <w:spacing w:after="0" w:line="250"/>
            </w:pPr>
            <w:r>
              <w:rPr>
                <w:sz w:val="19"/>
                <w:szCs w:val="19"/>
              </w:rPr>
              <w:t xml:space="preserve">Integration Team</w:t>
            </w:r>
          </w:p>
        </w:tc>
        <w:tc>
          <w:tcPr>
            <w:tcW w:type="dxa" w:w="4226"/>
            <w:tcMar>
              <w:top w:type="dxa" w:w="60"/>
              <w:left w:type="dxa" w:w="100"/>
              <w:bottom w:type="dxa" w:w="60"/>
              <w:right w:type="dxa" w:w="100"/>
            </w:tcMar>
          </w:tcPr>
          <w:p>
            <w:pPr>
              <w:spacing w:after="0" w:line="250"/>
            </w:pPr>
            <w:r>
              <w:rPr>
                <w:sz w:val="19"/>
                <w:szCs w:val="19"/>
              </w:rPr>
              <w:t xml:space="preserve">Redesigned as request-reply (reply body) instead of HEC push</w:t>
            </w:r>
          </w:p>
        </w:tc>
      </w:tr>
      <w:tr>
        <w:tc>
          <w:tcPr>
            <w:tcW w:type="dxa" w:w="1100"/>
            <w:tcMar>
              <w:top w:type="dxa" w:w="60"/>
              <w:left w:type="dxa" w:w="100"/>
              <w:bottom w:type="dxa" w:w="60"/>
              <w:right w:type="dxa" w:w="100"/>
            </w:tcMar>
          </w:tcPr>
          <w:p>
            <w:pPr>
              <w:spacing w:after="0" w:line="250"/>
            </w:pPr>
            <w:r>
              <w:rPr>
                <w:sz w:val="19"/>
                <w:szCs w:val="19"/>
              </w:rPr>
              <w:t xml:space="preserve">0.3</w:t>
            </w:r>
          </w:p>
        </w:tc>
        <w:tc>
          <w:tcPr>
            <w:tcW w:type="dxa" w:w="1500"/>
            <w:tcMar>
              <w:top w:type="dxa" w:w="60"/>
              <w:left w:type="dxa" w:w="100"/>
              <w:bottom w:type="dxa" w:w="60"/>
              <w:right w:type="dxa" w:w="100"/>
            </w:tcMar>
          </w:tcPr>
          <w:p>
            <w:pPr>
              <w:spacing w:after="0" w:line="250"/>
            </w:pPr>
            <w:r>
              <w:rPr>
                <w:sz w:val="19"/>
                <w:szCs w:val="19"/>
              </w:rPr>
              <w:t xml:space="preserve">13 Aug 2026</w:t>
            </w:r>
          </w:p>
        </w:tc>
        <w:tc>
          <w:tcPr>
            <w:tcW w:type="dxa" w:w="2200"/>
            <w:tcMar>
              <w:top w:type="dxa" w:w="60"/>
              <w:left w:type="dxa" w:w="100"/>
              <w:bottom w:type="dxa" w:w="60"/>
              <w:right w:type="dxa" w:w="100"/>
            </w:tcMar>
          </w:tcPr>
          <w:p>
            <w:pPr>
              <w:spacing w:after="0" w:line="250"/>
            </w:pPr>
            <w:r>
              <w:rPr>
                <w:sz w:val="19"/>
                <w:szCs w:val="19"/>
              </w:rPr>
              <w:t xml:space="preserve">Integration Team</w:t>
            </w:r>
          </w:p>
        </w:tc>
        <w:tc>
          <w:tcPr>
            <w:tcW w:type="dxa" w:w="4226"/>
            <w:tcMar>
              <w:top w:type="dxa" w:w="60"/>
              <w:left w:type="dxa" w:w="100"/>
              <w:bottom w:type="dxa" w:w="60"/>
              <w:right w:type="dxa" w:w="100"/>
            </w:tcMar>
          </w:tcPr>
          <w:p>
            <w:pPr>
              <w:spacing w:after="0" w:line="250"/>
            </w:pPr>
            <w:r>
              <w:rPr>
                <w:sz w:val="19"/>
                <w:szCs w:val="19"/>
              </w:rPr>
              <w:t xml:space="preserve">Added persistent high-water, first-run bootstrap and gap cap</w:t>
            </w:r>
          </w:p>
        </w:tc>
      </w:tr>
      <w:tr>
        <w:tc>
          <w:tcPr>
            <w:tcW w:type="dxa" w:w="1100"/>
            <w:tcMar>
              <w:top w:type="dxa" w:w="60"/>
              <w:left w:type="dxa" w:w="100"/>
              <w:bottom w:type="dxa" w:w="60"/>
              <w:right w:type="dxa" w:w="100"/>
            </w:tcMar>
          </w:tcPr>
          <w:p>
            <w:pPr>
              <w:spacing w:after="0" w:line="250"/>
            </w:pPr>
            <w:r>
              <w:rPr>
                <w:sz w:val="19"/>
                <w:szCs w:val="19"/>
              </w:rPr>
              <w:t xml:space="preserve">0.4</w:t>
            </w:r>
          </w:p>
        </w:tc>
        <w:tc>
          <w:tcPr>
            <w:tcW w:type="dxa" w:w="1500"/>
            <w:tcMar>
              <w:top w:type="dxa" w:w="60"/>
              <w:left w:type="dxa" w:w="100"/>
              <w:bottom w:type="dxa" w:w="60"/>
              <w:right w:type="dxa" w:w="100"/>
            </w:tcMar>
          </w:tcPr>
          <w:p>
            <w:pPr>
              <w:spacing w:after="0" w:line="250"/>
            </w:pPr>
            <w:r>
              <w:rPr>
                <w:sz w:val="19"/>
                <w:szCs w:val="19"/>
              </w:rPr>
              <w:t xml:space="preserve">13 Aug 2026</w:t>
            </w:r>
          </w:p>
        </w:tc>
        <w:tc>
          <w:tcPr>
            <w:tcW w:type="dxa" w:w="2200"/>
            <w:tcMar>
              <w:top w:type="dxa" w:w="60"/>
              <w:left w:type="dxa" w:w="100"/>
              <w:bottom w:type="dxa" w:w="60"/>
              <w:right w:type="dxa" w:w="100"/>
            </w:tcMar>
          </w:tcPr>
          <w:p>
            <w:pPr>
              <w:spacing w:after="0" w:line="250"/>
            </w:pPr>
            <w:r>
              <w:rPr>
                <w:sz w:val="19"/>
                <w:szCs w:val="19"/>
              </w:rPr>
              <w:t xml:space="preserve">Integration Team</w:t>
            </w:r>
          </w:p>
        </w:tc>
        <w:tc>
          <w:tcPr>
            <w:tcW w:type="dxa" w:w="4226"/>
            <w:tcMar>
              <w:top w:type="dxa" w:w="60"/>
              <w:left w:type="dxa" w:w="100"/>
              <w:bottom w:type="dxa" w:w="60"/>
              <w:right w:type="dxa" w:w="100"/>
            </w:tcMar>
          </w:tcPr>
          <w:p>
            <w:pPr>
              <w:spacing w:after="0" w:line="250"/>
            </w:pPr>
            <w:r>
              <w:rPr>
                <w:sz w:val="19"/>
                <w:szCs w:val="19"/>
              </w:rPr>
              <w:t xml:space="preserve">Added Exception Subprocess</w:t>
            </w:r>
          </w:p>
        </w:tc>
      </w:tr>
      <w:tr>
        <w:tc>
          <w:tcPr>
            <w:tcW w:type="dxa" w:w="1100"/>
            <w:tcMar>
              <w:top w:type="dxa" w:w="60"/>
              <w:left w:type="dxa" w:w="100"/>
              <w:bottom w:type="dxa" w:w="60"/>
              <w:right w:type="dxa" w:w="100"/>
            </w:tcMar>
          </w:tcPr>
          <w:p>
            <w:pPr>
              <w:spacing w:after="0" w:line="250"/>
            </w:pPr>
            <w:r>
              <w:rPr>
                <w:sz w:val="19"/>
                <w:szCs w:val="19"/>
              </w:rPr>
              <w:t xml:space="preserve">1.0</w:t>
            </w:r>
          </w:p>
        </w:tc>
        <w:tc>
          <w:tcPr>
            <w:tcW w:type="dxa" w:w="1500"/>
            <w:tcMar>
              <w:top w:type="dxa" w:w="60"/>
              <w:left w:type="dxa" w:w="100"/>
              <w:bottom w:type="dxa" w:w="60"/>
              <w:right w:type="dxa" w:w="100"/>
            </w:tcMar>
          </w:tcPr>
          <w:p>
            <w:pPr>
              <w:spacing w:after="0" w:line="250"/>
            </w:pPr>
            <w:r>
              <w:rPr>
                <w:sz w:val="19"/>
                <w:szCs w:val="19"/>
              </w:rPr>
              <w:t xml:space="preserve">20 Aug 2026</w:t>
            </w:r>
          </w:p>
        </w:tc>
        <w:tc>
          <w:tcPr>
            <w:tcW w:type="dxa" w:w="2200"/>
            <w:tcMar>
              <w:top w:type="dxa" w:w="60"/>
              <w:left w:type="dxa" w:w="100"/>
              <w:bottom w:type="dxa" w:w="60"/>
              <w:right w:type="dxa" w:w="100"/>
            </w:tcMar>
          </w:tcPr>
          <w:p>
            <w:pPr>
              <w:spacing w:after="0" w:line="250"/>
            </w:pPr>
            <w:r>
              <w:rPr>
                <w:sz w:val="19"/>
                <w:szCs w:val="19"/>
              </w:rPr>
              <w:t xml:space="preserve">Integration Team</w:t>
            </w:r>
          </w:p>
        </w:tc>
        <w:tc>
          <w:tcPr>
            <w:tcW w:type="dxa" w:w="4226"/>
            <w:tcMar>
              <w:top w:type="dxa" w:w="60"/>
              <w:left w:type="dxa" w:w="100"/>
              <w:bottom w:type="dxa" w:w="60"/>
              <w:right w:type="dxa" w:w="100"/>
            </w:tcMar>
          </w:tcPr>
          <w:p>
            <w:pPr>
              <w:spacing w:after="0" w:line="250"/>
            </w:pPr>
            <w:r>
              <w:rPr>
                <w:sz w:val="19"/>
                <w:szCs w:val="19"/>
              </w:rPr>
              <w:t xml:space="preserve">Extended to all four log types; V2/V4 handling; defect remediation</w:t>
            </w:r>
          </w:p>
        </w:tc>
      </w:tr>
    </w:tbl>
    <w:p>
      <w:pPr>
        <w:spacing w:after="240"/>
      </w:pPr>
    </w:p>
    <w:p>
      <w:pPr>
        <w:pStyle w:val="Heading1"/>
        <w:spacing w:after="140" w:before="320"/>
      </w:pPr>
      <w:r>
        <w:t xml:space="preserve">Table of Contents</w:t>
      </w:r>
    </w:p>
    <w:sdt>
      <w:sdtPr>
        <w:alias w:val="Right-click and select 'Update Field' to populat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t xml:space="preserve">1. Introduction</w:t>
      </w:r>
    </w:p>
    <w:p>
      <w:pPr>
        <w:pStyle w:val="Heading2"/>
        <w:spacing w:after="140" w:before="240"/>
      </w:pPr>
      <w:r>
        <w:t xml:space="preserve">1.1 Purpose</w:t>
      </w:r>
    </w:p>
    <w:p>
      <w:pPr>
        <w:spacing w:after="120" w:line="276"/>
      </w:pPr>
      <w:r>
        <w:rPr>
          <w:sz w:val="21"/>
          <w:szCs w:val="21"/>
        </w:rPr>
        <w:t xml:space="preserve">This document specifies the requirements and technical design for four SAP Cloud Integration (CPI) interfaces that extract security-relevant log data from SAP S/4HANA Cloud Public Edition and make it available to Splunk for SIEM ingestion, correlation and alerting.</w:t>
      </w:r>
    </w:p>
    <w:p>
      <w:pPr>
        <w:pStyle w:val="Heading2"/>
        <w:spacing w:after="140" w:before="240"/>
      </w:pPr>
      <w:r>
        <w:t xml:space="preserve">1.2 Scope</w:t>
      </w:r>
    </w:p>
    <w:p>
      <w:pPr>
        <w:spacing w:after="120" w:line="276"/>
      </w:pPr>
      <w:r>
        <w:rPr>
          <w:sz w:val="21"/>
          <w:szCs w:val="21"/>
        </w:rPr>
        <w:t xml:space="preserve">In scope:</w:t>
      </w:r>
    </w:p>
    <w:p>
      <w:pPr>
        <w:pStyle w:val="ListParagraph"/>
        <w:numPr>
          <w:ilvl w:val="0"/>
          <w:numId w:val="2"/>
        </w:numPr>
        <w:spacing w:after="70" w:line="276"/>
      </w:pPr>
      <w:r>
        <w:rPr>
          <w:sz w:val="21"/>
          <w:szCs w:val="21"/>
        </w:rPr>
        <w:t xml:space="preserve">Four CPI integration flows, one per S/4HANA Cloud security log type.</w:t>
      </w:r>
    </w:p>
    <w:p>
      <w:pPr>
        <w:pStyle w:val="ListParagraph"/>
        <w:numPr>
          <w:ilvl w:val="0"/>
          <w:numId w:val="2"/>
        </w:numPr>
        <w:spacing w:after="70" w:line="276"/>
      </w:pPr>
      <w:r>
        <w:rPr>
          <w:sz w:val="21"/>
          <w:szCs w:val="21"/>
        </w:rPr>
        <w:t xml:space="preserve">Delta (incremental) extraction with a persisted last-run high-water mark.</w:t>
      </w:r>
    </w:p>
    <w:p>
      <w:pPr>
        <w:pStyle w:val="ListParagraph"/>
        <w:numPr>
          <w:ilvl w:val="0"/>
          <w:numId w:val="2"/>
        </w:numPr>
        <w:spacing w:after="70" w:line="276"/>
      </w:pPr>
      <w:r>
        <w:rPr>
          <w:sz w:val="21"/>
          <w:szCs w:val="21"/>
        </w:rPr>
        <w:t xml:space="preserve">Full pagination across all pages of a delta window.</w:t>
      </w:r>
    </w:p>
    <w:p>
      <w:pPr>
        <w:pStyle w:val="ListParagraph"/>
        <w:numPr>
          <w:ilvl w:val="0"/>
          <w:numId w:val="2"/>
        </w:numPr>
        <w:spacing w:after="70" w:line="276"/>
      </w:pPr>
      <w:r>
        <w:rPr>
          <w:sz w:val="21"/>
          <w:szCs w:val="21"/>
        </w:rPr>
        <w:t xml:space="preserve">Transformation to Splunk HTTP Event Collector (HEC) newline-delimited JSON (NDJSON).</w:t>
      </w:r>
    </w:p>
    <w:p>
      <w:pPr>
        <w:pStyle w:val="ListParagraph"/>
        <w:numPr>
          <w:ilvl w:val="0"/>
          <w:numId w:val="2"/>
        </w:numPr>
        <w:spacing w:after="70" w:line="276"/>
      </w:pPr>
      <w:r>
        <w:rPr>
          <w:sz w:val="21"/>
          <w:szCs w:val="21"/>
        </w:rPr>
        <w:t xml:space="preserve">Bounded-memory extraction, error handling and observability.</w:t>
      </w:r>
    </w:p>
    <w:p>
      <w:pPr>
        <w:spacing w:after="120" w:line="276"/>
      </w:pPr>
      <w:r>
        <w:rPr>
          <w:sz w:val="21"/>
          <w:szCs w:val="21"/>
        </w:rPr>
        <w:t xml:space="preserve">Out of scope:</w:t>
      </w:r>
    </w:p>
    <w:p>
      <w:pPr>
        <w:pStyle w:val="ListParagraph"/>
        <w:numPr>
          <w:ilvl w:val="0"/>
          <w:numId w:val="2"/>
        </w:numPr>
        <w:spacing w:after="70" w:line="276"/>
      </w:pPr>
      <w:r>
        <w:rPr>
          <w:sz w:val="21"/>
          <w:szCs w:val="21"/>
        </w:rPr>
        <w:t xml:space="preserve">Splunk-side index, sourcetype and dashboard configuration.</w:t>
      </w:r>
    </w:p>
    <w:p>
      <w:pPr>
        <w:pStyle w:val="ListParagraph"/>
        <w:numPr>
          <w:ilvl w:val="0"/>
          <w:numId w:val="2"/>
        </w:numPr>
        <w:spacing w:after="70" w:line="276"/>
      </w:pPr>
      <w:r>
        <w:rPr>
          <w:sz w:val="21"/>
          <w:szCs w:val="21"/>
        </w:rPr>
        <w:t xml:space="preserve">The scheduler/modular input that invokes the CPI endpoints.</w:t>
      </w:r>
    </w:p>
    <w:p>
      <w:pPr>
        <w:pStyle w:val="ListParagraph"/>
        <w:numPr>
          <w:ilvl w:val="0"/>
          <w:numId w:val="2"/>
        </w:numPr>
        <w:spacing w:after="70" w:line="276"/>
      </w:pPr>
      <w:r>
        <w:rPr>
          <w:sz w:val="21"/>
          <w:szCs w:val="21"/>
        </w:rPr>
        <w:t xml:space="preserve">S/4HANA Cloud communication arrangement provisioning (prerequisite).</w:t>
      </w:r>
    </w:p>
    <w:p>
      <w:pPr>
        <w:pStyle w:val="ListParagraph"/>
        <w:numPr>
          <w:ilvl w:val="0"/>
          <w:numId w:val="2"/>
        </w:numPr>
        <w:spacing w:after="70" w:line="276"/>
      </w:pPr>
      <w:r>
        <w:rPr>
          <w:sz w:val="21"/>
          <w:szCs w:val="21"/>
        </w:rPr>
        <w:t xml:space="preserve">Retention, archival and downstream SIEM use-case content.</w:t>
      </w:r>
    </w:p>
    <w:p>
      <w:pPr>
        <w:pStyle w:val="Heading2"/>
        <w:spacing w:after="140" w:before="240"/>
      </w:pPr>
      <w:r>
        <w:t xml:space="preserve">1.3 Intended audience</w:t>
      </w:r>
    </w:p>
    <w:p>
      <w:pPr>
        <w:spacing w:after="120" w:line="276"/>
      </w:pPr>
      <w:r>
        <w:rPr>
          <w:sz w:val="21"/>
          <w:szCs w:val="21"/>
        </w:rPr>
        <w:t xml:space="preserve">SAP integration developers and administrators, Splunk/SIEM engineers, security operations, and the change-approval board.</w:t>
      </w:r>
    </w:p>
    <w:p>
      <w:pPr>
        <w:pStyle w:val="Heading2"/>
        <w:spacing w:after="140" w:before="240"/>
      </w:pPr>
      <w:r>
        <w:t xml:space="preserve">1.4 Definitions and abbreviations</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1700"/>
        <w:gridCol w:w="7326"/>
      </w:tblGrid>
      <w:tr>
        <w:trPr>
          <w:tblHeader/>
        </w:trPr>
        <w:tc>
          <w:tcPr>
            <w:tcW w:type="dxa" w:w="1700"/>
            <w:shd w:fill="D9E2F3" w:color="auto" w:val="clear"/>
            <w:tcMar>
              <w:top w:type="dxa" w:w="60"/>
              <w:left w:type="dxa" w:w="100"/>
              <w:bottom w:type="dxa" w:w="60"/>
              <w:right w:type="dxa" w:w="100"/>
            </w:tcMar>
          </w:tcPr>
          <w:p>
            <w:pPr>
              <w:spacing w:after="0" w:line="250"/>
            </w:pPr>
            <w:r>
              <w:rPr>
                <w:b/>
                <w:bCs/>
                <w:sz w:val="19"/>
                <w:szCs w:val="19"/>
              </w:rPr>
              <w:t xml:space="preserve">Term</w:t>
            </w:r>
          </w:p>
        </w:tc>
        <w:tc>
          <w:tcPr>
            <w:tcW w:type="dxa" w:w="7326"/>
            <w:shd w:fill="D9E2F3" w:color="auto" w:val="clear"/>
            <w:tcMar>
              <w:top w:type="dxa" w:w="60"/>
              <w:left w:type="dxa" w:w="100"/>
              <w:bottom w:type="dxa" w:w="60"/>
              <w:right w:type="dxa" w:w="100"/>
            </w:tcMar>
          </w:tcPr>
          <w:p>
            <w:pPr>
              <w:spacing w:after="0" w:line="250"/>
            </w:pPr>
            <w:r>
              <w:rPr>
                <w:b/>
                <w:bCs/>
                <w:sz w:val="19"/>
                <w:szCs w:val="19"/>
              </w:rPr>
              <w:t xml:space="preserve">Definition</w:t>
            </w:r>
          </w:p>
        </w:tc>
      </w:tr>
      <w:tr>
        <w:tc>
          <w:tcPr>
            <w:tcW w:type="dxa" w:w="1700"/>
            <w:tcMar>
              <w:top w:type="dxa" w:w="60"/>
              <w:left w:type="dxa" w:w="100"/>
              <w:bottom w:type="dxa" w:w="60"/>
              <w:right w:type="dxa" w:w="100"/>
            </w:tcMar>
          </w:tcPr>
          <w:p>
            <w:pPr>
              <w:spacing w:after="0" w:line="250"/>
            </w:pPr>
            <w:r>
              <w:rPr>
                <w:sz w:val="19"/>
                <w:szCs w:val="19"/>
              </w:rPr>
              <w:t xml:space="preserve">CPI</w:t>
            </w:r>
          </w:p>
        </w:tc>
        <w:tc>
          <w:tcPr>
            <w:tcW w:type="dxa" w:w="7326"/>
            <w:tcMar>
              <w:top w:type="dxa" w:w="60"/>
              <w:left w:type="dxa" w:w="100"/>
              <w:bottom w:type="dxa" w:w="60"/>
              <w:right w:type="dxa" w:w="100"/>
            </w:tcMar>
          </w:tcPr>
          <w:p>
            <w:pPr>
              <w:spacing w:after="0" w:line="250"/>
            </w:pPr>
            <w:r>
              <w:rPr>
                <w:sz w:val="19"/>
                <w:szCs w:val="19"/>
              </w:rPr>
              <w:t xml:space="preserve">SAP Cloud Integration, the integration capability of SAP Integration Suite</w:t>
            </w:r>
          </w:p>
        </w:tc>
      </w:tr>
      <w:tr>
        <w:tc>
          <w:tcPr>
            <w:tcW w:type="dxa" w:w="1700"/>
            <w:tcMar>
              <w:top w:type="dxa" w:w="60"/>
              <w:left w:type="dxa" w:w="100"/>
              <w:bottom w:type="dxa" w:w="60"/>
              <w:right w:type="dxa" w:w="100"/>
            </w:tcMar>
          </w:tcPr>
          <w:p>
            <w:pPr>
              <w:spacing w:after="0" w:line="250"/>
            </w:pPr>
            <w:r>
              <w:rPr>
                <w:sz w:val="19"/>
                <w:szCs w:val="19"/>
              </w:rPr>
              <w:t xml:space="preserve">iFlow</w:t>
            </w:r>
          </w:p>
        </w:tc>
        <w:tc>
          <w:tcPr>
            <w:tcW w:type="dxa" w:w="7326"/>
            <w:tcMar>
              <w:top w:type="dxa" w:w="60"/>
              <w:left w:type="dxa" w:w="100"/>
              <w:bottom w:type="dxa" w:w="60"/>
              <w:right w:type="dxa" w:w="100"/>
            </w:tcMar>
          </w:tcPr>
          <w:p>
            <w:pPr>
              <w:spacing w:after="0" w:line="250"/>
            </w:pPr>
            <w:r>
              <w:rPr>
                <w:sz w:val="19"/>
                <w:szCs w:val="19"/>
              </w:rPr>
              <w:t xml:space="preserve">Integration Flow — a deployable CPI integration artifact</w:t>
            </w:r>
          </w:p>
        </w:tc>
      </w:tr>
      <w:tr>
        <w:tc>
          <w:tcPr>
            <w:tcW w:type="dxa" w:w="1700"/>
            <w:tcMar>
              <w:top w:type="dxa" w:w="60"/>
              <w:left w:type="dxa" w:w="100"/>
              <w:bottom w:type="dxa" w:w="60"/>
              <w:right w:type="dxa" w:w="100"/>
            </w:tcMar>
          </w:tcPr>
          <w:p>
            <w:pPr>
              <w:spacing w:after="0" w:line="250"/>
            </w:pPr>
            <w:r>
              <w:rPr>
                <w:sz w:val="19"/>
                <w:szCs w:val="19"/>
              </w:rPr>
              <w:t xml:space="preserve">HEC</w:t>
            </w:r>
          </w:p>
        </w:tc>
        <w:tc>
          <w:tcPr>
            <w:tcW w:type="dxa" w:w="7326"/>
            <w:tcMar>
              <w:top w:type="dxa" w:w="60"/>
              <w:left w:type="dxa" w:w="100"/>
              <w:bottom w:type="dxa" w:w="60"/>
              <w:right w:type="dxa" w:w="100"/>
            </w:tcMar>
          </w:tcPr>
          <w:p>
            <w:pPr>
              <w:spacing w:after="0" w:line="250"/>
            </w:pPr>
            <w:r>
              <w:rPr>
                <w:sz w:val="19"/>
                <w:szCs w:val="19"/>
              </w:rPr>
              <w:t xml:space="preserve">Splunk HTTP Event Collector</w:t>
            </w:r>
          </w:p>
        </w:tc>
      </w:tr>
      <w:tr>
        <w:tc>
          <w:tcPr>
            <w:tcW w:type="dxa" w:w="1700"/>
            <w:tcMar>
              <w:top w:type="dxa" w:w="60"/>
              <w:left w:type="dxa" w:w="100"/>
              <w:bottom w:type="dxa" w:w="60"/>
              <w:right w:type="dxa" w:w="100"/>
            </w:tcMar>
          </w:tcPr>
          <w:p>
            <w:pPr>
              <w:spacing w:after="0" w:line="250"/>
            </w:pPr>
            <w:r>
              <w:rPr>
                <w:sz w:val="19"/>
                <w:szCs w:val="19"/>
              </w:rPr>
              <w:t xml:space="preserve">NDJSON</w:t>
            </w:r>
          </w:p>
        </w:tc>
        <w:tc>
          <w:tcPr>
            <w:tcW w:type="dxa" w:w="7326"/>
            <w:tcMar>
              <w:top w:type="dxa" w:w="60"/>
              <w:left w:type="dxa" w:w="100"/>
              <w:bottom w:type="dxa" w:w="60"/>
              <w:right w:type="dxa" w:w="100"/>
            </w:tcMar>
          </w:tcPr>
          <w:p>
            <w:pPr>
              <w:spacing w:after="0" w:line="250"/>
            </w:pPr>
            <w:r>
              <w:rPr>
                <w:sz w:val="19"/>
                <w:szCs w:val="19"/>
              </w:rPr>
              <w:t xml:space="preserve">Newline-delimited JSON — one JSON object per line</w:t>
            </w:r>
          </w:p>
        </w:tc>
      </w:tr>
      <w:tr>
        <w:tc>
          <w:tcPr>
            <w:tcW w:type="dxa" w:w="1700"/>
            <w:tcMar>
              <w:top w:type="dxa" w:w="60"/>
              <w:left w:type="dxa" w:w="100"/>
              <w:bottom w:type="dxa" w:w="60"/>
              <w:right w:type="dxa" w:w="100"/>
            </w:tcMar>
          </w:tcPr>
          <w:p>
            <w:pPr>
              <w:spacing w:after="0" w:line="250"/>
            </w:pPr>
            <w:r>
              <w:rPr>
                <w:sz w:val="19"/>
                <w:szCs w:val="19"/>
              </w:rPr>
              <w:t xml:space="preserve">High-water mark</w:t>
            </w:r>
          </w:p>
        </w:tc>
        <w:tc>
          <w:tcPr>
            <w:tcW w:type="dxa" w:w="7326"/>
            <w:tcMar>
              <w:top w:type="dxa" w:w="60"/>
              <w:left w:type="dxa" w:w="100"/>
              <w:bottom w:type="dxa" w:w="60"/>
              <w:right w:type="dxa" w:w="100"/>
            </w:tcMar>
          </w:tcPr>
          <w:p>
            <w:pPr>
              <w:spacing w:after="0" w:line="250"/>
            </w:pPr>
            <w:r>
              <w:rPr>
                <w:sz w:val="19"/>
                <w:szCs w:val="19"/>
              </w:rPr>
              <w:t xml:space="preserve">Persisted timestamp marking the end of the last successfully extracted window</w:t>
            </w:r>
          </w:p>
        </w:tc>
      </w:tr>
      <w:tr>
        <w:tc>
          <w:tcPr>
            <w:tcW w:type="dxa" w:w="1700"/>
            <w:tcMar>
              <w:top w:type="dxa" w:w="60"/>
              <w:left w:type="dxa" w:w="100"/>
              <w:bottom w:type="dxa" w:w="60"/>
              <w:right w:type="dxa" w:w="100"/>
            </w:tcMar>
          </w:tcPr>
          <w:p>
            <w:pPr>
              <w:spacing w:after="0" w:line="250"/>
            </w:pPr>
            <w:r>
              <w:rPr>
                <w:sz w:val="19"/>
                <w:szCs w:val="19"/>
              </w:rPr>
              <w:t xml:space="preserve">Delta window</w:t>
            </w:r>
          </w:p>
        </w:tc>
        <w:tc>
          <w:tcPr>
            <w:tcW w:type="dxa" w:w="7326"/>
            <w:tcMar>
              <w:top w:type="dxa" w:w="60"/>
              <w:left w:type="dxa" w:w="100"/>
              <w:bottom w:type="dxa" w:w="60"/>
              <w:right w:type="dxa" w:w="100"/>
            </w:tcMar>
          </w:tcPr>
          <w:p>
            <w:pPr>
              <w:spacing w:after="0" w:line="250"/>
            </w:pPr>
            <w:r>
              <w:rPr>
                <w:sz w:val="19"/>
                <w:szCs w:val="19"/>
              </w:rPr>
              <w:t xml:space="preserve">The time range (windowFrom, runStartTime] queried in one invocation</w:t>
            </w:r>
          </w:p>
        </w:tc>
      </w:tr>
      <w:tr>
        <w:tc>
          <w:tcPr>
            <w:tcW w:type="dxa" w:w="1700"/>
            <w:tcMar>
              <w:top w:type="dxa" w:w="60"/>
              <w:left w:type="dxa" w:w="100"/>
              <w:bottom w:type="dxa" w:w="60"/>
              <w:right w:type="dxa" w:w="100"/>
            </w:tcMar>
          </w:tcPr>
          <w:p>
            <w:pPr>
              <w:spacing w:after="0" w:line="250"/>
            </w:pPr>
            <w:r>
              <w:rPr>
                <w:sz w:val="19"/>
                <w:szCs w:val="19"/>
              </w:rPr>
              <w:t xml:space="preserve">MPL</w:t>
            </w:r>
          </w:p>
        </w:tc>
        <w:tc>
          <w:tcPr>
            <w:tcW w:type="dxa" w:w="7326"/>
            <w:tcMar>
              <w:top w:type="dxa" w:w="60"/>
              <w:left w:type="dxa" w:w="100"/>
              <w:bottom w:type="dxa" w:w="60"/>
              <w:right w:type="dxa" w:w="100"/>
            </w:tcMar>
          </w:tcPr>
          <w:p>
            <w:pPr>
              <w:spacing w:after="0" w:line="250"/>
            </w:pPr>
            <w:r>
              <w:rPr>
                <w:sz w:val="19"/>
                <w:szCs w:val="19"/>
              </w:rPr>
              <w:t xml:space="preserve">Message Processing Log — CPI runtime execution log</w:t>
            </w:r>
          </w:p>
        </w:tc>
      </w:tr>
      <w:tr>
        <w:tc>
          <w:tcPr>
            <w:tcW w:type="dxa" w:w="1700"/>
            <w:tcMar>
              <w:top w:type="dxa" w:w="60"/>
              <w:left w:type="dxa" w:w="100"/>
              <w:bottom w:type="dxa" w:w="60"/>
              <w:right w:type="dxa" w:w="100"/>
            </w:tcMar>
          </w:tcPr>
          <w:p>
            <w:pPr>
              <w:spacing w:after="0" w:line="250"/>
            </w:pPr>
            <w:r>
              <w:rPr>
                <w:sz w:val="19"/>
                <w:szCs w:val="19"/>
              </w:rPr>
              <w:t xml:space="preserve">RAL</w:t>
            </w:r>
          </w:p>
        </w:tc>
        <w:tc>
          <w:tcPr>
            <w:tcW w:type="dxa" w:w="7326"/>
            <w:tcMar>
              <w:top w:type="dxa" w:w="60"/>
              <w:left w:type="dxa" w:w="100"/>
              <w:bottom w:type="dxa" w:w="60"/>
              <w:right w:type="dxa" w:w="100"/>
            </w:tcMar>
          </w:tcPr>
          <w:p>
            <w:pPr>
              <w:spacing w:after="0" w:line="250"/>
            </w:pPr>
            <w:r>
              <w:rPr>
                <w:sz w:val="19"/>
                <w:szCs w:val="19"/>
              </w:rPr>
              <w:t xml:space="preserve">Read Access Logging — S/4HANA logging of access to sensitive personal data</w:t>
            </w:r>
          </w:p>
        </w:tc>
      </w:tr>
      <w:tr>
        <w:tc>
          <w:tcPr>
            <w:tcW w:type="dxa" w:w="1700"/>
            <w:tcMar>
              <w:top w:type="dxa" w:w="60"/>
              <w:left w:type="dxa" w:w="100"/>
              <w:bottom w:type="dxa" w:w="60"/>
              <w:right w:type="dxa" w:w="100"/>
            </w:tcMar>
          </w:tcPr>
          <w:p>
            <w:pPr>
              <w:spacing w:after="0" w:line="250"/>
            </w:pPr>
            <w:r>
              <w:rPr>
                <w:sz w:val="19"/>
                <w:szCs w:val="19"/>
              </w:rPr>
              <w:t xml:space="preserve">EDMX</w:t>
            </w:r>
          </w:p>
        </w:tc>
        <w:tc>
          <w:tcPr>
            <w:tcW w:type="dxa" w:w="7326"/>
            <w:tcMar>
              <w:top w:type="dxa" w:w="60"/>
              <w:left w:type="dxa" w:w="100"/>
              <w:bottom w:type="dxa" w:w="60"/>
              <w:right w:type="dxa" w:w="100"/>
            </w:tcMar>
          </w:tcPr>
          <w:p>
            <w:pPr>
              <w:spacing w:after="0" w:line="250"/>
            </w:pPr>
            <w:r>
              <w:rPr>
                <w:sz w:val="19"/>
                <w:szCs w:val="19"/>
              </w:rPr>
              <w:t xml:space="preserve">OData metadata document describing entity types and properties</w:t>
            </w:r>
          </w:p>
        </w:tc>
      </w:tr>
    </w:tbl>
    <w:p>
      <w:pPr>
        <w:pStyle w:val="Heading2"/>
        <w:spacing w:after="140" w:before="240"/>
      </w:pPr>
      <w:r>
        <w:t xml:space="preserve">1.5 Document classification</w:t>
      </w:r>
    </w:p>
    <w:p>
      <w:pPr>
        <w:spacing w:after="120" w:line="276"/>
      </w:pPr>
      <w:r>
        <w:rPr>
          <w:sz w:val="21"/>
          <w:szCs w:val="21"/>
        </w:rPr>
        <w:t xml:space="preserve">This is a combined document: it states the requirements the interfaces must satisfy AND specifies the detailed technical design that meets them. It sits at low-level design (LLD) depth — it is specific enough to build, test and operate the interfaces from, rather than a strategy or high-level architecture paper.</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3500"/>
        <w:gridCol w:w="1500"/>
        <w:gridCol w:w="4026"/>
      </w:tblGrid>
      <w:tr>
        <w:trPr>
          <w:tblHeader/>
        </w:trPr>
        <w:tc>
          <w:tcPr>
            <w:tcW w:type="dxa" w:w="3500"/>
            <w:shd w:fill="D9E2F3" w:color="auto" w:val="clear"/>
            <w:tcMar>
              <w:top w:type="dxa" w:w="60"/>
              <w:left w:type="dxa" w:w="100"/>
              <w:bottom w:type="dxa" w:w="60"/>
              <w:right w:type="dxa" w:w="100"/>
            </w:tcMar>
          </w:tcPr>
          <w:p>
            <w:pPr>
              <w:spacing w:after="0" w:line="250"/>
            </w:pPr>
            <w:r>
              <w:rPr>
                <w:b/>
                <w:bCs/>
                <w:sz w:val="19"/>
                <w:szCs w:val="19"/>
              </w:rPr>
              <w:t xml:space="preserve">Aspect</w:t>
            </w:r>
          </w:p>
        </w:tc>
        <w:tc>
          <w:tcPr>
            <w:tcW w:type="dxa" w:w="1500"/>
            <w:shd w:fill="D9E2F3" w:color="auto" w:val="clear"/>
            <w:tcMar>
              <w:top w:type="dxa" w:w="60"/>
              <w:left w:type="dxa" w:w="100"/>
              <w:bottom w:type="dxa" w:w="60"/>
              <w:right w:type="dxa" w:w="100"/>
            </w:tcMar>
          </w:tcPr>
          <w:p>
            <w:pPr>
              <w:spacing w:after="0" w:line="250"/>
            </w:pPr>
            <w:r>
              <w:rPr>
                <w:b/>
                <w:bCs/>
                <w:sz w:val="19"/>
                <w:szCs w:val="19"/>
              </w:rPr>
              <w:t xml:space="preserve">Covered</w:t>
            </w:r>
          </w:p>
        </w:tc>
        <w:tc>
          <w:tcPr>
            <w:tcW w:type="dxa" w:w="4026"/>
            <w:shd w:fill="D9E2F3" w:color="auto" w:val="clear"/>
            <w:tcMar>
              <w:top w:type="dxa" w:w="60"/>
              <w:left w:type="dxa" w:w="100"/>
              <w:bottom w:type="dxa" w:w="60"/>
              <w:right w:type="dxa" w:w="100"/>
            </w:tcMar>
          </w:tcPr>
          <w:p>
            <w:pPr>
              <w:spacing w:after="0" w:line="250"/>
            </w:pPr>
            <w:r>
              <w:rPr>
                <w:b/>
                <w:bCs/>
                <w:sz w:val="19"/>
                <w:szCs w:val="19"/>
              </w:rPr>
              <w:t xml:space="preserve">Reference</w:t>
            </w:r>
          </w:p>
        </w:tc>
      </w:tr>
      <w:tr>
        <w:tc>
          <w:tcPr>
            <w:tcW w:type="dxa" w:w="3500"/>
            <w:tcMar>
              <w:top w:type="dxa" w:w="60"/>
              <w:left w:type="dxa" w:w="100"/>
              <w:bottom w:type="dxa" w:w="60"/>
              <w:right w:type="dxa" w:w="100"/>
            </w:tcMar>
          </w:tcPr>
          <w:p>
            <w:pPr>
              <w:spacing w:after="0" w:line="250"/>
            </w:pPr>
            <w:r>
              <w:rPr>
                <w:sz w:val="19"/>
                <w:szCs w:val="19"/>
              </w:rPr>
              <w:t xml:space="preserve">Business requirements</w:t>
            </w:r>
          </w:p>
        </w:tc>
        <w:tc>
          <w:tcPr>
            <w:tcW w:type="dxa" w:w="1500"/>
            <w:tcMar>
              <w:top w:type="dxa" w:w="60"/>
              <w:left w:type="dxa" w:w="100"/>
              <w:bottom w:type="dxa" w:w="60"/>
              <w:right w:type="dxa" w:w="100"/>
            </w:tcMar>
          </w:tcPr>
          <w:p>
            <w:pPr>
              <w:spacing w:after="0" w:line="250"/>
            </w:pPr>
            <w:r>
              <w:rPr>
                <w:sz w:val="19"/>
                <w:szCs w:val="19"/>
              </w:rPr>
              <w:t xml:space="preserve">Yes</w:t>
            </w:r>
          </w:p>
        </w:tc>
        <w:tc>
          <w:tcPr>
            <w:tcW w:type="dxa" w:w="4026"/>
            <w:tcMar>
              <w:top w:type="dxa" w:w="60"/>
              <w:left w:type="dxa" w:w="100"/>
              <w:bottom w:type="dxa" w:w="60"/>
              <w:right w:type="dxa" w:w="100"/>
            </w:tcMar>
          </w:tcPr>
          <w:p>
            <w:pPr>
              <w:spacing w:after="0" w:line="250"/>
            </w:pPr>
            <w:r>
              <w:rPr>
                <w:sz w:val="19"/>
                <w:szCs w:val="19"/>
              </w:rPr>
              <w:t xml:space="preserve">Section 2</w:t>
            </w:r>
          </w:p>
        </w:tc>
      </w:tr>
      <w:tr>
        <w:tc>
          <w:tcPr>
            <w:tcW w:type="dxa" w:w="3500"/>
            <w:tcMar>
              <w:top w:type="dxa" w:w="60"/>
              <w:left w:type="dxa" w:w="100"/>
              <w:bottom w:type="dxa" w:w="60"/>
              <w:right w:type="dxa" w:w="100"/>
            </w:tcMar>
          </w:tcPr>
          <w:p>
            <w:pPr>
              <w:spacing w:after="0" w:line="250"/>
            </w:pPr>
            <w:r>
              <w:rPr>
                <w:sz w:val="19"/>
                <w:szCs w:val="19"/>
              </w:rPr>
              <w:t xml:space="preserve">Functional requirements</w:t>
            </w:r>
          </w:p>
        </w:tc>
        <w:tc>
          <w:tcPr>
            <w:tcW w:type="dxa" w:w="1500"/>
            <w:tcMar>
              <w:top w:type="dxa" w:w="60"/>
              <w:left w:type="dxa" w:w="100"/>
              <w:bottom w:type="dxa" w:w="60"/>
              <w:right w:type="dxa" w:w="100"/>
            </w:tcMar>
          </w:tcPr>
          <w:p>
            <w:pPr>
              <w:spacing w:after="0" w:line="250"/>
            </w:pPr>
            <w:r>
              <w:rPr>
                <w:sz w:val="19"/>
                <w:szCs w:val="19"/>
              </w:rPr>
              <w:t xml:space="preserve">Yes</w:t>
            </w:r>
          </w:p>
        </w:tc>
        <w:tc>
          <w:tcPr>
            <w:tcW w:type="dxa" w:w="4026"/>
            <w:tcMar>
              <w:top w:type="dxa" w:w="60"/>
              <w:left w:type="dxa" w:w="100"/>
              <w:bottom w:type="dxa" w:w="60"/>
              <w:right w:type="dxa" w:w="100"/>
            </w:tcMar>
          </w:tcPr>
          <w:p>
            <w:pPr>
              <w:spacing w:after="0" w:line="250"/>
            </w:pPr>
            <w:r>
              <w:rPr>
                <w:sz w:val="19"/>
                <w:szCs w:val="19"/>
              </w:rPr>
              <w:t xml:space="preserve">Section 5</w:t>
            </w:r>
          </w:p>
        </w:tc>
      </w:tr>
      <w:tr>
        <w:tc>
          <w:tcPr>
            <w:tcW w:type="dxa" w:w="3500"/>
            <w:tcMar>
              <w:top w:type="dxa" w:w="60"/>
              <w:left w:type="dxa" w:w="100"/>
              <w:bottom w:type="dxa" w:w="60"/>
              <w:right w:type="dxa" w:w="100"/>
            </w:tcMar>
          </w:tcPr>
          <w:p>
            <w:pPr>
              <w:spacing w:after="0" w:line="250"/>
            </w:pPr>
            <w:r>
              <w:rPr>
                <w:sz w:val="19"/>
                <w:szCs w:val="19"/>
              </w:rPr>
              <w:t xml:space="preserve">Non-functional requirements</w:t>
            </w:r>
          </w:p>
        </w:tc>
        <w:tc>
          <w:tcPr>
            <w:tcW w:type="dxa" w:w="1500"/>
            <w:tcMar>
              <w:top w:type="dxa" w:w="60"/>
              <w:left w:type="dxa" w:w="100"/>
              <w:bottom w:type="dxa" w:w="60"/>
              <w:right w:type="dxa" w:w="100"/>
            </w:tcMar>
          </w:tcPr>
          <w:p>
            <w:pPr>
              <w:spacing w:after="0" w:line="250"/>
            </w:pPr>
            <w:r>
              <w:rPr>
                <w:sz w:val="19"/>
                <w:szCs w:val="19"/>
              </w:rPr>
              <w:t xml:space="preserve">Yes</w:t>
            </w:r>
          </w:p>
        </w:tc>
        <w:tc>
          <w:tcPr>
            <w:tcW w:type="dxa" w:w="4026"/>
            <w:tcMar>
              <w:top w:type="dxa" w:w="60"/>
              <w:left w:type="dxa" w:w="100"/>
              <w:bottom w:type="dxa" w:w="60"/>
              <w:right w:type="dxa" w:w="100"/>
            </w:tcMar>
          </w:tcPr>
          <w:p>
            <w:pPr>
              <w:spacing w:after="0" w:line="250"/>
            </w:pPr>
            <w:r>
              <w:rPr>
                <w:sz w:val="19"/>
                <w:szCs w:val="19"/>
              </w:rPr>
              <w:t xml:space="preserve">Section 14</w:t>
            </w:r>
          </w:p>
        </w:tc>
      </w:tr>
      <w:tr>
        <w:tc>
          <w:tcPr>
            <w:tcW w:type="dxa" w:w="3500"/>
            <w:tcMar>
              <w:top w:type="dxa" w:w="60"/>
              <w:left w:type="dxa" w:w="100"/>
              <w:bottom w:type="dxa" w:w="60"/>
              <w:right w:type="dxa" w:w="100"/>
            </w:tcMar>
          </w:tcPr>
          <w:p>
            <w:pPr>
              <w:spacing w:after="0" w:line="250"/>
            </w:pPr>
            <w:r>
              <w:rPr>
                <w:sz w:val="19"/>
                <w:szCs w:val="19"/>
              </w:rPr>
              <w:t xml:space="preserve">Solution architecture and design decisions</w:t>
            </w:r>
          </w:p>
        </w:tc>
        <w:tc>
          <w:tcPr>
            <w:tcW w:type="dxa" w:w="1500"/>
            <w:tcMar>
              <w:top w:type="dxa" w:w="60"/>
              <w:left w:type="dxa" w:w="100"/>
              <w:bottom w:type="dxa" w:w="60"/>
              <w:right w:type="dxa" w:w="100"/>
            </w:tcMar>
          </w:tcPr>
          <w:p>
            <w:pPr>
              <w:spacing w:after="0" w:line="250"/>
            </w:pPr>
            <w:r>
              <w:rPr>
                <w:sz w:val="19"/>
                <w:szCs w:val="19"/>
              </w:rPr>
              <w:t xml:space="preserve">Yes</w:t>
            </w:r>
          </w:p>
        </w:tc>
        <w:tc>
          <w:tcPr>
            <w:tcW w:type="dxa" w:w="4026"/>
            <w:tcMar>
              <w:top w:type="dxa" w:w="60"/>
              <w:left w:type="dxa" w:w="100"/>
              <w:bottom w:type="dxa" w:w="60"/>
              <w:right w:type="dxa" w:w="100"/>
            </w:tcMar>
          </w:tcPr>
          <w:p>
            <w:pPr>
              <w:spacing w:after="0" w:line="250"/>
            </w:pPr>
            <w:r>
              <w:rPr>
                <w:sz w:val="19"/>
                <w:szCs w:val="19"/>
              </w:rPr>
              <w:t xml:space="preserve">Section 3</w:t>
            </w:r>
          </w:p>
        </w:tc>
      </w:tr>
      <w:tr>
        <w:tc>
          <w:tcPr>
            <w:tcW w:type="dxa" w:w="3500"/>
            <w:tcMar>
              <w:top w:type="dxa" w:w="60"/>
              <w:left w:type="dxa" w:w="100"/>
              <w:bottom w:type="dxa" w:w="60"/>
              <w:right w:type="dxa" w:w="100"/>
            </w:tcMar>
          </w:tcPr>
          <w:p>
            <w:pPr>
              <w:spacing w:after="0" w:line="250"/>
            </w:pPr>
            <w:r>
              <w:rPr>
                <w:sz w:val="19"/>
                <w:szCs w:val="19"/>
              </w:rPr>
              <w:t xml:space="preserve">Detailed interface design (LLD)</w:t>
            </w:r>
          </w:p>
        </w:tc>
        <w:tc>
          <w:tcPr>
            <w:tcW w:type="dxa" w:w="1500"/>
            <w:tcMar>
              <w:top w:type="dxa" w:w="60"/>
              <w:left w:type="dxa" w:w="100"/>
              <w:bottom w:type="dxa" w:w="60"/>
              <w:right w:type="dxa" w:w="100"/>
            </w:tcMar>
          </w:tcPr>
          <w:p>
            <w:pPr>
              <w:spacing w:after="0" w:line="250"/>
            </w:pPr>
            <w:r>
              <w:rPr>
                <w:sz w:val="19"/>
                <w:szCs w:val="19"/>
              </w:rPr>
              <w:t xml:space="preserve">Yes</w:t>
            </w:r>
          </w:p>
        </w:tc>
        <w:tc>
          <w:tcPr>
            <w:tcW w:type="dxa" w:w="4026"/>
            <w:tcMar>
              <w:top w:type="dxa" w:w="60"/>
              <w:left w:type="dxa" w:w="100"/>
              <w:bottom w:type="dxa" w:w="60"/>
              <w:right w:type="dxa" w:w="100"/>
            </w:tcMar>
          </w:tcPr>
          <w:p>
            <w:pPr>
              <w:spacing w:after="0" w:line="250"/>
            </w:pPr>
            <w:r>
              <w:rPr>
                <w:sz w:val="19"/>
                <w:szCs w:val="19"/>
              </w:rPr>
              <w:t xml:space="preserve">Sections 6–12, Appendix A</w:t>
            </w:r>
          </w:p>
        </w:tc>
      </w:tr>
      <w:tr>
        <w:tc>
          <w:tcPr>
            <w:tcW w:type="dxa" w:w="3500"/>
            <w:tcMar>
              <w:top w:type="dxa" w:w="60"/>
              <w:left w:type="dxa" w:w="100"/>
              <w:bottom w:type="dxa" w:w="60"/>
              <w:right w:type="dxa" w:w="100"/>
            </w:tcMar>
          </w:tcPr>
          <w:p>
            <w:pPr>
              <w:spacing w:after="0" w:line="250"/>
            </w:pPr>
            <w:r>
              <w:rPr>
                <w:sz w:val="19"/>
                <w:szCs w:val="19"/>
              </w:rPr>
              <w:t xml:space="preserve">Component / script design</w:t>
            </w:r>
          </w:p>
        </w:tc>
        <w:tc>
          <w:tcPr>
            <w:tcW w:type="dxa" w:w="1500"/>
            <w:tcMar>
              <w:top w:type="dxa" w:w="60"/>
              <w:left w:type="dxa" w:w="100"/>
              <w:bottom w:type="dxa" w:w="60"/>
              <w:right w:type="dxa" w:w="100"/>
            </w:tcMar>
          </w:tcPr>
          <w:p>
            <w:pPr>
              <w:spacing w:after="0" w:line="250"/>
            </w:pPr>
            <w:r>
              <w:rPr>
                <w:sz w:val="19"/>
                <w:szCs w:val="19"/>
              </w:rPr>
              <w:t xml:space="preserve">Yes</w:t>
            </w:r>
          </w:p>
        </w:tc>
        <w:tc>
          <w:tcPr>
            <w:tcW w:type="dxa" w:w="4026"/>
            <w:tcMar>
              <w:top w:type="dxa" w:w="60"/>
              <w:left w:type="dxa" w:w="100"/>
              <w:bottom w:type="dxa" w:w="60"/>
              <w:right w:type="dxa" w:w="100"/>
            </w:tcMar>
          </w:tcPr>
          <w:p>
            <w:pPr>
              <w:spacing w:after="0" w:line="250"/>
            </w:pPr>
            <w:r>
              <w:rPr>
                <w:sz w:val="19"/>
                <w:szCs w:val="19"/>
              </w:rPr>
              <w:t xml:space="preserve">Section 11</w:t>
            </w:r>
          </w:p>
        </w:tc>
      </w:tr>
      <w:tr>
        <w:tc>
          <w:tcPr>
            <w:tcW w:type="dxa" w:w="3500"/>
            <w:tcMar>
              <w:top w:type="dxa" w:w="60"/>
              <w:left w:type="dxa" w:w="100"/>
              <w:bottom w:type="dxa" w:w="60"/>
              <w:right w:type="dxa" w:w="100"/>
            </w:tcMar>
          </w:tcPr>
          <w:p>
            <w:pPr>
              <w:spacing w:after="0" w:line="250"/>
            </w:pPr>
            <w:r>
              <w:rPr>
                <w:sz w:val="19"/>
                <w:szCs w:val="19"/>
              </w:rPr>
              <w:t xml:space="preserve">Error handling and recovery design</w:t>
            </w:r>
          </w:p>
        </w:tc>
        <w:tc>
          <w:tcPr>
            <w:tcW w:type="dxa" w:w="1500"/>
            <w:tcMar>
              <w:top w:type="dxa" w:w="60"/>
              <w:left w:type="dxa" w:w="100"/>
              <w:bottom w:type="dxa" w:w="60"/>
              <w:right w:type="dxa" w:w="100"/>
            </w:tcMar>
          </w:tcPr>
          <w:p>
            <w:pPr>
              <w:spacing w:after="0" w:line="250"/>
            </w:pPr>
            <w:r>
              <w:rPr>
                <w:sz w:val="19"/>
                <w:szCs w:val="19"/>
              </w:rPr>
              <w:t xml:space="preserve">Yes</w:t>
            </w:r>
          </w:p>
        </w:tc>
        <w:tc>
          <w:tcPr>
            <w:tcW w:type="dxa" w:w="4026"/>
            <w:tcMar>
              <w:top w:type="dxa" w:w="60"/>
              <w:left w:type="dxa" w:w="100"/>
              <w:bottom w:type="dxa" w:w="60"/>
              <w:right w:type="dxa" w:w="100"/>
            </w:tcMar>
          </w:tcPr>
          <w:p>
            <w:pPr>
              <w:spacing w:after="0" w:line="250"/>
            </w:pPr>
            <w:r>
              <w:rPr>
                <w:sz w:val="19"/>
                <w:szCs w:val="19"/>
              </w:rPr>
              <w:t xml:space="preserve">Section 12</w:t>
            </w:r>
          </w:p>
        </w:tc>
      </w:tr>
      <w:tr>
        <w:tc>
          <w:tcPr>
            <w:tcW w:type="dxa" w:w="3500"/>
            <w:tcMar>
              <w:top w:type="dxa" w:w="60"/>
              <w:left w:type="dxa" w:w="100"/>
              <w:bottom w:type="dxa" w:w="60"/>
              <w:right w:type="dxa" w:w="100"/>
            </w:tcMar>
          </w:tcPr>
          <w:p>
            <w:pPr>
              <w:spacing w:after="0" w:line="250"/>
            </w:pPr>
            <w:r>
              <w:rPr>
                <w:sz w:val="19"/>
                <w:szCs w:val="19"/>
              </w:rPr>
              <w:t xml:space="preserve">Test cases and acceptance criteria</w:t>
            </w:r>
          </w:p>
        </w:tc>
        <w:tc>
          <w:tcPr>
            <w:tcW w:type="dxa" w:w="1500"/>
            <w:tcMar>
              <w:top w:type="dxa" w:w="60"/>
              <w:left w:type="dxa" w:w="100"/>
              <w:bottom w:type="dxa" w:w="60"/>
              <w:right w:type="dxa" w:w="100"/>
            </w:tcMar>
          </w:tcPr>
          <w:p>
            <w:pPr>
              <w:spacing w:after="0" w:line="250"/>
            </w:pPr>
            <w:r>
              <w:rPr>
                <w:sz w:val="19"/>
                <w:szCs w:val="19"/>
              </w:rPr>
              <w:t xml:space="preserve">Yes</w:t>
            </w:r>
          </w:p>
        </w:tc>
        <w:tc>
          <w:tcPr>
            <w:tcW w:type="dxa" w:w="4026"/>
            <w:tcMar>
              <w:top w:type="dxa" w:w="60"/>
              <w:left w:type="dxa" w:w="100"/>
              <w:bottom w:type="dxa" w:w="60"/>
              <w:right w:type="dxa" w:w="100"/>
            </w:tcMar>
          </w:tcPr>
          <w:p>
            <w:pPr>
              <w:spacing w:after="0" w:line="250"/>
            </w:pPr>
            <w:r>
              <w:rPr>
                <w:sz w:val="19"/>
                <w:szCs w:val="19"/>
              </w:rPr>
              <w:t xml:space="preserve">Section 16</w:t>
            </w:r>
          </w:p>
        </w:tc>
      </w:tr>
      <w:tr>
        <w:tc>
          <w:tcPr>
            <w:tcW w:type="dxa" w:w="3500"/>
            <w:tcMar>
              <w:top w:type="dxa" w:w="60"/>
              <w:left w:type="dxa" w:w="100"/>
              <w:bottom w:type="dxa" w:w="60"/>
              <w:right w:type="dxa" w:w="100"/>
            </w:tcMar>
          </w:tcPr>
          <w:p>
            <w:pPr>
              <w:spacing w:after="0" w:line="250"/>
            </w:pPr>
            <w:r>
              <w:rPr>
                <w:sz w:val="19"/>
                <w:szCs w:val="19"/>
              </w:rPr>
              <w:t xml:space="preserve">Deployment and operations</w:t>
            </w:r>
          </w:p>
        </w:tc>
        <w:tc>
          <w:tcPr>
            <w:tcW w:type="dxa" w:w="1500"/>
            <w:tcMar>
              <w:top w:type="dxa" w:w="60"/>
              <w:left w:type="dxa" w:w="100"/>
              <w:bottom w:type="dxa" w:w="60"/>
              <w:right w:type="dxa" w:w="100"/>
            </w:tcMar>
          </w:tcPr>
          <w:p>
            <w:pPr>
              <w:spacing w:after="0" w:line="250"/>
            </w:pPr>
            <w:r>
              <w:rPr>
                <w:sz w:val="19"/>
                <w:szCs w:val="19"/>
              </w:rPr>
              <w:t xml:space="preserve">Yes</w:t>
            </w:r>
          </w:p>
        </w:tc>
        <w:tc>
          <w:tcPr>
            <w:tcW w:type="dxa" w:w="4026"/>
            <w:tcMar>
              <w:top w:type="dxa" w:w="60"/>
              <w:left w:type="dxa" w:w="100"/>
              <w:bottom w:type="dxa" w:w="60"/>
              <w:right w:type="dxa" w:w="100"/>
            </w:tcMar>
          </w:tcPr>
          <w:p>
            <w:pPr>
              <w:spacing w:after="0" w:line="250"/>
            </w:pPr>
            <w:r>
              <w:rPr>
                <w:sz w:val="19"/>
                <w:szCs w:val="19"/>
              </w:rPr>
              <w:t xml:space="preserve">Sections 15, 17</w:t>
            </w:r>
          </w:p>
        </w:tc>
      </w:tr>
      <w:tr>
        <w:tc>
          <w:tcPr>
            <w:tcW w:type="dxa" w:w="3500"/>
            <w:tcMar>
              <w:top w:type="dxa" w:w="60"/>
              <w:left w:type="dxa" w:w="100"/>
              <w:bottom w:type="dxa" w:w="60"/>
              <w:right w:type="dxa" w:w="100"/>
            </w:tcMar>
          </w:tcPr>
          <w:p>
            <w:pPr>
              <w:spacing w:after="0" w:line="250"/>
            </w:pPr>
            <w:r>
              <w:rPr>
                <w:sz w:val="19"/>
                <w:szCs w:val="19"/>
              </w:rPr>
              <w:t xml:space="preserve">Programme integration strategy and principles</w:t>
            </w:r>
          </w:p>
        </w:tc>
        <w:tc>
          <w:tcPr>
            <w:tcW w:type="dxa" w:w="1500"/>
            <w:tcMar>
              <w:top w:type="dxa" w:w="60"/>
              <w:left w:type="dxa" w:w="100"/>
              <w:bottom w:type="dxa" w:w="60"/>
              <w:right w:type="dxa" w:w="100"/>
            </w:tcMar>
          </w:tcPr>
          <w:p>
            <w:pPr>
              <w:spacing w:after="0" w:line="250"/>
            </w:pPr>
            <w:r>
              <w:rPr>
                <w:sz w:val="19"/>
                <w:szCs w:val="19"/>
              </w:rPr>
              <w:t xml:space="preserve">No</w:t>
            </w:r>
          </w:p>
        </w:tc>
        <w:tc>
          <w:tcPr>
            <w:tcW w:type="dxa" w:w="4026"/>
            <w:tcMar>
              <w:top w:type="dxa" w:w="60"/>
              <w:left w:type="dxa" w:w="100"/>
              <w:bottom w:type="dxa" w:w="60"/>
              <w:right w:type="dxa" w:w="100"/>
            </w:tcMar>
          </w:tcPr>
          <w:p>
            <w:pPr>
              <w:spacing w:after="0" w:line="250"/>
            </w:pPr>
            <w:r>
              <w:rPr>
                <w:sz w:val="19"/>
                <w:szCs w:val="19"/>
              </w:rPr>
              <w:t xml:space="preserve">Project Apollo — Integration Strategy</w:t>
            </w:r>
          </w:p>
        </w:tc>
      </w:tr>
      <w:tr>
        <w:tc>
          <w:tcPr>
            <w:tcW w:type="dxa" w:w="3500"/>
            <w:tcMar>
              <w:top w:type="dxa" w:w="60"/>
              <w:left w:type="dxa" w:w="100"/>
              <w:bottom w:type="dxa" w:w="60"/>
              <w:right w:type="dxa" w:w="100"/>
            </w:tcMar>
          </w:tcPr>
          <w:p>
            <w:pPr>
              <w:spacing w:after="0" w:line="250"/>
            </w:pPr>
            <w:r>
              <w:rPr>
                <w:sz w:val="19"/>
                <w:szCs w:val="19"/>
              </w:rPr>
              <w:t xml:space="preserve">Infrastructure, landscape and sizing design</w:t>
            </w:r>
          </w:p>
        </w:tc>
        <w:tc>
          <w:tcPr>
            <w:tcW w:type="dxa" w:w="1500"/>
            <w:tcMar>
              <w:top w:type="dxa" w:w="60"/>
              <w:left w:type="dxa" w:w="100"/>
              <w:bottom w:type="dxa" w:w="60"/>
              <w:right w:type="dxa" w:w="100"/>
            </w:tcMar>
          </w:tcPr>
          <w:p>
            <w:pPr>
              <w:spacing w:after="0" w:line="250"/>
            </w:pPr>
            <w:r>
              <w:rPr>
                <w:sz w:val="19"/>
                <w:szCs w:val="19"/>
              </w:rPr>
              <w:t xml:space="preserve">No</w:t>
            </w:r>
          </w:p>
        </w:tc>
        <w:tc>
          <w:tcPr>
            <w:tcW w:type="dxa" w:w="4026"/>
            <w:tcMar>
              <w:top w:type="dxa" w:w="60"/>
              <w:left w:type="dxa" w:w="100"/>
              <w:bottom w:type="dxa" w:w="60"/>
              <w:right w:type="dxa" w:w="100"/>
            </w:tcMar>
          </w:tcPr>
          <w:p>
            <w:pPr>
              <w:spacing w:after="0" w:line="250"/>
            </w:pPr>
            <w:r>
              <w:rPr>
                <w:sz w:val="19"/>
                <w:szCs w:val="19"/>
              </w:rPr>
              <w:t xml:space="preserve">Separate infrastructure design</w:t>
            </w:r>
          </w:p>
        </w:tc>
      </w:tr>
      <w:tr>
        <w:tc>
          <w:tcPr>
            <w:tcW w:type="dxa" w:w="3500"/>
            <w:tcMar>
              <w:top w:type="dxa" w:w="60"/>
              <w:left w:type="dxa" w:w="100"/>
              <w:bottom w:type="dxa" w:w="60"/>
              <w:right w:type="dxa" w:w="100"/>
            </w:tcMar>
          </w:tcPr>
          <w:p>
            <w:pPr>
              <w:spacing w:after="0" w:line="250"/>
            </w:pPr>
            <w:r>
              <w:rPr>
                <w:sz w:val="19"/>
                <w:szCs w:val="19"/>
              </w:rPr>
              <w:t xml:space="preserve">Splunk-side index, dashboard and alert design</w:t>
            </w:r>
          </w:p>
        </w:tc>
        <w:tc>
          <w:tcPr>
            <w:tcW w:type="dxa" w:w="1500"/>
            <w:tcMar>
              <w:top w:type="dxa" w:w="60"/>
              <w:left w:type="dxa" w:w="100"/>
              <w:bottom w:type="dxa" w:w="60"/>
              <w:right w:type="dxa" w:w="100"/>
            </w:tcMar>
          </w:tcPr>
          <w:p>
            <w:pPr>
              <w:spacing w:after="0" w:line="250"/>
            </w:pPr>
            <w:r>
              <w:rPr>
                <w:sz w:val="19"/>
                <w:szCs w:val="19"/>
              </w:rPr>
              <w:t xml:space="preserve">No</w:t>
            </w:r>
          </w:p>
        </w:tc>
        <w:tc>
          <w:tcPr>
            <w:tcW w:type="dxa" w:w="4026"/>
            <w:tcMar>
              <w:top w:type="dxa" w:w="60"/>
              <w:left w:type="dxa" w:w="100"/>
              <w:bottom w:type="dxa" w:w="60"/>
              <w:right w:type="dxa" w:w="100"/>
            </w:tcMar>
          </w:tcPr>
          <w:p>
            <w:pPr>
              <w:spacing w:after="0" w:line="250"/>
            </w:pPr>
            <w:r>
              <w:rPr>
                <w:sz w:val="19"/>
                <w:szCs w:val="19"/>
              </w:rPr>
              <w:t xml:space="preserve">Splunk / SIEM work package</w:t>
            </w:r>
          </w:p>
        </w:tc>
      </w:tr>
    </w:tbl>
    <w:p>
      <w:r>
        <w:br w:type="page"/>
      </w:r>
    </w:p>
    <w:p>
      <w:pPr>
        <w:pStyle w:val="Heading1"/>
        <w:spacing w:after="140" w:before="320"/>
      </w:pPr>
      <w:r>
        <w:t xml:space="preserve">2. Business Requirements</w:t>
      </w:r>
    </w:p>
    <w:p>
      <w:pPr>
        <w:spacing w:after="120" w:line="276"/>
      </w:pPr>
      <w:r>
        <w:rPr>
          <w:sz w:val="21"/>
          <w:szCs w:val="21"/>
        </w:rPr>
        <w:t xml:space="preserve">Security-relevant activity in S/4HANA Cloud must be visible in the enterprise SIEM so that authentication events, privileged actions, personal-data access and identity changes can be monitored, correlated with other sources, and retained for audit.</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1100"/>
        <w:gridCol w:w="6426"/>
        <w:gridCol w:w="1500"/>
      </w:tblGrid>
      <w:tr>
        <w:trPr>
          <w:tblHeader/>
        </w:trPr>
        <w:tc>
          <w:tcPr>
            <w:tcW w:type="dxa" w:w="1100"/>
            <w:shd w:fill="D9E2F3" w:color="auto" w:val="clear"/>
            <w:tcMar>
              <w:top w:type="dxa" w:w="60"/>
              <w:left w:type="dxa" w:w="100"/>
              <w:bottom w:type="dxa" w:w="60"/>
              <w:right w:type="dxa" w:w="100"/>
            </w:tcMar>
          </w:tcPr>
          <w:p>
            <w:pPr>
              <w:spacing w:after="0" w:line="250"/>
            </w:pPr>
            <w:r>
              <w:rPr>
                <w:b/>
                <w:bCs/>
                <w:sz w:val="19"/>
                <w:szCs w:val="19"/>
              </w:rPr>
              <w:t xml:space="preserve">ID</w:t>
            </w:r>
          </w:p>
        </w:tc>
        <w:tc>
          <w:tcPr>
            <w:tcW w:type="dxa" w:w="6426"/>
            <w:shd w:fill="D9E2F3" w:color="auto" w:val="clear"/>
            <w:tcMar>
              <w:top w:type="dxa" w:w="60"/>
              <w:left w:type="dxa" w:w="100"/>
              <w:bottom w:type="dxa" w:w="60"/>
              <w:right w:type="dxa" w:w="100"/>
            </w:tcMar>
          </w:tcPr>
          <w:p>
            <w:pPr>
              <w:spacing w:after="0" w:line="250"/>
            </w:pPr>
            <w:r>
              <w:rPr>
                <w:b/>
                <w:bCs/>
                <w:sz w:val="19"/>
                <w:szCs w:val="19"/>
              </w:rPr>
              <w:t xml:space="preserve">Business requirement</w:t>
            </w:r>
          </w:p>
        </w:tc>
        <w:tc>
          <w:tcPr>
            <w:tcW w:type="dxa" w:w="1500"/>
            <w:shd w:fill="D9E2F3" w:color="auto" w:val="clear"/>
            <w:tcMar>
              <w:top w:type="dxa" w:w="60"/>
              <w:left w:type="dxa" w:w="100"/>
              <w:bottom w:type="dxa" w:w="60"/>
              <w:right w:type="dxa" w:w="100"/>
            </w:tcMar>
          </w:tcPr>
          <w:p>
            <w:pPr>
              <w:spacing w:after="0" w:line="250"/>
            </w:pPr>
            <w:r>
              <w:rPr>
                <w:b/>
                <w:bCs/>
                <w:sz w:val="19"/>
                <w:szCs w:val="19"/>
              </w:rPr>
              <w:t xml:space="preserve">Priority</w:t>
            </w:r>
          </w:p>
        </w:tc>
      </w:tr>
      <w:tr>
        <w:tc>
          <w:tcPr>
            <w:tcW w:type="dxa" w:w="1100"/>
            <w:tcMar>
              <w:top w:type="dxa" w:w="60"/>
              <w:left w:type="dxa" w:w="100"/>
              <w:bottom w:type="dxa" w:w="60"/>
              <w:right w:type="dxa" w:w="100"/>
            </w:tcMar>
          </w:tcPr>
          <w:p>
            <w:pPr>
              <w:spacing w:after="0" w:line="250"/>
            </w:pPr>
            <w:r>
              <w:rPr>
                <w:sz w:val="19"/>
                <w:szCs w:val="19"/>
              </w:rPr>
              <w:t xml:space="preserve">BR-01</w:t>
            </w:r>
          </w:p>
        </w:tc>
        <w:tc>
          <w:tcPr>
            <w:tcW w:type="dxa" w:w="6426"/>
            <w:tcMar>
              <w:top w:type="dxa" w:w="60"/>
              <w:left w:type="dxa" w:w="100"/>
              <w:bottom w:type="dxa" w:w="60"/>
              <w:right w:type="dxa" w:w="100"/>
            </w:tcMar>
          </w:tcPr>
          <w:p>
            <w:pPr>
              <w:spacing w:after="0" w:line="250"/>
            </w:pPr>
            <w:r>
              <w:rPr>
                <w:sz w:val="19"/>
                <w:szCs w:val="19"/>
              </w:rPr>
              <w:t xml:space="preserve">All four S/4HANA Cloud security log types are delivered to Splunk on a near-real-time cadence</w:t>
            </w:r>
          </w:p>
        </w:tc>
        <w:tc>
          <w:tcPr>
            <w:tcW w:type="dxa" w:w="1500"/>
            <w:tcMar>
              <w:top w:type="dxa" w:w="60"/>
              <w:left w:type="dxa" w:w="100"/>
              <w:bottom w:type="dxa" w:w="60"/>
              <w:right w:type="dxa" w:w="100"/>
            </w:tcMar>
          </w:tcPr>
          <w:p>
            <w:pPr>
              <w:spacing w:after="0" w:line="250"/>
            </w:pPr>
            <w:r>
              <w:rPr>
                <w:sz w:val="19"/>
                <w:szCs w:val="19"/>
              </w:rPr>
              <w:t xml:space="preserve">Must</w:t>
            </w:r>
          </w:p>
        </w:tc>
      </w:tr>
      <w:tr>
        <w:tc>
          <w:tcPr>
            <w:tcW w:type="dxa" w:w="1100"/>
            <w:tcMar>
              <w:top w:type="dxa" w:w="60"/>
              <w:left w:type="dxa" w:w="100"/>
              <w:bottom w:type="dxa" w:w="60"/>
              <w:right w:type="dxa" w:w="100"/>
            </w:tcMar>
          </w:tcPr>
          <w:p>
            <w:pPr>
              <w:spacing w:after="0" w:line="250"/>
            </w:pPr>
            <w:r>
              <w:rPr>
                <w:sz w:val="19"/>
                <w:szCs w:val="19"/>
              </w:rPr>
              <w:t xml:space="preserve">BR-02</w:t>
            </w:r>
          </w:p>
        </w:tc>
        <w:tc>
          <w:tcPr>
            <w:tcW w:type="dxa" w:w="6426"/>
            <w:tcMar>
              <w:top w:type="dxa" w:w="60"/>
              <w:left w:type="dxa" w:w="100"/>
              <w:bottom w:type="dxa" w:w="60"/>
              <w:right w:type="dxa" w:w="100"/>
            </w:tcMar>
          </w:tcPr>
          <w:p>
            <w:pPr>
              <w:spacing w:after="0" w:line="250"/>
            </w:pPr>
            <w:r>
              <w:rPr>
                <w:sz w:val="19"/>
                <w:szCs w:val="19"/>
              </w:rPr>
              <w:t xml:space="preserve">No security event is silently lost between extraction runs</w:t>
            </w:r>
          </w:p>
        </w:tc>
        <w:tc>
          <w:tcPr>
            <w:tcW w:type="dxa" w:w="1500"/>
            <w:tcMar>
              <w:top w:type="dxa" w:w="60"/>
              <w:left w:type="dxa" w:w="100"/>
              <w:bottom w:type="dxa" w:w="60"/>
              <w:right w:type="dxa" w:w="100"/>
            </w:tcMar>
          </w:tcPr>
          <w:p>
            <w:pPr>
              <w:spacing w:after="0" w:line="250"/>
            </w:pPr>
            <w:r>
              <w:rPr>
                <w:sz w:val="19"/>
                <w:szCs w:val="19"/>
              </w:rPr>
              <w:t xml:space="preserve">Must</w:t>
            </w:r>
          </w:p>
        </w:tc>
      </w:tr>
      <w:tr>
        <w:tc>
          <w:tcPr>
            <w:tcW w:type="dxa" w:w="1100"/>
            <w:tcMar>
              <w:top w:type="dxa" w:w="60"/>
              <w:left w:type="dxa" w:w="100"/>
              <w:bottom w:type="dxa" w:w="60"/>
              <w:right w:type="dxa" w:w="100"/>
            </w:tcMar>
          </w:tcPr>
          <w:p>
            <w:pPr>
              <w:spacing w:after="0" w:line="250"/>
            </w:pPr>
            <w:r>
              <w:rPr>
                <w:sz w:val="19"/>
                <w:szCs w:val="19"/>
              </w:rPr>
              <w:t xml:space="preserve">BR-03</w:t>
            </w:r>
          </w:p>
        </w:tc>
        <w:tc>
          <w:tcPr>
            <w:tcW w:type="dxa" w:w="6426"/>
            <w:tcMar>
              <w:top w:type="dxa" w:w="60"/>
              <w:left w:type="dxa" w:w="100"/>
              <w:bottom w:type="dxa" w:w="60"/>
              <w:right w:type="dxa" w:w="100"/>
            </w:tcMar>
          </w:tcPr>
          <w:p>
            <w:pPr>
              <w:spacing w:after="0" w:line="250"/>
            </w:pPr>
            <w:r>
              <w:rPr>
                <w:sz w:val="19"/>
                <w:szCs w:val="19"/>
              </w:rPr>
              <w:t xml:space="preserve">Events carry their original event timestamp, not the ingestion time</w:t>
            </w:r>
          </w:p>
        </w:tc>
        <w:tc>
          <w:tcPr>
            <w:tcW w:type="dxa" w:w="1500"/>
            <w:tcMar>
              <w:top w:type="dxa" w:w="60"/>
              <w:left w:type="dxa" w:w="100"/>
              <w:bottom w:type="dxa" w:w="60"/>
              <w:right w:type="dxa" w:w="100"/>
            </w:tcMar>
          </w:tcPr>
          <w:p>
            <w:pPr>
              <w:spacing w:after="0" w:line="250"/>
            </w:pPr>
            <w:r>
              <w:rPr>
                <w:sz w:val="19"/>
                <w:szCs w:val="19"/>
              </w:rPr>
              <w:t xml:space="preserve">Must</w:t>
            </w:r>
          </w:p>
        </w:tc>
      </w:tr>
      <w:tr>
        <w:tc>
          <w:tcPr>
            <w:tcW w:type="dxa" w:w="1100"/>
            <w:tcMar>
              <w:top w:type="dxa" w:w="60"/>
              <w:left w:type="dxa" w:w="100"/>
              <w:bottom w:type="dxa" w:w="60"/>
              <w:right w:type="dxa" w:w="100"/>
            </w:tcMar>
          </w:tcPr>
          <w:p>
            <w:pPr>
              <w:spacing w:after="0" w:line="250"/>
            </w:pPr>
            <w:r>
              <w:rPr>
                <w:sz w:val="19"/>
                <w:szCs w:val="19"/>
              </w:rPr>
              <w:t xml:space="preserve">BR-04</w:t>
            </w:r>
          </w:p>
        </w:tc>
        <w:tc>
          <w:tcPr>
            <w:tcW w:type="dxa" w:w="6426"/>
            <w:tcMar>
              <w:top w:type="dxa" w:w="60"/>
              <w:left w:type="dxa" w:w="100"/>
              <w:bottom w:type="dxa" w:w="60"/>
              <w:right w:type="dxa" w:w="100"/>
            </w:tcMar>
          </w:tcPr>
          <w:p>
            <w:pPr>
              <w:spacing w:after="0" w:line="250"/>
            </w:pPr>
            <w:r>
              <w:rPr>
                <w:sz w:val="19"/>
                <w:szCs w:val="19"/>
              </w:rPr>
              <w:t xml:space="preserve">Duplicate events can be identified and removed on the Splunk side</w:t>
            </w:r>
          </w:p>
        </w:tc>
        <w:tc>
          <w:tcPr>
            <w:tcW w:type="dxa" w:w="1500"/>
            <w:tcMar>
              <w:top w:type="dxa" w:w="60"/>
              <w:left w:type="dxa" w:w="100"/>
              <w:bottom w:type="dxa" w:w="60"/>
              <w:right w:type="dxa" w:w="100"/>
            </w:tcMar>
          </w:tcPr>
          <w:p>
            <w:pPr>
              <w:spacing w:after="0" w:line="250"/>
            </w:pPr>
            <w:r>
              <w:rPr>
                <w:sz w:val="19"/>
                <w:szCs w:val="19"/>
              </w:rPr>
              <w:t xml:space="preserve">Must</w:t>
            </w:r>
          </w:p>
        </w:tc>
      </w:tr>
      <w:tr>
        <w:tc>
          <w:tcPr>
            <w:tcW w:type="dxa" w:w="1100"/>
            <w:tcMar>
              <w:top w:type="dxa" w:w="60"/>
              <w:left w:type="dxa" w:w="100"/>
              <w:bottom w:type="dxa" w:w="60"/>
              <w:right w:type="dxa" w:w="100"/>
            </w:tcMar>
          </w:tcPr>
          <w:p>
            <w:pPr>
              <w:spacing w:after="0" w:line="250"/>
            </w:pPr>
            <w:r>
              <w:rPr>
                <w:sz w:val="19"/>
                <w:szCs w:val="19"/>
              </w:rPr>
              <w:t xml:space="preserve">BR-05</w:t>
            </w:r>
          </w:p>
        </w:tc>
        <w:tc>
          <w:tcPr>
            <w:tcW w:type="dxa" w:w="6426"/>
            <w:tcMar>
              <w:top w:type="dxa" w:w="60"/>
              <w:left w:type="dxa" w:w="100"/>
              <w:bottom w:type="dxa" w:w="60"/>
              <w:right w:type="dxa" w:w="100"/>
            </w:tcMar>
          </w:tcPr>
          <w:p>
            <w:pPr>
              <w:spacing w:after="0" w:line="250"/>
            </w:pPr>
            <w:r>
              <w:rPr>
                <w:sz w:val="19"/>
                <w:szCs w:val="19"/>
              </w:rPr>
              <w:t xml:space="preserve">An extraction outage does not require manual replay — the interface self-recovers</w:t>
            </w:r>
          </w:p>
        </w:tc>
        <w:tc>
          <w:tcPr>
            <w:tcW w:type="dxa" w:w="1500"/>
            <w:tcMar>
              <w:top w:type="dxa" w:w="60"/>
              <w:left w:type="dxa" w:w="100"/>
              <w:bottom w:type="dxa" w:w="60"/>
              <w:right w:type="dxa" w:w="100"/>
            </w:tcMar>
          </w:tcPr>
          <w:p>
            <w:pPr>
              <w:spacing w:after="0" w:line="250"/>
            </w:pPr>
            <w:r>
              <w:rPr>
                <w:sz w:val="19"/>
                <w:szCs w:val="19"/>
              </w:rPr>
              <w:t xml:space="preserve">Must</w:t>
            </w:r>
          </w:p>
        </w:tc>
      </w:tr>
      <w:tr>
        <w:tc>
          <w:tcPr>
            <w:tcW w:type="dxa" w:w="1100"/>
            <w:tcMar>
              <w:top w:type="dxa" w:w="60"/>
              <w:left w:type="dxa" w:w="100"/>
              <w:bottom w:type="dxa" w:w="60"/>
              <w:right w:type="dxa" w:w="100"/>
            </w:tcMar>
          </w:tcPr>
          <w:p>
            <w:pPr>
              <w:spacing w:after="0" w:line="250"/>
            </w:pPr>
            <w:r>
              <w:rPr>
                <w:sz w:val="19"/>
                <w:szCs w:val="19"/>
              </w:rPr>
              <w:t xml:space="preserve">BR-06</w:t>
            </w:r>
          </w:p>
        </w:tc>
        <w:tc>
          <w:tcPr>
            <w:tcW w:type="dxa" w:w="6426"/>
            <w:tcMar>
              <w:top w:type="dxa" w:w="60"/>
              <w:left w:type="dxa" w:w="100"/>
              <w:bottom w:type="dxa" w:w="60"/>
              <w:right w:type="dxa" w:w="100"/>
            </w:tcMar>
          </w:tcPr>
          <w:p>
            <w:pPr>
              <w:spacing w:after="0" w:line="250"/>
            </w:pPr>
            <w:r>
              <w:rPr>
                <w:sz w:val="19"/>
                <w:szCs w:val="19"/>
              </w:rPr>
              <w:t xml:space="preserve">Extraction failures are visible to operations</w:t>
            </w:r>
          </w:p>
        </w:tc>
        <w:tc>
          <w:tcPr>
            <w:tcW w:type="dxa" w:w="1500"/>
            <w:tcMar>
              <w:top w:type="dxa" w:w="60"/>
              <w:left w:type="dxa" w:w="100"/>
              <w:bottom w:type="dxa" w:w="60"/>
              <w:right w:type="dxa" w:w="100"/>
            </w:tcMar>
          </w:tcPr>
          <w:p>
            <w:pPr>
              <w:spacing w:after="0" w:line="250"/>
            </w:pPr>
            <w:r>
              <w:rPr>
                <w:sz w:val="19"/>
                <w:szCs w:val="19"/>
              </w:rPr>
              <w:t xml:space="preserve">Should</w:t>
            </w:r>
          </w:p>
        </w:tc>
      </w:tr>
      <w:tr>
        <w:tc>
          <w:tcPr>
            <w:tcW w:type="dxa" w:w="1100"/>
            <w:tcMar>
              <w:top w:type="dxa" w:w="60"/>
              <w:left w:type="dxa" w:w="100"/>
              <w:bottom w:type="dxa" w:w="60"/>
              <w:right w:type="dxa" w:w="100"/>
            </w:tcMar>
          </w:tcPr>
          <w:p>
            <w:pPr>
              <w:spacing w:after="0" w:line="250"/>
            </w:pPr>
            <w:r>
              <w:rPr>
                <w:sz w:val="19"/>
                <w:szCs w:val="19"/>
              </w:rPr>
              <w:t xml:space="preserve">BR-07</w:t>
            </w:r>
          </w:p>
        </w:tc>
        <w:tc>
          <w:tcPr>
            <w:tcW w:type="dxa" w:w="6426"/>
            <w:tcMar>
              <w:top w:type="dxa" w:w="60"/>
              <w:left w:type="dxa" w:w="100"/>
              <w:bottom w:type="dxa" w:w="60"/>
              <w:right w:type="dxa" w:w="100"/>
            </w:tcMar>
          </w:tcPr>
          <w:p>
            <w:pPr>
              <w:spacing w:after="0" w:line="250"/>
            </w:pPr>
            <w:r>
              <w:rPr>
                <w:sz w:val="19"/>
                <w:szCs w:val="19"/>
              </w:rPr>
              <w:t xml:space="preserve">The same design pattern is reused across all four log types for maintainability</w:t>
            </w:r>
          </w:p>
        </w:tc>
        <w:tc>
          <w:tcPr>
            <w:tcW w:type="dxa" w:w="1500"/>
            <w:tcMar>
              <w:top w:type="dxa" w:w="60"/>
              <w:left w:type="dxa" w:w="100"/>
              <w:bottom w:type="dxa" w:w="60"/>
              <w:right w:type="dxa" w:w="100"/>
            </w:tcMar>
          </w:tcPr>
          <w:p>
            <w:pPr>
              <w:spacing w:after="0" w:line="250"/>
            </w:pPr>
            <w:r>
              <w:rPr>
                <w:sz w:val="19"/>
                <w:szCs w:val="19"/>
              </w:rPr>
              <w:t xml:space="preserve">Should</w:t>
            </w:r>
          </w:p>
        </w:tc>
      </w:tr>
    </w:tbl>
    <w:p>
      <w:r>
        <w:br w:type="page"/>
      </w:r>
    </w:p>
    <w:p>
      <w:pPr>
        <w:pStyle w:val="Heading1"/>
        <w:spacing w:after="140" w:before="320"/>
      </w:pPr>
      <w:r>
        <w:t xml:space="preserve">3. Solution Architecture</w:t>
      </w:r>
    </w:p>
    <w:p>
      <w:pPr>
        <w:pStyle w:val="Heading2"/>
        <w:spacing w:after="140" w:before="240"/>
      </w:pPr>
      <w:r>
        <w:t xml:space="preserve">3.1 Overview</w:t>
      </w:r>
    </w:p>
    <w:p>
      <w:pPr>
        <w:spacing w:after="120" w:line="276"/>
      </w:pPr>
      <w:r>
        <w:rPr>
          <w:sz w:val="21"/>
          <w:szCs w:val="21"/>
        </w:rPr>
        <w:t xml:space="preserve">Each interface is a stateless-per-invocation, request-reply (pull) service. A consumer calls the CPI HTTPS endpoint; CPI determines the delta window from its persisted high-water mark, pages through the S/4HANA OData service, converts each page to Splunk HEC NDJSON, and returns the accumulated events in the HTTP response body. CPI does not push to Splunk.</w:t>
      </w:r>
    </w:p>
    <w:p>
      <w:pPr>
        <w:spacing w:before="120" w:after="120"/>
        <w:jc w:val="center"/>
      </w:pPr>
      <w:r>
        <w:object w:dxaOrig="9000" w:dyaOrig="29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0pt;height:147.6pt" o:ole="">
            <v:imagedata r:id="rId12" o:title=""/>
          </v:shape>
          <o:OLEObject Type="Embed" ProgID="PowerPoint.Show.12" ShapeID="_x0000_i1025" DrawAspect="Content" ObjectID="_1780000001" r:id="rId13"/>
        </w:object>
      </w:r>
    </w:p>
    <w:p>
      <w:pPr>
        <w:spacing w:after="200"/>
        <w:jc w:val="center"/>
      </w:pPr>
      <w:r>
        <w:rPr>
          <w:i/>
          <w:iCs/>
          <w:color w:val="595959"/>
          <w:sz w:val="18"/>
          <w:szCs w:val="18"/>
        </w:rPr>
        <w:t xml:space="preserve">Figure 1 — High-level flow: Splunk pulls, CPI extracts, S/4HANA Cloud serves</w:t>
      </w:r>
    </w:p>
    <w:p>
      <w:pPr>
        <w:pStyle w:val="Heading2"/>
        <w:spacing w:after="140" w:before="240"/>
      </w:pPr>
      <w:r>
        <w:t xml:space="preserve">3.2 Design decision: reply vs. push</w:t>
      </w:r>
    </w:p>
    <w:p>
      <w:pPr>
        <w:spacing w:after="120" w:line="276"/>
      </w:pPr>
      <w:r>
        <w:rPr>
          <w:sz w:val="21"/>
          <w:szCs w:val="21"/>
        </w:rPr>
        <w:t xml:space="preserve">An earlier iteration pushed events to the Splunk HEC endpoint and replied HTTP 200. The adopted design instead returns the events as the HTTP response. Consequences of this decision are load-bearing for the rest of this specification:</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300"/>
        <w:gridCol w:w="6726"/>
      </w:tblGrid>
      <w:tr>
        <w:tc>
          <w:tcPr>
            <w:tcW w:type="dxa" w:w="2300"/>
            <w:tcMar>
              <w:top w:type="dxa" w:w="60"/>
              <w:left w:type="dxa" w:w="100"/>
              <w:bottom w:type="dxa" w:w="60"/>
              <w:right w:type="dxa" w:w="100"/>
            </w:tcMar>
          </w:tcPr>
          <w:p>
            <w:pPr>
              <w:spacing w:after="0" w:line="250"/>
            </w:pPr>
            <w:r>
              <w:rPr>
                <w:b/>
                <w:bCs/>
                <w:sz w:val="19"/>
                <w:szCs w:val="19"/>
              </w:rPr>
              <w:t xml:space="preserve">Advantage</w:t>
            </w:r>
          </w:p>
        </w:tc>
        <w:tc>
          <w:tcPr>
            <w:tcW w:type="dxa" w:w="6726"/>
            <w:tcMar>
              <w:top w:type="dxa" w:w="60"/>
              <w:left w:type="dxa" w:w="100"/>
              <w:bottom w:type="dxa" w:w="60"/>
              <w:right w:type="dxa" w:w="100"/>
            </w:tcMar>
          </w:tcPr>
          <w:p>
            <w:pPr>
              <w:spacing w:after="0" w:line="250"/>
            </w:pPr>
            <w:r>
              <w:rPr>
                <w:sz w:val="19"/>
                <w:szCs w:val="19"/>
              </w:rPr>
              <w:t xml:space="preserve">No outbound firewall path or HEC token needed in CPI; the consumer controls ingestion pace and retry; a single call is self-describing and easy to test.</w:t>
            </w:r>
          </w:p>
        </w:tc>
      </w:tr>
      <w:tr>
        <w:tc>
          <w:tcPr>
            <w:tcW w:type="dxa" w:w="2300"/>
            <w:tcMar>
              <w:top w:type="dxa" w:w="60"/>
              <w:left w:type="dxa" w:w="100"/>
              <w:bottom w:type="dxa" w:w="60"/>
              <w:right w:type="dxa" w:w="100"/>
            </w:tcMar>
          </w:tcPr>
          <w:p>
            <w:pPr>
              <w:spacing w:after="0" w:line="250"/>
            </w:pPr>
            <w:r>
              <w:rPr>
                <w:b/>
                <w:bCs/>
                <w:sz w:val="19"/>
                <w:szCs w:val="19"/>
              </w:rPr>
              <w:t xml:space="preserve">Consequence</w:t>
            </w:r>
          </w:p>
        </w:tc>
        <w:tc>
          <w:tcPr>
            <w:tcW w:type="dxa" w:w="6726"/>
            <w:tcMar>
              <w:top w:type="dxa" w:w="60"/>
              <w:left w:type="dxa" w:w="100"/>
              <w:bottom w:type="dxa" w:w="60"/>
              <w:right w:type="dxa" w:w="100"/>
            </w:tcMar>
          </w:tcPr>
          <w:p>
            <w:pPr>
              <w:spacing w:after="0" w:line="250"/>
            </w:pPr>
            <w:r>
              <w:rPr>
                <w:sz w:val="19"/>
                <w:szCs w:val="19"/>
              </w:rPr>
              <w:t xml:space="preserve">The whole delta window must be buffered in memory to be returned in one response — which makes the window cap in section 6.3 mandatory, not optional.</w:t>
            </w:r>
          </w:p>
        </w:tc>
      </w:tr>
      <w:tr>
        <w:tc>
          <w:tcPr>
            <w:tcW w:type="dxa" w:w="2300"/>
            <w:tcMar>
              <w:top w:type="dxa" w:w="60"/>
              <w:left w:type="dxa" w:w="100"/>
              <w:bottom w:type="dxa" w:w="60"/>
              <w:right w:type="dxa" w:w="100"/>
            </w:tcMar>
          </w:tcPr>
          <w:p>
            <w:pPr>
              <w:spacing w:after="0" w:line="250"/>
            </w:pPr>
            <w:r>
              <w:rPr>
                <w:b/>
                <w:bCs/>
                <w:sz w:val="19"/>
                <w:szCs w:val="19"/>
              </w:rPr>
              <w:t xml:space="preserve">Consequence</w:t>
            </w:r>
          </w:p>
        </w:tc>
        <w:tc>
          <w:tcPr>
            <w:tcW w:type="dxa" w:w="6726"/>
            <w:tcMar>
              <w:top w:type="dxa" w:w="60"/>
              <w:left w:type="dxa" w:w="100"/>
              <w:bottom w:type="dxa" w:w="60"/>
              <w:right w:type="dxa" w:w="100"/>
            </w:tcMar>
          </w:tcPr>
          <w:p>
            <w:pPr>
              <w:spacing w:after="0" w:line="250"/>
            </w:pPr>
            <w:r>
              <w:rPr>
                <w:sz w:val="19"/>
                <w:szCs w:val="19"/>
              </w:rPr>
              <w:t xml:space="preserve">CPI cannot confirm the consumer ingested the reply, so delivery is at-least-once with consumer-side deduplication (section 9.2).</w:t>
            </w:r>
          </w:p>
        </w:tc>
      </w:tr>
    </w:tbl>
    <w:p>
      <w:pPr>
        <w:pStyle w:val="Heading2"/>
        <w:spacing w:after="140" w:before="240"/>
      </w:pPr>
      <w:r>
        <w:t xml:space="preserve">3.3 Trigger model</w:t>
      </w:r>
    </w:p>
    <w:p>
      <w:pPr>
        <w:spacing w:after="120" w:line="276"/>
      </w:pPr>
      <w:r>
        <w:rPr>
          <w:sz w:val="21"/>
          <w:szCs w:val="21"/>
        </w:rPr>
        <w:t xml:space="preserve">The cadence lives in the calling scheduler (Splunk modular input, BTP Job Scheduling Service, Control-M or equivalent), not in a CPI timer. This keeps the iFlow stateless per call, allows on-demand replay, and lets backlog draining run faster than the normal cadence.</w:t>
      </w:r>
    </w:p>
    <w:p>
      <w:pPr>
        <w:pStyle w:val="Heading2"/>
        <w:spacing w:after="140" w:before="240"/>
      </w:pPr>
      <w:r>
        <w:t xml:space="preserve">3.4 Common flow structure</w:t>
      </w:r>
    </w:p>
    <w:p>
      <w:pPr>
        <w:spacing w:after="120" w:line="276"/>
      </w:pPr>
      <w:r>
        <w:rPr>
          <w:sz w:val="21"/>
          <w:szCs w:val="21"/>
        </w:rPr>
        <w:t xml:space="preserve">All four artifacts are structurally identical (17 flow steps); only the OData channel, field names and identifiers differ.</w:t>
      </w:r>
    </w:p>
    <w:p>
      <w:pPr>
        <w:spacing w:before="120" w:after="120"/>
        <w:jc w:val="center"/>
      </w:pPr>
      <w:r>
        <w:object w:dxaOrig="9000" w:dyaOrig="77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0.0pt;height:385.2pt" o:ole="">
            <v:imagedata r:id="rId14" o:title=""/>
          </v:shape>
          <o:OLEObject Type="Embed" ProgID="PowerPoint.Show.12" ShapeID="_x0000_i1026" DrawAspect="Content" ObjectID="_1780000002" r:id="rId15"/>
        </w:object>
      </w:r>
    </w:p>
    <w:p>
      <w:pPr>
        <w:spacing w:after="200"/>
        <w:jc w:val="center"/>
      </w:pPr>
      <w:r>
        <w:rPr>
          <w:i/>
          <w:iCs/>
          <w:color w:val="595959"/>
          <w:sz w:val="18"/>
          <w:szCs w:val="18"/>
        </w:rPr>
        <w:t xml:space="preserve">Figure 2 — Detailed flow (identical across all four interfaces)</w:t>
      </w:r>
    </w:p>
    <w:p>
      <w:r>
        <w:br w:type="page"/>
      </w:r>
    </w:p>
    <w:p>
      <w:pPr>
        <w:pStyle w:val="Heading1"/>
        <w:spacing w:after="140" w:before="320"/>
      </w:pPr>
      <w:r>
        <w:t xml:space="preserve">4. Interface Inventory</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850"/>
        <w:gridCol w:w="2250"/>
        <w:gridCol w:w="1150"/>
        <w:gridCol w:w="2000"/>
        <w:gridCol w:w="2776"/>
      </w:tblGrid>
      <w:tr>
        <w:trPr>
          <w:tblHeader/>
        </w:trPr>
        <w:tc>
          <w:tcPr>
            <w:tcW w:type="dxa" w:w="850"/>
            <w:shd w:fill="D9E2F3" w:color="auto" w:val="clear"/>
            <w:tcMar>
              <w:top w:type="dxa" w:w="60"/>
              <w:left w:type="dxa" w:w="100"/>
              <w:bottom w:type="dxa" w:w="60"/>
              <w:right w:type="dxa" w:w="100"/>
            </w:tcMar>
          </w:tcPr>
          <w:p>
            <w:pPr>
              <w:spacing w:after="0" w:line="250"/>
            </w:pPr>
            <w:r>
              <w:rPr>
                <w:b/>
                <w:bCs/>
                <w:sz w:val="19"/>
                <w:szCs w:val="19"/>
              </w:rPr>
              <w:t xml:space="preserve">ID</w:t>
            </w:r>
          </w:p>
        </w:tc>
        <w:tc>
          <w:tcPr>
            <w:tcW w:type="dxa" w:w="2250"/>
            <w:shd w:fill="D9E2F3" w:color="auto" w:val="clear"/>
            <w:tcMar>
              <w:top w:type="dxa" w:w="60"/>
              <w:left w:type="dxa" w:w="100"/>
              <w:bottom w:type="dxa" w:w="60"/>
              <w:right w:type="dxa" w:w="100"/>
            </w:tcMar>
          </w:tcPr>
          <w:p>
            <w:pPr>
              <w:spacing w:after="0" w:line="250"/>
            </w:pPr>
            <w:r>
              <w:rPr>
                <w:b/>
                <w:bCs/>
                <w:sz w:val="19"/>
                <w:szCs w:val="19"/>
              </w:rPr>
              <w:t xml:space="preserve">Log type</w:t>
            </w:r>
          </w:p>
        </w:tc>
        <w:tc>
          <w:tcPr>
            <w:tcW w:type="dxa" w:w="1150"/>
            <w:shd w:fill="D9E2F3" w:color="auto" w:val="clear"/>
            <w:tcMar>
              <w:top w:type="dxa" w:w="60"/>
              <w:left w:type="dxa" w:w="100"/>
              <w:bottom w:type="dxa" w:w="60"/>
              <w:right w:type="dxa" w:w="100"/>
            </w:tcMar>
          </w:tcPr>
          <w:p>
            <w:pPr>
              <w:spacing w:after="0" w:line="250"/>
            </w:pPr>
            <w:r>
              <w:rPr>
                <w:b/>
                <w:bCs/>
                <w:sz w:val="19"/>
                <w:szCs w:val="19"/>
              </w:rPr>
              <w:t xml:space="preserve">OData</w:t>
            </w:r>
          </w:p>
        </w:tc>
        <w:tc>
          <w:tcPr>
            <w:tcW w:type="dxa" w:w="2000"/>
            <w:shd w:fill="D9E2F3" w:color="auto" w:val="clear"/>
            <w:tcMar>
              <w:top w:type="dxa" w:w="60"/>
              <w:left w:type="dxa" w:w="100"/>
              <w:bottom w:type="dxa" w:w="60"/>
              <w:right w:type="dxa" w:w="100"/>
            </w:tcMar>
          </w:tcPr>
          <w:p>
            <w:pPr>
              <w:spacing w:after="0" w:line="250"/>
            </w:pPr>
            <w:r>
              <w:rPr>
                <w:b/>
                <w:bCs/>
                <w:sz w:val="19"/>
                <w:szCs w:val="19"/>
              </w:rPr>
              <w:t xml:space="preserve">Entity set</w:t>
            </w:r>
          </w:p>
        </w:tc>
        <w:tc>
          <w:tcPr>
            <w:tcW w:type="dxa" w:w="2776"/>
            <w:shd w:fill="D9E2F3" w:color="auto" w:val="clear"/>
            <w:tcMar>
              <w:top w:type="dxa" w:w="60"/>
              <w:left w:type="dxa" w:w="100"/>
              <w:bottom w:type="dxa" w:w="60"/>
              <w:right w:type="dxa" w:w="100"/>
            </w:tcMar>
          </w:tcPr>
          <w:p>
            <w:pPr>
              <w:spacing w:after="0" w:line="250"/>
            </w:pPr>
            <w:r>
              <w:rPr>
                <w:b/>
                <w:bCs/>
                <w:sz w:val="19"/>
                <w:szCs w:val="19"/>
              </w:rPr>
              <w:t xml:space="preserve">Endpoint</w:t>
            </w:r>
          </w:p>
        </w:tc>
      </w:tr>
      <w:tr>
        <w:tc>
          <w:tcPr>
            <w:tcW w:type="dxa" w:w="850"/>
            <w:tcMar>
              <w:top w:type="dxa" w:w="60"/>
              <w:left w:type="dxa" w:w="100"/>
              <w:bottom w:type="dxa" w:w="60"/>
              <w:right w:type="dxa" w:w="100"/>
            </w:tcMar>
          </w:tcPr>
          <w:p>
            <w:pPr>
              <w:spacing w:after="0" w:line="250"/>
            </w:pPr>
            <w:r>
              <w:rPr>
                <w:sz w:val="19"/>
                <w:szCs w:val="19"/>
              </w:rPr>
              <w:t xml:space="preserve">IF-01</w:t>
            </w:r>
          </w:p>
        </w:tc>
        <w:tc>
          <w:tcPr>
            <w:tcW w:type="dxa" w:w="2250"/>
            <w:tcMar>
              <w:top w:type="dxa" w:w="60"/>
              <w:left w:type="dxa" w:w="100"/>
              <w:bottom w:type="dxa" w:w="60"/>
              <w:right w:type="dxa" w:w="100"/>
            </w:tcMar>
          </w:tcPr>
          <w:p>
            <w:pPr>
              <w:spacing w:after="0" w:line="250"/>
            </w:pPr>
            <w:r>
              <w:rPr>
                <w:sz w:val="19"/>
                <w:szCs w:val="19"/>
              </w:rPr>
              <w:t xml:space="preserve">Security Audit Log</w:t>
            </w:r>
          </w:p>
        </w:tc>
        <w:tc>
          <w:tcPr>
            <w:tcW w:type="dxa" w:w="1150"/>
            <w:tcMar>
              <w:top w:type="dxa" w:w="60"/>
              <w:left w:type="dxa" w:w="100"/>
              <w:bottom w:type="dxa" w:w="60"/>
              <w:right w:type="dxa" w:w="100"/>
            </w:tcMar>
          </w:tcPr>
          <w:p>
            <w:pPr>
              <w:spacing w:after="0" w:line="250"/>
            </w:pPr>
            <w:r>
              <w:rPr>
                <w:sz w:val="19"/>
                <w:szCs w:val="19"/>
              </w:rPr>
              <w:t xml:space="preserve">OData V4</w:t>
            </w:r>
          </w:p>
        </w:tc>
        <w:tc>
          <w:tcPr>
            <w:tcW w:type="dxa" w:w="2000"/>
            <w:tcMar>
              <w:top w:type="dxa" w:w="60"/>
              <w:left w:type="dxa" w:w="100"/>
              <w:bottom w:type="dxa" w:w="60"/>
              <w:right w:type="dxa" w:w="100"/>
            </w:tcMar>
          </w:tcPr>
          <w:p>
            <w:pPr>
              <w:spacing w:after="0" w:line="250"/>
            </w:pPr>
            <w:r>
              <w:rPr>
                <w:sz w:val="19"/>
                <w:szCs w:val="19"/>
              </w:rPr>
              <w:t xml:space="preserve">SecurityAuditLog</w:t>
            </w:r>
          </w:p>
        </w:tc>
        <w:tc>
          <w:tcPr>
            <w:tcW w:type="dxa" w:w="2776"/>
            <w:tcMar>
              <w:top w:type="dxa" w:w="60"/>
              <w:left w:type="dxa" w:w="100"/>
              <w:bottom w:type="dxa" w:w="60"/>
              <w:right w:type="dxa" w:w="100"/>
            </w:tcMar>
          </w:tcPr>
          <w:p>
            <w:pPr>
              <w:spacing w:after="0" w:line="250"/>
            </w:pPr>
            <w:r>
              <w:rPr>
                <w:rFonts w:ascii="Consolas" w:cs="Consolas" w:eastAsia="Consolas" w:hAnsi="Consolas"/>
                <w:sz w:val="19"/>
                <w:szCs w:val="19"/>
              </w:rPr>
              <w:t xml:space="preserve">/extract/secauditlog</w:t>
            </w:r>
          </w:p>
        </w:tc>
      </w:tr>
      <w:tr>
        <w:tc>
          <w:tcPr>
            <w:tcW w:type="dxa" w:w="850"/>
            <w:tcMar>
              <w:top w:type="dxa" w:w="60"/>
              <w:left w:type="dxa" w:w="100"/>
              <w:bottom w:type="dxa" w:w="60"/>
              <w:right w:type="dxa" w:w="100"/>
            </w:tcMar>
          </w:tcPr>
          <w:p>
            <w:pPr>
              <w:spacing w:after="0" w:line="250"/>
            </w:pPr>
            <w:r>
              <w:rPr>
                <w:sz w:val="19"/>
                <w:szCs w:val="19"/>
              </w:rPr>
              <w:t xml:space="preserve">IF-02</w:t>
            </w:r>
          </w:p>
        </w:tc>
        <w:tc>
          <w:tcPr>
            <w:tcW w:type="dxa" w:w="2250"/>
            <w:tcMar>
              <w:top w:type="dxa" w:w="60"/>
              <w:left w:type="dxa" w:w="100"/>
              <w:bottom w:type="dxa" w:w="60"/>
              <w:right w:type="dxa" w:w="100"/>
            </w:tcMar>
          </w:tcPr>
          <w:p>
            <w:pPr>
              <w:spacing w:after="0" w:line="250"/>
            </w:pPr>
            <w:r>
              <w:rPr>
                <w:sz w:val="19"/>
                <w:szCs w:val="19"/>
              </w:rPr>
              <w:t xml:space="preserve">Read Access Log (RAL)</w:t>
            </w:r>
          </w:p>
        </w:tc>
        <w:tc>
          <w:tcPr>
            <w:tcW w:type="dxa" w:w="1150"/>
            <w:tcMar>
              <w:top w:type="dxa" w:w="60"/>
              <w:left w:type="dxa" w:w="100"/>
              <w:bottom w:type="dxa" w:w="60"/>
              <w:right w:type="dxa" w:w="100"/>
            </w:tcMar>
          </w:tcPr>
          <w:p>
            <w:pPr>
              <w:spacing w:after="0" w:line="250"/>
            </w:pPr>
            <w:r>
              <w:rPr>
                <w:sz w:val="19"/>
                <w:szCs w:val="19"/>
              </w:rPr>
              <w:t xml:space="preserve">OData V4</w:t>
            </w:r>
          </w:p>
        </w:tc>
        <w:tc>
          <w:tcPr>
            <w:tcW w:type="dxa" w:w="2000"/>
            <w:tcMar>
              <w:top w:type="dxa" w:w="60"/>
              <w:left w:type="dxa" w:w="100"/>
              <w:bottom w:type="dxa" w:w="60"/>
              <w:right w:type="dxa" w:w="100"/>
            </w:tcMar>
          </w:tcPr>
          <w:p>
            <w:pPr>
              <w:spacing w:after="0" w:line="250"/>
            </w:pPr>
            <w:r>
              <w:rPr>
                <w:sz w:val="19"/>
                <w:szCs w:val="19"/>
              </w:rPr>
              <w:t xml:space="preserve">ReadAccessLogRAW</w:t>
            </w:r>
          </w:p>
        </w:tc>
        <w:tc>
          <w:tcPr>
            <w:tcW w:type="dxa" w:w="2776"/>
            <w:tcMar>
              <w:top w:type="dxa" w:w="60"/>
              <w:left w:type="dxa" w:w="100"/>
              <w:bottom w:type="dxa" w:w="60"/>
              <w:right w:type="dxa" w:w="100"/>
            </w:tcMar>
          </w:tcPr>
          <w:p>
            <w:pPr>
              <w:spacing w:after="0" w:line="250"/>
            </w:pPr>
            <w:r>
              <w:rPr>
                <w:rFonts w:ascii="Consolas" w:cs="Consolas" w:eastAsia="Consolas" w:hAnsi="Consolas"/>
                <w:sz w:val="19"/>
                <w:szCs w:val="19"/>
              </w:rPr>
              <w:t xml:space="preserve">/extract/readaccesslog</w:t>
            </w:r>
          </w:p>
        </w:tc>
      </w:tr>
      <w:tr>
        <w:tc>
          <w:tcPr>
            <w:tcW w:type="dxa" w:w="850"/>
            <w:tcMar>
              <w:top w:type="dxa" w:w="60"/>
              <w:left w:type="dxa" w:w="100"/>
              <w:bottom w:type="dxa" w:w="60"/>
              <w:right w:type="dxa" w:w="100"/>
            </w:tcMar>
          </w:tcPr>
          <w:p>
            <w:pPr>
              <w:spacing w:after="0" w:line="250"/>
            </w:pPr>
            <w:r>
              <w:rPr>
                <w:sz w:val="19"/>
                <w:szCs w:val="19"/>
              </w:rPr>
              <w:t xml:space="preserve">IF-03</w:t>
            </w:r>
          </w:p>
        </w:tc>
        <w:tc>
          <w:tcPr>
            <w:tcW w:type="dxa" w:w="2250"/>
            <w:tcMar>
              <w:top w:type="dxa" w:w="60"/>
              <w:left w:type="dxa" w:w="100"/>
              <w:bottom w:type="dxa" w:w="60"/>
              <w:right w:type="dxa" w:w="100"/>
            </w:tcMar>
          </w:tcPr>
          <w:p>
            <w:pPr>
              <w:spacing w:after="0" w:line="250"/>
            </w:pPr>
            <w:r>
              <w:rPr>
                <w:sz w:val="19"/>
                <w:szCs w:val="19"/>
              </w:rPr>
              <w:t xml:space="preserve">Business User Changes</w:t>
            </w:r>
          </w:p>
        </w:tc>
        <w:tc>
          <w:tcPr>
            <w:tcW w:type="dxa" w:w="1150"/>
            <w:tcMar>
              <w:top w:type="dxa" w:w="60"/>
              <w:left w:type="dxa" w:w="100"/>
              <w:bottom w:type="dxa" w:w="60"/>
              <w:right w:type="dxa" w:w="100"/>
            </w:tcMar>
          </w:tcPr>
          <w:p>
            <w:pPr>
              <w:spacing w:after="0" w:line="250"/>
            </w:pPr>
            <w:r>
              <w:rPr>
                <w:sz w:val="19"/>
                <w:szCs w:val="19"/>
              </w:rPr>
              <w:t xml:space="preserve">OData V2</w:t>
            </w:r>
          </w:p>
        </w:tc>
        <w:tc>
          <w:tcPr>
            <w:tcW w:type="dxa" w:w="2000"/>
            <w:tcMar>
              <w:top w:type="dxa" w:w="60"/>
              <w:left w:type="dxa" w:w="100"/>
              <w:bottom w:type="dxa" w:w="60"/>
              <w:right w:type="dxa" w:w="100"/>
            </w:tcMar>
          </w:tcPr>
          <w:p>
            <w:pPr>
              <w:spacing w:after="0" w:line="250"/>
            </w:pPr>
            <w:r>
              <w:rPr>
                <w:sz w:val="19"/>
                <w:szCs w:val="19"/>
              </w:rPr>
              <w:t xml:space="preserve">BusinessUserChanges</w:t>
            </w:r>
          </w:p>
        </w:tc>
        <w:tc>
          <w:tcPr>
            <w:tcW w:type="dxa" w:w="2776"/>
            <w:tcMar>
              <w:top w:type="dxa" w:w="60"/>
              <w:left w:type="dxa" w:w="100"/>
              <w:bottom w:type="dxa" w:w="60"/>
              <w:right w:type="dxa" w:w="100"/>
            </w:tcMar>
          </w:tcPr>
          <w:p>
            <w:pPr>
              <w:spacing w:after="0" w:line="250"/>
            </w:pPr>
            <w:r>
              <w:rPr>
                <w:rFonts w:ascii="Consolas" w:cs="Consolas" w:eastAsia="Consolas" w:hAnsi="Consolas"/>
                <w:sz w:val="19"/>
                <w:szCs w:val="19"/>
              </w:rPr>
              <w:t xml:space="preserve">/extract/businessuserchanges</w:t>
            </w:r>
          </w:p>
        </w:tc>
      </w:tr>
      <w:tr>
        <w:tc>
          <w:tcPr>
            <w:tcW w:type="dxa" w:w="850"/>
            <w:tcMar>
              <w:top w:type="dxa" w:w="60"/>
              <w:left w:type="dxa" w:w="100"/>
              <w:bottom w:type="dxa" w:w="60"/>
              <w:right w:type="dxa" w:w="100"/>
            </w:tcMar>
          </w:tcPr>
          <w:p>
            <w:pPr>
              <w:spacing w:after="0" w:line="250"/>
            </w:pPr>
            <w:r>
              <w:rPr>
                <w:sz w:val="19"/>
                <w:szCs w:val="19"/>
              </w:rPr>
              <w:t xml:space="preserve">IF-04</w:t>
            </w:r>
          </w:p>
        </w:tc>
        <w:tc>
          <w:tcPr>
            <w:tcW w:type="dxa" w:w="2250"/>
            <w:tcMar>
              <w:top w:type="dxa" w:w="60"/>
              <w:left w:type="dxa" w:w="100"/>
              <w:bottom w:type="dxa" w:w="60"/>
              <w:right w:type="dxa" w:w="100"/>
            </w:tcMar>
          </w:tcPr>
          <w:p>
            <w:pPr>
              <w:spacing w:after="0" w:line="250"/>
            </w:pPr>
            <w:r>
              <w:rPr>
                <w:sz w:val="19"/>
                <w:szCs w:val="19"/>
              </w:rPr>
              <w:t xml:space="preserve">Business Role Changes</w:t>
            </w:r>
          </w:p>
        </w:tc>
        <w:tc>
          <w:tcPr>
            <w:tcW w:type="dxa" w:w="1150"/>
            <w:tcMar>
              <w:top w:type="dxa" w:w="60"/>
              <w:left w:type="dxa" w:w="100"/>
              <w:bottom w:type="dxa" w:w="60"/>
              <w:right w:type="dxa" w:w="100"/>
            </w:tcMar>
          </w:tcPr>
          <w:p>
            <w:pPr>
              <w:spacing w:after="0" w:line="250"/>
            </w:pPr>
            <w:r>
              <w:rPr>
                <w:sz w:val="19"/>
                <w:szCs w:val="19"/>
              </w:rPr>
              <w:t xml:space="preserve">OData V2</w:t>
            </w:r>
          </w:p>
        </w:tc>
        <w:tc>
          <w:tcPr>
            <w:tcW w:type="dxa" w:w="2000"/>
            <w:tcMar>
              <w:top w:type="dxa" w:w="60"/>
              <w:left w:type="dxa" w:w="100"/>
              <w:bottom w:type="dxa" w:w="60"/>
              <w:right w:type="dxa" w:w="100"/>
            </w:tcMar>
          </w:tcPr>
          <w:p>
            <w:pPr>
              <w:spacing w:after="0" w:line="250"/>
            </w:pPr>
            <w:r>
              <w:rPr>
                <w:sz w:val="19"/>
                <w:szCs w:val="19"/>
              </w:rPr>
              <w:t xml:space="preserve">BusinessRoleChanges</w:t>
            </w:r>
          </w:p>
        </w:tc>
        <w:tc>
          <w:tcPr>
            <w:tcW w:type="dxa" w:w="2776"/>
            <w:tcMar>
              <w:top w:type="dxa" w:w="60"/>
              <w:left w:type="dxa" w:w="100"/>
              <w:bottom w:type="dxa" w:w="60"/>
              <w:right w:type="dxa" w:w="100"/>
            </w:tcMar>
          </w:tcPr>
          <w:p>
            <w:pPr>
              <w:spacing w:after="0" w:line="250"/>
            </w:pPr>
            <w:r>
              <w:rPr>
                <w:rFonts w:ascii="Consolas" w:cs="Consolas" w:eastAsia="Consolas" w:hAnsi="Consolas"/>
                <w:sz w:val="19"/>
                <w:szCs w:val="19"/>
              </w:rPr>
              <w:t xml:space="preserve">/extract/businessrolechanges</w:t>
            </w:r>
          </w:p>
        </w:tc>
      </w:tr>
    </w:tbl>
    <w:p>
      <w:pPr>
        <w:spacing w:after="200"/>
      </w:pPr>
    </w:p>
    <w:p>
      <w:pPr>
        <w:spacing w:after="120" w:line="276"/>
      </w:pPr>
      <w:r>
        <w:rPr>
          <w:b/>
          <w:bCs/>
          <w:sz w:val="21"/>
          <w:szCs w:val="21"/>
        </w:rPr>
        <w:t xml:space="preserve">Communication scenario per log type (S/4HANA Cloud prerequisite):</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850"/>
        <w:gridCol w:w="2250"/>
        <w:gridCol w:w="2100"/>
        <w:gridCol w:w="3826"/>
      </w:tblGrid>
      <w:tr>
        <w:trPr>
          <w:tblHeader/>
        </w:trPr>
        <w:tc>
          <w:tcPr>
            <w:tcW w:type="dxa" w:w="850"/>
            <w:shd w:fill="D9E2F3" w:color="auto" w:val="clear"/>
            <w:tcMar>
              <w:top w:type="dxa" w:w="60"/>
              <w:left w:type="dxa" w:w="100"/>
              <w:bottom w:type="dxa" w:w="60"/>
              <w:right w:type="dxa" w:w="100"/>
            </w:tcMar>
          </w:tcPr>
          <w:p>
            <w:pPr>
              <w:spacing w:after="0" w:line="250"/>
            </w:pPr>
            <w:r>
              <w:rPr>
                <w:b/>
                <w:bCs/>
                <w:sz w:val="19"/>
                <w:szCs w:val="19"/>
              </w:rPr>
              <w:t xml:space="preserve">ID</w:t>
            </w:r>
          </w:p>
        </w:tc>
        <w:tc>
          <w:tcPr>
            <w:tcW w:type="dxa" w:w="2250"/>
            <w:shd w:fill="D9E2F3" w:color="auto" w:val="clear"/>
            <w:tcMar>
              <w:top w:type="dxa" w:w="60"/>
              <w:left w:type="dxa" w:w="100"/>
              <w:bottom w:type="dxa" w:w="60"/>
              <w:right w:type="dxa" w:w="100"/>
            </w:tcMar>
          </w:tcPr>
          <w:p>
            <w:pPr>
              <w:spacing w:after="0" w:line="250"/>
            </w:pPr>
            <w:r>
              <w:rPr>
                <w:b/>
                <w:bCs/>
                <w:sz w:val="19"/>
                <w:szCs w:val="19"/>
              </w:rPr>
              <w:t xml:space="preserve">Log type</w:t>
            </w:r>
          </w:p>
        </w:tc>
        <w:tc>
          <w:tcPr>
            <w:tcW w:type="dxa" w:w="2100"/>
            <w:shd w:fill="D9E2F3" w:color="auto" w:val="clear"/>
            <w:tcMar>
              <w:top w:type="dxa" w:w="60"/>
              <w:left w:type="dxa" w:w="100"/>
              <w:bottom w:type="dxa" w:w="60"/>
              <w:right w:type="dxa" w:w="100"/>
            </w:tcMar>
          </w:tcPr>
          <w:p>
            <w:pPr>
              <w:spacing w:after="0" w:line="250"/>
            </w:pPr>
            <w:r>
              <w:rPr>
                <w:b/>
                <w:bCs/>
                <w:sz w:val="19"/>
                <w:szCs w:val="19"/>
              </w:rPr>
              <w:t xml:space="preserve">Comm. scenario</w:t>
            </w:r>
          </w:p>
        </w:tc>
        <w:tc>
          <w:tcPr>
            <w:tcW w:type="dxa" w:w="3826"/>
            <w:shd w:fill="D9E2F3" w:color="auto" w:val="clear"/>
            <w:tcMar>
              <w:top w:type="dxa" w:w="60"/>
              <w:left w:type="dxa" w:w="100"/>
              <w:bottom w:type="dxa" w:w="60"/>
              <w:right w:type="dxa" w:w="100"/>
            </w:tcMar>
          </w:tcPr>
          <w:p>
            <w:pPr>
              <w:spacing w:after="0" w:line="250"/>
            </w:pPr>
            <w:r>
              <w:rPr>
                <w:b/>
                <w:bCs/>
                <w:sz w:val="19"/>
                <w:szCs w:val="19"/>
              </w:rPr>
              <w:t xml:space="preserve">Notes</w:t>
            </w:r>
          </w:p>
        </w:tc>
      </w:tr>
      <w:tr>
        <w:tc>
          <w:tcPr>
            <w:tcW w:type="dxa" w:w="850"/>
            <w:tcMar>
              <w:top w:type="dxa" w:w="60"/>
              <w:left w:type="dxa" w:w="100"/>
              <w:bottom w:type="dxa" w:w="60"/>
              <w:right w:type="dxa" w:w="100"/>
            </w:tcMar>
          </w:tcPr>
          <w:p>
            <w:pPr>
              <w:spacing w:after="0" w:line="250"/>
            </w:pPr>
            <w:r>
              <w:rPr>
                <w:sz w:val="19"/>
                <w:szCs w:val="19"/>
              </w:rPr>
              <w:t xml:space="preserve">IF-01</w:t>
            </w:r>
          </w:p>
        </w:tc>
        <w:tc>
          <w:tcPr>
            <w:tcW w:type="dxa" w:w="2250"/>
            <w:tcMar>
              <w:top w:type="dxa" w:w="60"/>
              <w:left w:type="dxa" w:w="100"/>
              <w:bottom w:type="dxa" w:w="60"/>
              <w:right w:type="dxa" w:w="100"/>
            </w:tcMar>
          </w:tcPr>
          <w:p>
            <w:pPr>
              <w:spacing w:after="0" w:line="250"/>
            </w:pPr>
            <w:r>
              <w:rPr>
                <w:sz w:val="19"/>
                <w:szCs w:val="19"/>
              </w:rPr>
              <w:t xml:space="preserve">Security Audit Log</w:t>
            </w:r>
          </w:p>
        </w:tc>
        <w:tc>
          <w:tcPr>
            <w:tcW w:type="dxa" w:w="2100"/>
            <w:tcMar>
              <w:top w:type="dxa" w:w="60"/>
              <w:left w:type="dxa" w:w="100"/>
              <w:bottom w:type="dxa" w:w="60"/>
              <w:right w:type="dxa" w:w="100"/>
            </w:tcMar>
          </w:tcPr>
          <w:p>
            <w:pPr>
              <w:spacing w:after="0" w:line="250"/>
            </w:pPr>
            <w:r>
              <w:rPr>
                <w:sz w:val="19"/>
                <w:szCs w:val="19"/>
              </w:rPr>
              <w:t xml:space="preserve">SAP_COM_0750</w:t>
            </w:r>
          </w:p>
        </w:tc>
        <w:tc>
          <w:tcPr>
            <w:tcW w:type="dxa" w:w="3826"/>
            <w:tcMar>
              <w:top w:type="dxa" w:w="60"/>
              <w:left w:type="dxa" w:w="100"/>
              <w:bottom w:type="dxa" w:w="60"/>
              <w:right w:type="dxa" w:w="100"/>
            </w:tcMar>
          </w:tcPr>
          <w:p>
            <w:pPr>
              <w:spacing w:after="0" w:line="250"/>
            </w:pPr>
            <w:r>
              <w:rPr>
                <w:sz w:val="19"/>
                <w:szCs w:val="19"/>
              </w:rPr>
              <w:t xml:space="preserve">OData V4 service; native adapter pagination</w:t>
            </w:r>
          </w:p>
        </w:tc>
      </w:tr>
      <w:tr>
        <w:tc>
          <w:tcPr>
            <w:tcW w:type="dxa" w:w="850"/>
            <w:tcMar>
              <w:top w:type="dxa" w:w="60"/>
              <w:left w:type="dxa" w:w="100"/>
              <w:bottom w:type="dxa" w:w="60"/>
              <w:right w:type="dxa" w:w="100"/>
            </w:tcMar>
          </w:tcPr>
          <w:p>
            <w:pPr>
              <w:spacing w:after="0" w:line="250"/>
            </w:pPr>
            <w:r>
              <w:rPr>
                <w:sz w:val="19"/>
                <w:szCs w:val="19"/>
              </w:rPr>
              <w:t xml:space="preserve">IF-02</w:t>
            </w:r>
          </w:p>
        </w:tc>
        <w:tc>
          <w:tcPr>
            <w:tcW w:type="dxa" w:w="2250"/>
            <w:tcMar>
              <w:top w:type="dxa" w:w="60"/>
              <w:left w:type="dxa" w:w="100"/>
              <w:bottom w:type="dxa" w:w="60"/>
              <w:right w:type="dxa" w:w="100"/>
            </w:tcMar>
          </w:tcPr>
          <w:p>
            <w:pPr>
              <w:spacing w:after="0" w:line="250"/>
            </w:pPr>
            <w:r>
              <w:rPr>
                <w:sz w:val="19"/>
                <w:szCs w:val="19"/>
              </w:rPr>
              <w:t xml:space="preserve">Read Access Log (RAL)</w:t>
            </w:r>
          </w:p>
        </w:tc>
        <w:tc>
          <w:tcPr>
            <w:tcW w:type="dxa" w:w="2100"/>
            <w:tcMar>
              <w:top w:type="dxa" w:w="60"/>
              <w:left w:type="dxa" w:w="100"/>
              <w:bottom w:type="dxa" w:w="60"/>
              <w:right w:type="dxa" w:w="100"/>
            </w:tcMar>
          </w:tcPr>
          <w:p>
            <w:pPr>
              <w:spacing w:after="0" w:line="250"/>
            </w:pPr>
            <w:r>
              <w:rPr>
                <w:sz w:val="19"/>
                <w:szCs w:val="19"/>
              </w:rPr>
              <w:t xml:space="preserve">SAP_COM_0915</w:t>
            </w:r>
          </w:p>
        </w:tc>
        <w:tc>
          <w:tcPr>
            <w:tcW w:type="dxa" w:w="3826"/>
            <w:tcMar>
              <w:top w:type="dxa" w:w="60"/>
              <w:left w:type="dxa" w:w="100"/>
              <w:bottom w:type="dxa" w:w="60"/>
              <w:right w:type="dxa" w:w="100"/>
            </w:tcMar>
          </w:tcPr>
          <w:p>
            <w:pPr>
              <w:spacing w:after="0" w:line="250"/>
            </w:pPr>
            <w:r>
              <w:rPr>
                <w:sz w:val="19"/>
                <w:szCs w:val="19"/>
              </w:rPr>
              <w:t xml:space="preserve">OData V4 service; native adapter pagination</w:t>
            </w:r>
          </w:p>
        </w:tc>
      </w:tr>
      <w:tr>
        <w:tc>
          <w:tcPr>
            <w:tcW w:type="dxa" w:w="850"/>
            <w:tcMar>
              <w:top w:type="dxa" w:w="60"/>
              <w:left w:type="dxa" w:w="100"/>
              <w:bottom w:type="dxa" w:w="60"/>
              <w:right w:type="dxa" w:w="100"/>
            </w:tcMar>
          </w:tcPr>
          <w:p>
            <w:pPr>
              <w:spacing w:after="0" w:line="250"/>
            </w:pPr>
            <w:r>
              <w:rPr>
                <w:sz w:val="19"/>
                <w:szCs w:val="19"/>
              </w:rPr>
              <w:t xml:space="preserve">IF-03</w:t>
            </w:r>
          </w:p>
        </w:tc>
        <w:tc>
          <w:tcPr>
            <w:tcW w:type="dxa" w:w="2250"/>
            <w:tcMar>
              <w:top w:type="dxa" w:w="60"/>
              <w:left w:type="dxa" w:w="100"/>
              <w:bottom w:type="dxa" w:w="60"/>
              <w:right w:type="dxa" w:w="100"/>
            </w:tcMar>
          </w:tcPr>
          <w:p>
            <w:pPr>
              <w:spacing w:after="0" w:line="250"/>
            </w:pPr>
            <w:r>
              <w:rPr>
                <w:sz w:val="19"/>
                <w:szCs w:val="19"/>
              </w:rPr>
              <w:t xml:space="preserve">Business User Changes</w:t>
            </w:r>
          </w:p>
        </w:tc>
        <w:tc>
          <w:tcPr>
            <w:tcW w:type="dxa" w:w="2100"/>
            <w:tcMar>
              <w:top w:type="dxa" w:w="60"/>
              <w:left w:type="dxa" w:w="100"/>
              <w:bottom w:type="dxa" w:w="60"/>
              <w:right w:type="dxa" w:w="100"/>
            </w:tcMar>
          </w:tcPr>
          <w:p>
            <w:pPr>
              <w:spacing w:after="0" w:line="250"/>
            </w:pPr>
            <w:r>
              <w:rPr>
                <w:sz w:val="19"/>
                <w:szCs w:val="19"/>
              </w:rPr>
              <w:t xml:space="preserve">SAP_COM_0327</w:t>
            </w:r>
          </w:p>
        </w:tc>
        <w:tc>
          <w:tcPr>
            <w:tcW w:type="dxa" w:w="3826"/>
            <w:tcMar>
              <w:top w:type="dxa" w:w="60"/>
              <w:left w:type="dxa" w:w="100"/>
              <w:bottom w:type="dxa" w:w="60"/>
              <w:right w:type="dxa" w:w="100"/>
            </w:tcMar>
          </w:tcPr>
          <w:p>
            <w:pPr>
              <w:spacing w:after="0" w:line="250"/>
            </w:pPr>
            <w:r>
              <w:rPr>
                <w:sz w:val="19"/>
                <w:szCs w:val="19"/>
              </w:rPr>
              <w:t xml:space="preserve">IAM change-document API; OData V2 semantics</w:t>
            </w:r>
          </w:p>
        </w:tc>
      </w:tr>
      <w:tr>
        <w:tc>
          <w:tcPr>
            <w:tcW w:type="dxa" w:w="850"/>
            <w:tcMar>
              <w:top w:type="dxa" w:w="60"/>
              <w:left w:type="dxa" w:w="100"/>
              <w:bottom w:type="dxa" w:w="60"/>
              <w:right w:type="dxa" w:w="100"/>
            </w:tcMar>
          </w:tcPr>
          <w:p>
            <w:pPr>
              <w:spacing w:after="0" w:line="250"/>
            </w:pPr>
            <w:r>
              <w:rPr>
                <w:sz w:val="19"/>
                <w:szCs w:val="19"/>
              </w:rPr>
              <w:t xml:space="preserve">IF-04</w:t>
            </w:r>
          </w:p>
        </w:tc>
        <w:tc>
          <w:tcPr>
            <w:tcW w:type="dxa" w:w="2250"/>
            <w:tcMar>
              <w:top w:type="dxa" w:w="60"/>
              <w:left w:type="dxa" w:w="100"/>
              <w:bottom w:type="dxa" w:w="60"/>
              <w:right w:type="dxa" w:w="100"/>
            </w:tcMar>
          </w:tcPr>
          <w:p>
            <w:pPr>
              <w:spacing w:after="0" w:line="250"/>
            </w:pPr>
            <w:r>
              <w:rPr>
                <w:sz w:val="19"/>
                <w:szCs w:val="19"/>
              </w:rPr>
              <w:t xml:space="preserve">Business Role Changes</w:t>
            </w:r>
          </w:p>
        </w:tc>
        <w:tc>
          <w:tcPr>
            <w:tcW w:type="dxa" w:w="2100"/>
            <w:tcMar>
              <w:top w:type="dxa" w:w="60"/>
              <w:left w:type="dxa" w:w="100"/>
              <w:bottom w:type="dxa" w:w="60"/>
              <w:right w:type="dxa" w:w="100"/>
            </w:tcMar>
          </w:tcPr>
          <w:p>
            <w:pPr>
              <w:spacing w:after="0" w:line="250"/>
            </w:pPr>
            <w:r>
              <w:rPr>
                <w:sz w:val="19"/>
                <w:szCs w:val="19"/>
              </w:rPr>
              <w:t xml:space="preserve">SAP_COM_0366</w:t>
            </w:r>
          </w:p>
        </w:tc>
        <w:tc>
          <w:tcPr>
            <w:tcW w:type="dxa" w:w="3826"/>
            <w:tcMar>
              <w:top w:type="dxa" w:w="60"/>
              <w:left w:type="dxa" w:w="100"/>
              <w:bottom w:type="dxa" w:w="60"/>
              <w:right w:type="dxa" w:w="100"/>
            </w:tcMar>
          </w:tcPr>
          <w:p>
            <w:pPr>
              <w:spacing w:after="0" w:line="250"/>
            </w:pPr>
            <w:r>
              <w:rPr>
                <w:sz w:val="19"/>
                <w:szCs w:val="19"/>
              </w:rPr>
              <w:t xml:space="preserve">IAM change-document API; OData V2 semantics</w:t>
            </w:r>
          </w:p>
        </w:tc>
      </w:tr>
    </w:tbl>
    <w:p>
      <w:r>
        <w:br w:type="page"/>
      </w:r>
    </w:p>
    <w:p>
      <w:pPr>
        <w:pStyle w:val="Heading1"/>
        <w:spacing w:after="140" w:before="320"/>
      </w:pPr>
      <w:r>
        <w:t xml:space="preserve">5. Functional Requirements</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1050"/>
        <w:gridCol w:w="6726"/>
        <w:gridCol w:w="1250"/>
      </w:tblGrid>
      <w:tr>
        <w:trPr>
          <w:tblHeader/>
        </w:trPr>
        <w:tc>
          <w:tcPr>
            <w:tcW w:type="dxa" w:w="1050"/>
            <w:shd w:fill="D9E2F3" w:color="auto" w:val="clear"/>
            <w:tcMar>
              <w:top w:type="dxa" w:w="60"/>
              <w:left w:type="dxa" w:w="100"/>
              <w:bottom w:type="dxa" w:w="60"/>
              <w:right w:type="dxa" w:w="100"/>
            </w:tcMar>
          </w:tcPr>
          <w:p>
            <w:pPr>
              <w:spacing w:after="0" w:line="250"/>
            </w:pPr>
            <w:r>
              <w:rPr>
                <w:b/>
                <w:bCs/>
                <w:sz w:val="19"/>
                <w:szCs w:val="19"/>
              </w:rPr>
              <w:t xml:space="preserve">ID</w:t>
            </w:r>
          </w:p>
        </w:tc>
        <w:tc>
          <w:tcPr>
            <w:tcW w:type="dxa" w:w="6726"/>
            <w:shd w:fill="D9E2F3" w:color="auto" w:val="clear"/>
            <w:tcMar>
              <w:top w:type="dxa" w:w="60"/>
              <w:left w:type="dxa" w:w="100"/>
              <w:bottom w:type="dxa" w:w="60"/>
              <w:right w:type="dxa" w:w="100"/>
            </w:tcMar>
          </w:tcPr>
          <w:p>
            <w:pPr>
              <w:spacing w:after="0" w:line="250"/>
            </w:pPr>
            <w:r>
              <w:rPr>
                <w:b/>
                <w:bCs/>
                <w:sz w:val="19"/>
                <w:szCs w:val="19"/>
              </w:rPr>
              <w:t xml:space="preserve">Requirement</w:t>
            </w:r>
          </w:p>
        </w:tc>
        <w:tc>
          <w:tcPr>
            <w:tcW w:type="dxa" w:w="1250"/>
            <w:shd w:fill="D9E2F3" w:color="auto" w:val="clear"/>
            <w:tcMar>
              <w:top w:type="dxa" w:w="60"/>
              <w:left w:type="dxa" w:w="100"/>
              <w:bottom w:type="dxa" w:w="60"/>
              <w:right w:type="dxa" w:w="100"/>
            </w:tcMar>
          </w:tcPr>
          <w:p>
            <w:pPr>
              <w:spacing w:after="0" w:line="250"/>
            </w:pPr>
            <w:r>
              <w:rPr>
                <w:b/>
                <w:bCs/>
                <w:sz w:val="19"/>
                <w:szCs w:val="19"/>
              </w:rPr>
              <w:t xml:space="preserve">Priority</w:t>
            </w:r>
          </w:p>
        </w:tc>
      </w:tr>
      <w:tr>
        <w:tc>
          <w:tcPr>
            <w:tcW w:type="dxa" w:w="1050"/>
            <w:tcMar>
              <w:top w:type="dxa" w:w="60"/>
              <w:left w:type="dxa" w:w="100"/>
              <w:bottom w:type="dxa" w:w="60"/>
              <w:right w:type="dxa" w:w="100"/>
            </w:tcMar>
          </w:tcPr>
          <w:p>
            <w:pPr>
              <w:spacing w:after="0" w:line="250"/>
            </w:pPr>
            <w:r>
              <w:rPr>
                <w:sz w:val="19"/>
                <w:szCs w:val="19"/>
              </w:rPr>
              <w:t xml:space="preserve">FR-01</w:t>
            </w:r>
          </w:p>
        </w:tc>
        <w:tc>
          <w:tcPr>
            <w:tcW w:type="dxa" w:w="6726"/>
            <w:tcMar>
              <w:top w:type="dxa" w:w="60"/>
              <w:left w:type="dxa" w:w="100"/>
              <w:bottom w:type="dxa" w:w="60"/>
              <w:right w:type="dxa" w:w="100"/>
            </w:tcMar>
          </w:tcPr>
          <w:p>
            <w:pPr>
              <w:spacing w:after="0" w:line="250"/>
            </w:pPr>
            <w:r>
              <w:rPr>
                <w:sz w:val="19"/>
                <w:szCs w:val="19"/>
              </w:rPr>
              <w:t xml:space="preserve">Each interface SHALL expose an HTTPS sender endpoint that returns extracted events in the HTTP response body as NDJSON.</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FR-02</w:t>
            </w:r>
          </w:p>
        </w:tc>
        <w:tc>
          <w:tcPr>
            <w:tcW w:type="dxa" w:w="6726"/>
            <w:tcMar>
              <w:top w:type="dxa" w:w="60"/>
              <w:left w:type="dxa" w:w="100"/>
              <w:bottom w:type="dxa" w:w="60"/>
              <w:right w:type="dxa" w:w="100"/>
            </w:tcMar>
          </w:tcPr>
          <w:p>
            <w:pPr>
              <w:spacing w:after="0" w:line="250"/>
            </w:pPr>
            <w:r>
              <w:rPr>
                <w:sz w:val="19"/>
                <w:szCs w:val="19"/>
              </w:rPr>
              <w:t xml:space="preserve">Each interface SHALL persist a last-run high-water mark in a CPI Data Store, scoped to that interface.</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FR-03</w:t>
            </w:r>
          </w:p>
        </w:tc>
        <w:tc>
          <w:tcPr>
            <w:tcW w:type="dxa" w:w="6726"/>
            <w:tcMar>
              <w:top w:type="dxa" w:w="60"/>
              <w:left w:type="dxa" w:w="100"/>
              <w:bottom w:type="dxa" w:w="60"/>
              <w:right w:type="dxa" w:w="100"/>
            </w:tcMar>
          </w:tcPr>
          <w:p>
            <w:pPr>
              <w:spacing w:after="0" w:line="250"/>
            </w:pPr>
            <w:r>
              <w:rPr>
                <w:sz w:val="19"/>
                <w:szCs w:val="19"/>
              </w:rPr>
              <w:t xml:space="preserve">The delta window SHALL be strictly (windowFrom, runStartTime] — exclusive lower bound, inclusive upper bound.</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FR-04</w:t>
            </w:r>
          </w:p>
        </w:tc>
        <w:tc>
          <w:tcPr>
            <w:tcW w:type="dxa" w:w="6726"/>
            <w:tcMar>
              <w:top w:type="dxa" w:w="60"/>
              <w:left w:type="dxa" w:w="100"/>
              <w:bottom w:type="dxa" w:w="60"/>
              <w:right w:type="dxa" w:w="100"/>
            </w:tcMar>
          </w:tcPr>
          <w:p>
            <w:pPr>
              <w:spacing w:after="0" w:line="250"/>
            </w:pPr>
            <w:r>
              <w:rPr>
                <w:sz w:val="19"/>
                <w:szCs w:val="19"/>
              </w:rPr>
              <w:t xml:space="preserve">On first run (no stored high-water) the interface SHALL bootstrap the lower bound to now minus defaultLookbackMinutes (default 15) rather than extracting all history.</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FR-05</w:t>
            </w:r>
          </w:p>
        </w:tc>
        <w:tc>
          <w:tcPr>
            <w:tcW w:type="dxa" w:w="6726"/>
            <w:tcMar>
              <w:top w:type="dxa" w:w="60"/>
              <w:left w:type="dxa" w:w="100"/>
              <w:bottom w:type="dxa" w:w="60"/>
              <w:right w:type="dxa" w:w="100"/>
            </w:tcMar>
          </w:tcPr>
          <w:p>
            <w:pPr>
              <w:spacing w:after="0" w:line="250"/>
            </w:pPr>
            <w:r>
              <w:rPr>
                <w:sz w:val="19"/>
                <w:szCs w:val="19"/>
              </w:rPr>
              <w:t xml:space="preserve">The window span SHALL be capped at maxWindowMinutes (default 60); when capped the interface SHALL advance the high-water to the capped upper bound and signal that a backlog remains.</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FR-06</w:t>
            </w:r>
          </w:p>
        </w:tc>
        <w:tc>
          <w:tcPr>
            <w:tcW w:type="dxa" w:w="6726"/>
            <w:tcMar>
              <w:top w:type="dxa" w:w="60"/>
              <w:left w:type="dxa" w:w="100"/>
              <w:bottom w:type="dxa" w:w="60"/>
              <w:right w:type="dxa" w:w="100"/>
            </w:tcMar>
          </w:tcPr>
          <w:p>
            <w:pPr>
              <w:spacing w:after="0" w:line="250"/>
            </w:pPr>
            <w:r>
              <w:rPr>
                <w:sz w:val="19"/>
                <w:szCs w:val="19"/>
              </w:rPr>
              <w:t xml:space="preserve">The interface SHALL page through all pages of the window using the adapter's native pagination, driven by a Looping Process Call.</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FR-07</w:t>
            </w:r>
          </w:p>
        </w:tc>
        <w:tc>
          <w:tcPr>
            <w:tcW w:type="dxa" w:w="6726"/>
            <w:tcMar>
              <w:top w:type="dxa" w:w="60"/>
              <w:left w:type="dxa" w:w="100"/>
              <w:bottom w:type="dxa" w:w="60"/>
              <w:right w:type="dxa" w:w="100"/>
            </w:tcMar>
          </w:tcPr>
          <w:p>
            <w:pPr>
              <w:spacing w:after="0" w:line="250"/>
            </w:pPr>
            <w:r>
              <w:rPr>
                <w:sz w:val="19"/>
                <w:szCs w:val="19"/>
              </w:rPr>
              <w:t xml:space="preserve">The OData query SHALL include an ascending $orderby on the timestamp field to guarantee stable paging.</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FR-08</w:t>
            </w:r>
          </w:p>
        </w:tc>
        <w:tc>
          <w:tcPr>
            <w:tcW w:type="dxa" w:w="6726"/>
            <w:tcMar>
              <w:top w:type="dxa" w:w="60"/>
              <w:left w:type="dxa" w:w="100"/>
              <w:bottom w:type="dxa" w:w="60"/>
              <w:right w:type="dxa" w:w="100"/>
            </w:tcMar>
          </w:tcPr>
          <w:p>
            <w:pPr>
              <w:spacing w:after="0" w:line="250"/>
            </w:pPr>
            <w:r>
              <w:rPr>
                <w:sz w:val="19"/>
                <w:szCs w:val="19"/>
              </w:rPr>
              <w:t xml:space="preserve">The OData query SHALL use the literal syntax correct for its protocol version: unquoted ISO-8601 for V4; datetimeoffset'...' for V2.</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FR-09</w:t>
            </w:r>
          </w:p>
        </w:tc>
        <w:tc>
          <w:tcPr>
            <w:tcW w:type="dxa" w:w="6726"/>
            <w:tcMar>
              <w:top w:type="dxa" w:w="60"/>
              <w:left w:type="dxa" w:w="100"/>
              <w:bottom w:type="dxa" w:w="60"/>
              <w:right w:type="dxa" w:w="100"/>
            </w:tcMar>
          </w:tcPr>
          <w:p>
            <w:pPr>
              <w:spacing w:after="0" w:line="250"/>
            </w:pPr>
            <w:r>
              <w:rPr>
                <w:sz w:val="19"/>
                <w:szCs w:val="19"/>
              </w:rPr>
              <w:t xml:space="preserve">Each record SHALL be emitted as one HEC envelope containing host, source, sourcetype, time and event.</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FR-10</w:t>
            </w:r>
          </w:p>
        </w:tc>
        <w:tc>
          <w:tcPr>
            <w:tcW w:type="dxa" w:w="6726"/>
            <w:tcMar>
              <w:top w:type="dxa" w:w="60"/>
              <w:left w:type="dxa" w:w="100"/>
              <w:bottom w:type="dxa" w:w="60"/>
              <w:right w:type="dxa" w:w="100"/>
            </w:tcMar>
          </w:tcPr>
          <w:p>
            <w:pPr>
              <w:spacing w:after="0" w:line="250"/>
            </w:pPr>
            <w:r>
              <w:rPr>
                <w:sz w:val="19"/>
                <w:szCs w:val="19"/>
              </w:rPr>
              <w:t xml:space="preserve">The HEC time field SHALL be derived from the record's own timestamp field, tolerating values with or without a timezone designator.</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FR-11</w:t>
            </w:r>
          </w:p>
        </w:tc>
        <w:tc>
          <w:tcPr>
            <w:tcW w:type="dxa" w:w="6726"/>
            <w:tcMar>
              <w:top w:type="dxa" w:w="60"/>
              <w:left w:type="dxa" w:w="100"/>
              <w:bottom w:type="dxa" w:w="60"/>
              <w:right w:type="dxa" w:w="100"/>
            </w:tcMar>
          </w:tcPr>
          <w:p>
            <w:pPr>
              <w:spacing w:after="0" w:line="250"/>
            </w:pPr>
            <w:r>
              <w:rPr>
                <w:sz w:val="19"/>
                <w:szCs w:val="19"/>
              </w:rPr>
              <w:t xml:space="preserve">The high-water SHALL be advanced only after the extraction loop completes successfully.</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FR-12</w:t>
            </w:r>
          </w:p>
        </w:tc>
        <w:tc>
          <w:tcPr>
            <w:tcW w:type="dxa" w:w="6726"/>
            <w:tcMar>
              <w:top w:type="dxa" w:w="60"/>
              <w:left w:type="dxa" w:w="100"/>
              <w:bottom w:type="dxa" w:w="60"/>
              <w:right w:type="dxa" w:w="100"/>
            </w:tcMar>
          </w:tcPr>
          <w:p>
            <w:pPr>
              <w:spacing w:after="0" w:line="250"/>
            </w:pPr>
            <w:r>
              <w:rPr>
                <w:sz w:val="19"/>
                <w:szCs w:val="19"/>
              </w:rPr>
              <w:t xml:space="preserve">On any error the interface SHALL return HTTP 500 with a JSON error body and SHALL NOT advance the high-water.</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FR-13</w:t>
            </w:r>
          </w:p>
        </w:tc>
        <w:tc>
          <w:tcPr>
            <w:tcW w:type="dxa" w:w="6726"/>
            <w:tcMar>
              <w:top w:type="dxa" w:w="60"/>
              <w:left w:type="dxa" w:w="100"/>
              <w:bottom w:type="dxa" w:w="60"/>
              <w:right w:type="dxa" w:w="100"/>
            </w:tcMar>
          </w:tcPr>
          <w:p>
            <w:pPr>
              <w:spacing w:after="0" w:line="250"/>
            </w:pPr>
            <w:r>
              <w:rPr>
                <w:sz w:val="19"/>
                <w:szCs w:val="19"/>
              </w:rPr>
              <w:t xml:space="preserve">The response SHALL carry window and status metadata as X- headers (section 8.2).</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FR-14</w:t>
            </w:r>
          </w:p>
        </w:tc>
        <w:tc>
          <w:tcPr>
            <w:tcW w:type="dxa" w:w="6726"/>
            <w:tcMar>
              <w:top w:type="dxa" w:w="60"/>
              <w:left w:type="dxa" w:w="100"/>
              <w:bottom w:type="dxa" w:w="60"/>
              <w:right w:type="dxa" w:w="100"/>
            </w:tcMar>
          </w:tcPr>
          <w:p>
            <w:pPr>
              <w:spacing w:after="0" w:line="250"/>
            </w:pPr>
            <w:r>
              <w:rPr>
                <w:sz w:val="19"/>
                <w:szCs w:val="19"/>
              </w:rPr>
              <w:t xml:space="preserve">An empty window SHALL return successfully with a zero count and no events.</w:t>
            </w:r>
          </w:p>
        </w:tc>
        <w:tc>
          <w:tcPr>
            <w:tcW w:type="dxa" w:w="1250"/>
            <w:tcMar>
              <w:top w:type="dxa" w:w="60"/>
              <w:left w:type="dxa" w:w="100"/>
              <w:bottom w:type="dxa" w:w="60"/>
              <w:right w:type="dxa" w:w="100"/>
            </w:tcMar>
          </w:tcPr>
          <w:p>
            <w:pPr>
              <w:spacing w:after="0" w:line="250"/>
            </w:pPr>
            <w:r>
              <w:rPr>
                <w:sz w:val="19"/>
                <w:szCs w:val="19"/>
              </w:rPr>
              <w:t xml:space="preserve">Must</w:t>
            </w:r>
          </w:p>
        </w:tc>
      </w:tr>
      <w:tr>
        <w:tc>
          <w:tcPr>
            <w:tcW w:type="dxa" w:w="1050"/>
            <w:tcMar>
              <w:top w:type="dxa" w:w="60"/>
              <w:left w:type="dxa" w:w="100"/>
              <w:bottom w:type="dxa" w:w="60"/>
              <w:right w:type="dxa" w:w="100"/>
            </w:tcMar>
          </w:tcPr>
          <w:p>
            <w:pPr>
              <w:spacing w:after="0" w:line="250"/>
            </w:pPr>
            <w:r>
              <w:rPr>
                <w:sz w:val="19"/>
                <w:szCs w:val="19"/>
              </w:rPr>
              <w:t xml:space="preserve">FR-15</w:t>
            </w:r>
          </w:p>
        </w:tc>
        <w:tc>
          <w:tcPr>
            <w:tcW w:type="dxa" w:w="6726"/>
            <w:tcMar>
              <w:top w:type="dxa" w:w="60"/>
              <w:left w:type="dxa" w:w="100"/>
              <w:bottom w:type="dxa" w:w="60"/>
              <w:right w:type="dxa" w:w="100"/>
            </w:tcMar>
          </w:tcPr>
          <w:p>
            <w:pPr>
              <w:spacing w:after="0" w:line="250"/>
            </w:pPr>
            <w:r>
              <w:rPr>
                <w:sz w:val="19"/>
                <w:szCs w:val="19"/>
              </w:rPr>
              <w:t xml:space="preserve">Records whose timestamp cannot be parsed SHALL still be emitted, with the omission counted and visible in MPL.</w:t>
            </w:r>
          </w:p>
        </w:tc>
        <w:tc>
          <w:tcPr>
            <w:tcW w:type="dxa" w:w="1250"/>
            <w:tcMar>
              <w:top w:type="dxa" w:w="60"/>
              <w:left w:type="dxa" w:w="100"/>
              <w:bottom w:type="dxa" w:w="60"/>
              <w:right w:type="dxa" w:w="100"/>
            </w:tcMar>
          </w:tcPr>
          <w:p>
            <w:pPr>
              <w:spacing w:after="0" w:line="250"/>
            </w:pPr>
            <w:r>
              <w:rPr>
                <w:sz w:val="19"/>
                <w:szCs w:val="19"/>
              </w:rPr>
              <w:t xml:space="preserve">Should</w:t>
            </w:r>
          </w:p>
        </w:tc>
      </w:tr>
    </w:tbl>
    <w:p>
      <w:r>
        <w:br w:type="page"/>
      </w:r>
    </w:p>
    <w:p>
      <w:pPr>
        <w:pStyle w:val="Heading1"/>
        <w:spacing w:after="140" w:before="320"/>
      </w:pPr>
      <w:r>
        <w:t xml:space="preserve">6. Delta and High-Water Logic</w:t>
      </w:r>
    </w:p>
    <w:p>
      <w:pPr>
        <w:pStyle w:val="Heading2"/>
        <w:spacing w:after="140" w:before="240"/>
      </w:pPr>
      <w:r>
        <w:t xml:space="preserve">6.1 Window definition</w:t>
      </w:r>
    </w:p>
    <w:p>
      <w:pPr>
        <w:spacing w:after="120" w:line="276"/>
      </w:pPr>
      <w:r>
        <w:rPr>
          <w:sz w:val="21"/>
          <w:szCs w:val="21"/>
        </w:rPr>
        <w:t xml:space="preserve">runStartTime is captured once per invocation (UTC, second precision) and serves as both the query upper bound and the next high-water value. Bounding the upper end prevents a race with events arriving mid-run.</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&lt;tsField&gt; gt &lt;windowFrom&gt;  AND  &lt;tsField&gt; le &lt;runStartTime&gt;</w:t>
      </w:r>
    </w:p>
    <w:p>
      <w:pPr>
        <w:pStyle w:val="Heading2"/>
        <w:spacing w:after="140" w:before="240"/>
      </w:pPr>
      <w:r>
        <w:t xml:space="preserve">6.2 First run</w:t>
      </w:r>
    </w:p>
    <w:p>
      <w:pPr>
        <w:spacing w:after="120" w:line="276"/>
      </w:pPr>
      <w:r>
        <w:rPr>
          <w:sz w:val="21"/>
          <w:szCs w:val="21"/>
        </w:rPr>
        <w:t xml:space="preserve">The Data Store Get is configured with stopOnMissingEntry = false, so the first invocation returns an empty body rather than failing. resolveWindow.groovy detects the empty value and bootstraps:</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windowFrom = now - defaultLookbackMinutes   (default 15 minutes)</w:t>
      </w:r>
    </w:p>
    <w:p>
      <w:pPr>
        <w:spacing w:after="120" w:line="276"/>
      </w:pPr>
      <w:r>
        <w:rPr>
          <w:i/>
          <w:iCs/>
          <w:sz w:val="21"/>
          <w:szCs w:val="21"/>
        </w:rPr>
        <w:t xml:space="preserve">This prevents an unbounded initial extraction. The response reports X-First-Run: true.</w:t>
      </w:r>
    </w:p>
    <w:p>
      <w:pPr>
        <w:pStyle w:val="Heading2"/>
        <w:spacing w:after="140" w:before="240"/>
      </w:pPr>
      <w:r>
        <w:t xml:space="preserve">6.3 Long-gap handling (out-of-memory guard)</w:t>
      </w:r>
    </w:p>
    <w:p>
      <w:pPr>
        <w:spacing w:after="120" w:line="276"/>
      </w:pPr>
      <w:r>
        <w:rPr>
          <w:sz w:val="21"/>
          <w:szCs w:val="21"/>
        </w:rPr>
        <w:t xml:space="preserve">Because the reply model buffers the entire window in memory, an interface that has not run for several hours must not attempt to return the whole backlog in one response. The window span is therefore capped:</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runStartTime = min( now , windowFrom + maxWindowMinutes )   (default 60 minutes)</w:t>
      </w:r>
    </w:p>
    <w:p>
      <w:pPr>
        <w:spacing w:after="120" w:line="276"/>
      </w:pPr>
      <w:r>
        <w:rPr>
          <w:sz w:val="21"/>
          <w:szCs w:val="21"/>
        </w:rPr>
        <w:t xml:space="preserve">Behaviour when the cap engages:</w:t>
      </w:r>
    </w:p>
    <w:p>
      <w:pPr>
        <w:pStyle w:val="ListParagraph"/>
        <w:numPr>
          <w:ilvl w:val="0"/>
          <w:numId w:val="2"/>
        </w:numPr>
        <w:spacing w:after="70" w:line="276"/>
      </w:pPr>
      <w:r>
        <w:rPr>
          <w:sz w:val="21"/>
          <w:szCs w:val="21"/>
        </w:rPr>
        <w:t xml:space="preserve">At most maxWindowMinutes of data is extracted and buffered in that invocation.</w:t>
      </w:r>
    </w:p>
    <w:p>
      <w:pPr>
        <w:pStyle w:val="ListParagraph"/>
        <w:numPr>
          <w:ilvl w:val="0"/>
          <w:numId w:val="2"/>
        </w:numPr>
        <w:spacing w:after="70" w:line="276"/>
      </w:pPr>
      <w:r>
        <w:rPr>
          <w:sz w:val="21"/>
          <w:szCs w:val="21"/>
        </w:rPr>
        <w:t xml:space="preserve">The high-water is advanced to the capped upper bound and persisted, so the next call resumes exactly where this one stopped.</w:t>
      </w:r>
    </w:p>
    <w:p>
      <w:pPr>
        <w:pStyle w:val="ListParagraph"/>
        <w:numPr>
          <w:ilvl w:val="0"/>
          <w:numId w:val="2"/>
        </w:numPr>
        <w:spacing w:after="70" w:line="276"/>
      </w:pPr>
      <w:r>
        <w:rPr>
          <w:sz w:val="21"/>
          <w:szCs w:val="21"/>
        </w:rPr>
        <w:t xml:space="preserve">The response returns X-Caught-Up: false and X-Truncated: true.</w:t>
      </w:r>
    </w:p>
    <w:p>
      <w:pPr>
        <w:pStyle w:val="ListParagraph"/>
        <w:numPr>
          <w:ilvl w:val="0"/>
          <w:numId w:val="2"/>
        </w:numPr>
        <w:spacing w:after="70" w:line="276"/>
      </w:pPr>
      <w:r>
        <w:rPr>
          <w:sz w:val="21"/>
          <w:szCs w:val="21"/>
        </w:rPr>
        <w:t xml:space="preserve">The consumer re-invokes immediately, repeatedly, until X-Caught-Up: true.</w:t>
      </w:r>
    </w:p>
    <w:p>
      <w:pPr>
        <w:spacing w:after="120" w:line="276"/>
      </w:pPr>
      <w:r>
        <w:rPr>
          <w:i/>
          <w:iCs/>
          <w:sz w:val="21"/>
          <w:szCs w:val="21"/>
        </w:rPr>
        <w:t xml:space="preserve">Worked example: a five-hour outage drains in approximately five successive bounded calls of one hour each. No single invocation ever holds five hours of data in memory.</w:t>
      </w:r>
    </w:p>
    <w:p>
      <w:pPr>
        <w:pStyle w:val="Heading2"/>
        <w:spacing w:after="140" w:before="240"/>
      </w:pPr>
      <w:r>
        <w:t xml:space="preserve">6.4 Tunable parameters</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600"/>
        <w:gridCol w:w="1500"/>
        <w:gridCol w:w="4926"/>
      </w:tblGrid>
      <w:tr>
        <w:trPr>
          <w:tblHeader/>
        </w:trPr>
        <w:tc>
          <w:tcPr>
            <w:tcW w:type="dxa" w:w="2600"/>
            <w:shd w:fill="D9E2F3" w:color="auto" w:val="clear"/>
            <w:tcMar>
              <w:top w:type="dxa" w:w="60"/>
              <w:left w:type="dxa" w:w="100"/>
              <w:bottom w:type="dxa" w:w="60"/>
              <w:right w:type="dxa" w:w="100"/>
            </w:tcMar>
          </w:tcPr>
          <w:p>
            <w:pPr>
              <w:spacing w:after="0" w:line="250"/>
            </w:pPr>
            <w:r>
              <w:rPr>
                <w:b/>
                <w:bCs/>
                <w:sz w:val="19"/>
                <w:szCs w:val="19"/>
              </w:rPr>
              <w:t xml:space="preserve">Exchange property</w:t>
            </w:r>
          </w:p>
        </w:tc>
        <w:tc>
          <w:tcPr>
            <w:tcW w:type="dxa" w:w="1500"/>
            <w:shd w:fill="D9E2F3" w:color="auto" w:val="clear"/>
            <w:tcMar>
              <w:top w:type="dxa" w:w="60"/>
              <w:left w:type="dxa" w:w="100"/>
              <w:bottom w:type="dxa" w:w="60"/>
              <w:right w:type="dxa" w:w="100"/>
            </w:tcMar>
          </w:tcPr>
          <w:p>
            <w:pPr>
              <w:spacing w:after="0" w:line="250"/>
            </w:pPr>
            <w:r>
              <w:rPr>
                <w:b/>
                <w:bCs/>
                <w:sz w:val="19"/>
                <w:szCs w:val="19"/>
              </w:rPr>
              <w:t xml:space="preserve">Default</w:t>
            </w:r>
          </w:p>
        </w:tc>
        <w:tc>
          <w:tcPr>
            <w:tcW w:type="dxa" w:w="4926"/>
            <w:shd w:fill="D9E2F3" w:color="auto" w:val="clear"/>
            <w:tcMar>
              <w:top w:type="dxa" w:w="60"/>
              <w:left w:type="dxa" w:w="100"/>
              <w:bottom w:type="dxa" w:w="60"/>
              <w:right w:type="dxa" w:w="100"/>
            </w:tcMar>
          </w:tcPr>
          <w:p>
            <w:pPr>
              <w:spacing w:after="0" w:line="250"/>
            </w:pPr>
            <w:r>
              <w:rPr>
                <w:b/>
                <w:bCs/>
                <w:sz w:val="19"/>
                <w:szCs w:val="19"/>
              </w:rPr>
              <w:t xml:space="preserve">Purpose</w:t>
            </w:r>
          </w:p>
        </w:tc>
      </w:tr>
      <w:tr>
        <w:tc>
          <w:tcPr>
            <w:tcW w:type="dxa" w:w="2600"/>
            <w:tcMar>
              <w:top w:type="dxa" w:w="60"/>
              <w:left w:type="dxa" w:w="100"/>
              <w:bottom w:type="dxa" w:w="60"/>
              <w:right w:type="dxa" w:w="100"/>
            </w:tcMar>
          </w:tcPr>
          <w:p>
            <w:pPr>
              <w:spacing w:after="0" w:line="250"/>
            </w:pPr>
            <w:r>
              <w:rPr>
                <w:rFonts w:ascii="Consolas" w:cs="Consolas" w:eastAsia="Consolas" w:hAnsi="Consolas"/>
                <w:sz w:val="19"/>
                <w:szCs w:val="19"/>
              </w:rPr>
              <w:t xml:space="preserve">defaultLookbackMinutes</w:t>
            </w:r>
          </w:p>
        </w:tc>
        <w:tc>
          <w:tcPr>
            <w:tcW w:type="dxa" w:w="1500"/>
            <w:tcMar>
              <w:top w:type="dxa" w:w="60"/>
              <w:left w:type="dxa" w:w="100"/>
              <w:bottom w:type="dxa" w:w="60"/>
              <w:right w:type="dxa" w:w="100"/>
            </w:tcMar>
          </w:tcPr>
          <w:p>
            <w:pPr>
              <w:spacing w:after="0" w:line="250"/>
            </w:pPr>
            <w:r>
              <w:rPr>
                <w:sz w:val="19"/>
                <w:szCs w:val="19"/>
              </w:rPr>
              <w:t xml:space="preserve">15</w:t>
            </w:r>
          </w:p>
        </w:tc>
        <w:tc>
          <w:tcPr>
            <w:tcW w:type="dxa" w:w="4926"/>
            <w:tcMar>
              <w:top w:type="dxa" w:w="60"/>
              <w:left w:type="dxa" w:w="100"/>
              <w:bottom w:type="dxa" w:w="60"/>
              <w:right w:type="dxa" w:w="100"/>
            </w:tcMar>
          </w:tcPr>
          <w:p>
            <w:pPr>
              <w:spacing w:after="0" w:line="250"/>
            </w:pPr>
            <w:r>
              <w:rPr>
                <w:sz w:val="19"/>
                <w:szCs w:val="19"/>
              </w:rPr>
              <w:t xml:space="preserve">First-run bootstrap look-back</w:t>
            </w:r>
          </w:p>
        </w:tc>
      </w:tr>
      <w:tr>
        <w:tc>
          <w:tcPr>
            <w:tcW w:type="dxa" w:w="2600"/>
            <w:tcMar>
              <w:top w:type="dxa" w:w="60"/>
              <w:left w:type="dxa" w:w="100"/>
              <w:bottom w:type="dxa" w:w="60"/>
              <w:right w:type="dxa" w:w="100"/>
            </w:tcMar>
          </w:tcPr>
          <w:p>
            <w:pPr>
              <w:spacing w:after="0" w:line="250"/>
            </w:pPr>
            <w:r>
              <w:rPr>
                <w:rFonts w:ascii="Consolas" w:cs="Consolas" w:eastAsia="Consolas" w:hAnsi="Consolas"/>
                <w:sz w:val="19"/>
                <w:szCs w:val="19"/>
              </w:rPr>
              <w:t xml:space="preserve">maxWindowMinutes</w:t>
            </w:r>
          </w:p>
        </w:tc>
        <w:tc>
          <w:tcPr>
            <w:tcW w:type="dxa" w:w="1500"/>
            <w:tcMar>
              <w:top w:type="dxa" w:w="60"/>
              <w:left w:type="dxa" w:w="100"/>
              <w:bottom w:type="dxa" w:w="60"/>
              <w:right w:type="dxa" w:w="100"/>
            </w:tcMar>
          </w:tcPr>
          <w:p>
            <w:pPr>
              <w:spacing w:after="0" w:line="250"/>
            </w:pPr>
            <w:r>
              <w:rPr>
                <w:sz w:val="19"/>
                <w:szCs w:val="19"/>
              </w:rPr>
              <w:t xml:space="preserve">60</w:t>
            </w:r>
          </w:p>
        </w:tc>
        <w:tc>
          <w:tcPr>
            <w:tcW w:type="dxa" w:w="4926"/>
            <w:tcMar>
              <w:top w:type="dxa" w:w="60"/>
              <w:left w:type="dxa" w:w="100"/>
              <w:bottom w:type="dxa" w:w="60"/>
              <w:right w:type="dxa" w:w="100"/>
            </w:tcMar>
          </w:tcPr>
          <w:p>
            <w:pPr>
              <w:spacing w:after="0" w:line="250"/>
            </w:pPr>
            <w:r>
              <w:rPr>
                <w:sz w:val="19"/>
                <w:szCs w:val="19"/>
              </w:rPr>
              <w:t xml:space="preserve">Maximum span extracted per invocation (memory guard)</w:t>
            </w:r>
          </w:p>
        </w:tc>
      </w:tr>
      <w:tr>
        <w:tc>
          <w:tcPr>
            <w:tcW w:type="dxa" w:w="2600"/>
            <w:tcMar>
              <w:top w:type="dxa" w:w="60"/>
              <w:left w:type="dxa" w:w="100"/>
              <w:bottom w:type="dxa" w:w="60"/>
              <w:right w:type="dxa" w:w="100"/>
            </w:tcMar>
          </w:tcPr>
          <w:p>
            <w:pPr>
              <w:spacing w:after="0" w:line="250"/>
            </w:pPr>
            <w:r>
              <w:rPr>
                <w:rFonts w:ascii="Consolas" w:cs="Consolas" w:eastAsia="Consolas" w:hAnsi="Consolas"/>
                <w:sz w:val="19"/>
                <w:szCs w:val="19"/>
              </w:rPr>
              <w:t xml:space="preserve">tsField</w:t>
            </w:r>
          </w:p>
        </w:tc>
        <w:tc>
          <w:tcPr>
            <w:tcW w:type="dxa" w:w="1500"/>
            <w:tcMar>
              <w:top w:type="dxa" w:w="60"/>
              <w:left w:type="dxa" w:w="100"/>
              <w:bottom w:type="dxa" w:w="60"/>
              <w:right w:type="dxa" w:w="100"/>
            </w:tcMar>
          </w:tcPr>
          <w:p>
            <w:pPr>
              <w:spacing w:after="0" w:line="250"/>
            </w:pPr>
            <w:r>
              <w:rPr>
                <w:sz w:val="19"/>
                <w:szCs w:val="19"/>
              </w:rPr>
              <w:t xml:space="preserve">per flow</w:t>
            </w:r>
          </w:p>
        </w:tc>
        <w:tc>
          <w:tcPr>
            <w:tcW w:type="dxa" w:w="4926"/>
            <w:tcMar>
              <w:top w:type="dxa" w:w="60"/>
              <w:left w:type="dxa" w:w="100"/>
              <w:bottom w:type="dxa" w:w="60"/>
              <w:right w:type="dxa" w:w="100"/>
            </w:tcMar>
          </w:tcPr>
          <w:p>
            <w:pPr>
              <w:spacing w:after="0" w:line="250"/>
            </w:pPr>
            <w:r>
              <w:rPr>
                <w:sz w:val="19"/>
                <w:szCs w:val="19"/>
              </w:rPr>
              <w:t xml:space="preserve">Timestamp property name used for filter and HEC time</w:t>
            </w:r>
          </w:p>
        </w:tc>
      </w:tr>
      <w:tr>
        <w:tc>
          <w:tcPr>
            <w:tcW w:type="dxa" w:w="2600"/>
            <w:tcMar>
              <w:top w:type="dxa" w:w="60"/>
              <w:left w:type="dxa" w:w="100"/>
              <w:bottom w:type="dxa" w:w="60"/>
              <w:right w:type="dxa" w:w="100"/>
            </w:tcMar>
          </w:tcPr>
          <w:p>
            <w:pPr>
              <w:spacing w:after="0" w:line="250"/>
            </w:pPr>
            <w:r>
              <w:rPr>
                <w:rFonts w:ascii="Consolas" w:cs="Consolas" w:eastAsia="Consolas" w:hAnsi="Consolas"/>
                <w:sz w:val="19"/>
                <w:szCs w:val="19"/>
              </w:rPr>
              <w:t xml:space="preserve">splunkSourcetype</w:t>
            </w:r>
          </w:p>
        </w:tc>
        <w:tc>
          <w:tcPr>
            <w:tcW w:type="dxa" w:w="1500"/>
            <w:tcMar>
              <w:top w:type="dxa" w:w="60"/>
              <w:left w:type="dxa" w:w="100"/>
              <w:bottom w:type="dxa" w:w="60"/>
              <w:right w:type="dxa" w:w="100"/>
            </w:tcMar>
          </w:tcPr>
          <w:p>
            <w:pPr>
              <w:spacing w:after="0" w:line="250"/>
            </w:pPr>
            <w:r>
              <w:rPr>
                <w:sz w:val="19"/>
                <w:szCs w:val="19"/>
              </w:rPr>
              <w:t xml:space="preserve">per flow</w:t>
            </w:r>
          </w:p>
        </w:tc>
        <w:tc>
          <w:tcPr>
            <w:tcW w:type="dxa" w:w="4926"/>
            <w:tcMar>
              <w:top w:type="dxa" w:w="60"/>
              <w:left w:type="dxa" w:w="100"/>
              <w:bottom w:type="dxa" w:w="60"/>
              <w:right w:type="dxa" w:w="100"/>
            </w:tcMar>
          </w:tcPr>
          <w:p>
            <w:pPr>
              <w:spacing w:after="0" w:line="250"/>
            </w:pPr>
            <w:r>
              <w:rPr>
                <w:sz w:val="19"/>
                <w:szCs w:val="19"/>
              </w:rPr>
              <w:t xml:space="preserve">Value written to the HEC sourcetype field</w:t>
            </w:r>
          </w:p>
        </w:tc>
      </w:tr>
      <w:tr>
        <w:tc>
          <w:tcPr>
            <w:tcW w:type="dxa" w:w="2600"/>
            <w:tcMar>
              <w:top w:type="dxa" w:w="60"/>
              <w:left w:type="dxa" w:w="100"/>
              <w:bottom w:type="dxa" w:w="60"/>
              <w:right w:type="dxa" w:w="100"/>
            </w:tcMar>
          </w:tcPr>
          <w:p>
            <w:pPr>
              <w:spacing w:after="0" w:line="250"/>
            </w:pPr>
            <w:r>
              <w:rPr>
                <w:rFonts w:ascii="Consolas" w:cs="Consolas" w:eastAsia="Consolas" w:hAnsi="Consolas"/>
                <w:sz w:val="19"/>
                <w:szCs w:val="19"/>
              </w:rPr>
              <w:t xml:space="preserve">splunkSource</w:t>
            </w:r>
          </w:p>
        </w:tc>
        <w:tc>
          <w:tcPr>
            <w:tcW w:type="dxa" w:w="1500"/>
            <w:tcMar>
              <w:top w:type="dxa" w:w="60"/>
              <w:left w:type="dxa" w:w="100"/>
              <w:bottom w:type="dxa" w:w="60"/>
              <w:right w:type="dxa" w:w="100"/>
            </w:tcMar>
          </w:tcPr>
          <w:p>
            <w:pPr>
              <w:spacing w:after="0" w:line="250"/>
            </w:pPr>
            <w:r>
              <w:rPr>
                <w:sz w:val="19"/>
                <w:szCs w:val="19"/>
              </w:rPr>
              <w:t xml:space="preserve">per flow</w:t>
            </w:r>
          </w:p>
        </w:tc>
        <w:tc>
          <w:tcPr>
            <w:tcW w:type="dxa" w:w="4926"/>
            <w:tcMar>
              <w:top w:type="dxa" w:w="60"/>
              <w:left w:type="dxa" w:w="100"/>
              <w:bottom w:type="dxa" w:w="60"/>
              <w:right w:type="dxa" w:w="100"/>
            </w:tcMar>
          </w:tcPr>
          <w:p>
            <w:pPr>
              <w:spacing w:after="0" w:line="250"/>
            </w:pPr>
            <w:r>
              <w:rPr>
                <w:sz w:val="19"/>
                <w:szCs w:val="19"/>
              </w:rPr>
              <w:t xml:space="preserve">Value written to the HEC source field</w:t>
            </w:r>
          </w:p>
        </w:tc>
      </w:tr>
      <w:tr>
        <w:tc>
          <w:tcPr>
            <w:tcW w:type="dxa" w:w="2600"/>
            <w:tcMar>
              <w:top w:type="dxa" w:w="60"/>
              <w:left w:type="dxa" w:w="100"/>
              <w:bottom w:type="dxa" w:w="60"/>
              <w:right w:type="dxa" w:w="100"/>
            </w:tcMar>
          </w:tcPr>
          <w:p>
            <w:pPr>
              <w:spacing w:after="0" w:line="250"/>
            </w:pPr>
            <w:r>
              <w:rPr>
                <w:rFonts w:ascii="Consolas" w:cs="Consolas" w:eastAsia="Consolas" w:hAnsi="Consolas"/>
                <w:sz w:val="19"/>
                <w:szCs w:val="19"/>
              </w:rPr>
              <w:t xml:space="preserve">s4System</w:t>
            </w:r>
          </w:p>
        </w:tc>
        <w:tc>
          <w:tcPr>
            <w:tcW w:type="dxa" w:w="1500"/>
            <w:tcMar>
              <w:top w:type="dxa" w:w="60"/>
              <w:left w:type="dxa" w:w="100"/>
              <w:bottom w:type="dxa" w:w="60"/>
              <w:right w:type="dxa" w:w="100"/>
            </w:tcMar>
          </w:tcPr>
          <w:p>
            <w:pPr>
              <w:spacing w:after="0" w:line="250"/>
            </w:pPr>
            <w:r>
              <w:rPr>
                <w:sz w:val="19"/>
                <w:szCs w:val="19"/>
              </w:rPr>
              <w:t xml:space="preserve">s4hana-cloud</w:t>
            </w:r>
          </w:p>
        </w:tc>
        <w:tc>
          <w:tcPr>
            <w:tcW w:type="dxa" w:w="4926"/>
            <w:tcMar>
              <w:top w:type="dxa" w:w="60"/>
              <w:left w:type="dxa" w:w="100"/>
              <w:bottom w:type="dxa" w:w="60"/>
              <w:right w:type="dxa" w:w="100"/>
            </w:tcMar>
          </w:tcPr>
          <w:p>
            <w:pPr>
              <w:spacing w:after="0" w:line="250"/>
            </w:pPr>
            <w:r>
              <w:rPr>
                <w:sz w:val="19"/>
                <w:szCs w:val="19"/>
              </w:rPr>
              <w:t xml:space="preserve">Value written to the HEC host field</w:t>
            </w:r>
          </w:p>
        </w:tc>
      </w:tr>
    </w:tbl>
    <w:p>
      <w:pPr>
        <w:spacing w:after="120" w:line="276"/>
      </w:pPr>
      <w:r>
        <w:rPr>
          <w:i/>
          <w:iCs/>
          <w:sz w:val="21"/>
          <w:szCs w:val="21"/>
        </w:rPr>
        <w:t xml:space="preserve">Lower maxWindowMinutes for high-volume log types (Read Access Log in particular) if MPL memory pressure is observed.</w:t>
      </w:r>
    </w:p>
    <w:p>
      <w:r>
        <w:br w:type="page"/>
      </w:r>
    </w:p>
    <w:p>
      <w:pPr>
        <w:pStyle w:val="Heading1"/>
        <w:spacing w:after="140" w:before="320"/>
      </w:pPr>
      <w:r>
        <w:t xml:space="preserve">7. Pagination</w:t>
      </w:r>
    </w:p>
    <w:p>
      <w:pPr>
        <w:spacing w:after="120" w:line="276"/>
      </w:pPr>
      <w:r>
        <w:rPr>
          <w:sz w:val="21"/>
          <w:szCs w:val="21"/>
        </w:rPr>
        <w:t xml:space="preserve">Pagination uses the OData adapter's native paging ("Process in Pages"), driven by a Looping Process Call over a Local Integration Process. Each iteration retrieves one page, converts it, maps it and appends it to the accumulator.</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600"/>
        <w:gridCol w:w="6426"/>
      </w:tblGrid>
      <w:tr>
        <w:tc>
          <w:tcPr>
            <w:tcW w:type="dxa" w:w="2600"/>
            <w:tcMar>
              <w:top w:type="dxa" w:w="60"/>
              <w:left w:type="dxa" w:w="100"/>
              <w:bottom w:type="dxa" w:w="60"/>
              <w:right w:type="dxa" w:w="100"/>
            </w:tcMar>
          </w:tcPr>
          <w:p>
            <w:pPr>
              <w:spacing w:after="0" w:line="250"/>
            </w:pPr>
            <w:r>
              <w:rPr>
                <w:b/>
                <w:bCs/>
                <w:sz w:val="19"/>
                <w:szCs w:val="19"/>
              </w:rPr>
              <w:t xml:space="preserve">Loop condition</w:t>
            </w:r>
          </w:p>
        </w:tc>
        <w:tc>
          <w:tcPr>
            <w:tcW w:type="dxa" w:w="6426"/>
            <w:tcMar>
              <w:top w:type="dxa" w:w="60"/>
              <w:left w:type="dxa" w:w="100"/>
              <w:bottom w:type="dxa" w:w="60"/>
              <w:right w:type="dxa" w:w="100"/>
            </w:tcMar>
          </w:tcPr>
          <w:p>
            <w:pPr>
              <w:spacing w:after="0" w:line="250"/>
            </w:pPr>
            <w:r>
              <w:rPr>
                <w:rFonts w:ascii="Consolas" w:cs="Consolas" w:eastAsia="Consolas" w:hAnsi="Consolas"/>
                <w:sz w:val="19"/>
                <w:szCs w:val="19"/>
              </w:rPr>
              <w:t xml:space="preserve">${property.&lt;ReceiverName&gt;.OData.hasMoreRecords} = 'true'</w:t>
            </w:r>
          </w:p>
        </w:tc>
      </w:tr>
      <w:tr>
        <w:tc>
          <w:tcPr>
            <w:tcW w:type="dxa" w:w="2600"/>
            <w:tcMar>
              <w:top w:type="dxa" w:w="60"/>
              <w:left w:type="dxa" w:w="100"/>
              <w:bottom w:type="dxa" w:w="60"/>
              <w:right w:type="dxa" w:w="100"/>
            </w:tcMar>
          </w:tcPr>
          <w:p>
            <w:pPr>
              <w:spacing w:after="0" w:line="250"/>
            </w:pPr>
            <w:r>
              <w:rPr>
                <w:b/>
                <w:bCs/>
                <w:sz w:val="19"/>
                <w:szCs w:val="19"/>
              </w:rPr>
              <w:t xml:space="preserve">Loop maximum</w:t>
            </w:r>
          </w:p>
        </w:tc>
        <w:tc>
          <w:tcPr>
            <w:tcW w:type="dxa" w:w="6426"/>
            <w:tcMar>
              <w:top w:type="dxa" w:w="60"/>
              <w:left w:type="dxa" w:w="100"/>
              <w:bottom w:type="dxa" w:w="60"/>
              <w:right w:type="dxa" w:w="100"/>
            </w:tcMar>
          </w:tcPr>
          <w:p>
            <w:pPr>
              <w:spacing w:after="0" w:line="250"/>
            </w:pPr>
            <w:r>
              <w:rPr>
                <w:rFonts w:ascii="Consolas" w:cs="Consolas" w:eastAsia="Consolas" w:hAnsi="Consolas"/>
                <w:sz w:val="19"/>
                <w:szCs w:val="19"/>
              </w:rPr>
              <w:t xml:space="preserve">10000 iterations (safety ceiling)</w:t>
            </w:r>
          </w:p>
        </w:tc>
      </w:tr>
      <w:tr>
        <w:tc>
          <w:tcPr>
            <w:tcW w:type="dxa" w:w="2600"/>
            <w:tcMar>
              <w:top w:type="dxa" w:w="60"/>
              <w:left w:type="dxa" w:w="100"/>
              <w:bottom w:type="dxa" w:w="60"/>
              <w:right w:type="dxa" w:w="100"/>
            </w:tcMar>
          </w:tcPr>
          <w:p>
            <w:pPr>
              <w:spacing w:after="0" w:line="250"/>
            </w:pPr>
            <w:r>
              <w:rPr>
                <w:b/>
                <w:bCs/>
                <w:sz w:val="19"/>
                <w:szCs w:val="19"/>
              </w:rPr>
              <w:t xml:space="preserve">V4 page size</w:t>
            </w:r>
          </w:p>
        </w:tc>
        <w:tc>
          <w:tcPr>
            <w:tcW w:type="dxa" w:w="6426"/>
            <w:tcMar>
              <w:top w:type="dxa" w:w="60"/>
              <w:left w:type="dxa" w:w="100"/>
              <w:bottom w:type="dxa" w:w="60"/>
              <w:right w:type="dxa" w:w="100"/>
            </w:tcMar>
          </w:tcPr>
          <w:p>
            <w:pPr>
              <w:spacing w:after="0" w:line="250"/>
            </w:pPr>
            <w:r>
              <w:rPr>
                <w:rFonts w:ascii="Consolas" w:cs="Consolas" w:eastAsia="Consolas" w:hAnsi="Consolas"/>
                <w:sz w:val="19"/>
                <w:szCs w:val="19"/>
              </w:rPr>
              <w:t xml:space="preserve">Adapter default</w:t>
            </w:r>
          </w:p>
        </w:tc>
      </w:tr>
      <w:tr>
        <w:tc>
          <w:tcPr>
            <w:tcW w:type="dxa" w:w="2600"/>
            <w:tcMar>
              <w:top w:type="dxa" w:w="60"/>
              <w:left w:type="dxa" w:w="100"/>
              <w:bottom w:type="dxa" w:w="60"/>
              <w:right w:type="dxa" w:w="100"/>
            </w:tcMar>
          </w:tcPr>
          <w:p>
            <w:pPr>
              <w:spacing w:after="0" w:line="250"/>
            </w:pPr>
            <w:r>
              <w:rPr>
                <w:b/>
                <w:bCs/>
                <w:sz w:val="19"/>
                <w:szCs w:val="19"/>
              </w:rPr>
              <w:t xml:space="preserve">V2 page size</w:t>
            </w:r>
          </w:p>
        </w:tc>
        <w:tc>
          <w:tcPr>
            <w:tcW w:type="dxa" w:w="6426"/>
            <w:tcMar>
              <w:top w:type="dxa" w:w="60"/>
              <w:left w:type="dxa" w:w="100"/>
              <w:bottom w:type="dxa" w:w="60"/>
              <w:right w:type="dxa" w:w="100"/>
            </w:tcMar>
          </w:tcPr>
          <w:p>
            <w:pPr>
              <w:spacing w:after="0" w:line="250"/>
            </w:pPr>
            <w:r>
              <w:rPr>
                <w:rFonts w:ascii="Consolas" w:cs="Consolas" w:eastAsia="Consolas" w:hAnsi="Consolas"/>
                <w:sz w:val="19"/>
                <w:szCs w:val="19"/>
              </w:rPr>
              <w:t xml:space="preserve">1000 (odatapagesize)</w:t>
            </w:r>
          </w:p>
        </w:tc>
      </w:tr>
      <w:tr>
        <w:tc>
          <w:tcPr>
            <w:tcW w:type="dxa" w:w="2600"/>
            <w:tcMar>
              <w:top w:type="dxa" w:w="60"/>
              <w:left w:type="dxa" w:w="100"/>
              <w:bottom w:type="dxa" w:w="60"/>
              <w:right w:type="dxa" w:w="100"/>
            </w:tcMar>
          </w:tcPr>
          <w:p>
            <w:pPr>
              <w:spacing w:after="0" w:line="250"/>
            </w:pPr>
            <w:r>
              <w:rPr>
                <w:b/>
                <w:bCs/>
                <w:sz w:val="19"/>
                <w:szCs w:val="19"/>
              </w:rPr>
              <w:t xml:space="preserve">Accumulator</w:t>
            </w:r>
          </w:p>
        </w:tc>
        <w:tc>
          <w:tcPr>
            <w:tcW w:type="dxa" w:w="6426"/>
            <w:tcMar>
              <w:top w:type="dxa" w:w="60"/>
              <w:left w:type="dxa" w:w="100"/>
              <w:bottom w:type="dxa" w:w="60"/>
              <w:right w:type="dxa" w:w="100"/>
            </w:tcMar>
          </w:tcPr>
          <w:p>
            <w:pPr>
              <w:spacing w:after="0" w:line="250"/>
            </w:pPr>
            <w:r>
              <w:rPr>
                <w:rFonts w:ascii="Consolas" w:cs="Consolas" w:eastAsia="Consolas" w:hAnsi="Consolas"/>
                <w:sz w:val="19"/>
                <w:szCs w:val="19"/>
              </w:rPr>
              <w:t xml:space="preserve">Exchange property acc, held as a StringBuilder across iterations</w:t>
            </w:r>
          </w:p>
        </w:tc>
      </w:tr>
    </w:tbl>
    <w:p>
      <w:pPr>
        <w:spacing w:after="120" w:line="276"/>
      </w:pPr>
      <w:r>
        <w:rPr>
          <w:b/>
          <w:bCs/>
          <w:sz w:val="21"/>
          <w:szCs w:val="21"/>
        </w:rPr>
        <w:t xml:space="preserve">Critical configuration constraint</w:t>
      </w:r>
    </w:p>
    <w:p>
      <w:pPr>
        <w:spacing w:after="120" w:line="276"/>
      </w:pPr>
      <w:r>
        <w:rPr>
          <w:sz w:val="21"/>
          <w:szCs w:val="21"/>
        </w:rPr>
        <w:t xml:space="preserve">The receiver participant name and the loop-condition property name MUST match exactly. If they diverge, the property never evaluates to true, the loop terminates after a single page, and the interface silently truncates the extraction while still advancing the high-water — causing permanent data loss. This must be re-verified after any rename of the receiver.</w:t>
      </w:r>
    </w:p>
    <w:p>
      <w:pPr>
        <w:spacing w:after="120" w:line="276"/>
      </w:pPr>
      <w:r>
        <w:rPr>
          <w:i/>
          <w:iCs/>
          <w:sz w:val="21"/>
          <w:szCs w:val="21"/>
        </w:rPr>
        <w:t xml:space="preserve">Likewise, loopMaximum must be large enough for the expected page count. The CPI default of 3 caps an interface at three pages per run.</w:t>
      </w:r>
    </w:p>
    <w:p>
      <w:r>
        <w:br w:type="page"/>
      </w:r>
    </w:p>
    <w:p>
      <w:pPr>
        <w:pStyle w:val="Heading1"/>
        <w:spacing w:after="140" w:before="320"/>
      </w:pPr>
      <w:r>
        <w:t xml:space="preserve">8. Interface Contract</w:t>
      </w:r>
    </w:p>
    <w:p>
      <w:pPr>
        <w:pStyle w:val="Heading2"/>
        <w:spacing w:after="140" w:before="240"/>
      </w:pPr>
      <w:r>
        <w:t xml:space="preserve">8.1 Request</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600"/>
        <w:gridCol w:w="6426"/>
      </w:tblGrid>
      <w:tr>
        <w:tc>
          <w:tcPr>
            <w:tcW w:type="dxa" w:w="2600"/>
            <w:tcMar>
              <w:top w:type="dxa" w:w="60"/>
              <w:left w:type="dxa" w:w="100"/>
              <w:bottom w:type="dxa" w:w="60"/>
              <w:right w:type="dxa" w:w="100"/>
            </w:tcMar>
          </w:tcPr>
          <w:p>
            <w:pPr>
              <w:spacing w:after="0" w:line="250"/>
            </w:pPr>
            <w:r>
              <w:rPr>
                <w:b/>
                <w:bCs/>
                <w:sz w:val="19"/>
                <w:szCs w:val="19"/>
              </w:rPr>
              <w:t xml:space="preserve">Method</w:t>
            </w:r>
          </w:p>
        </w:tc>
        <w:tc>
          <w:tcPr>
            <w:tcW w:type="dxa" w:w="6426"/>
            <w:tcMar>
              <w:top w:type="dxa" w:w="60"/>
              <w:left w:type="dxa" w:w="100"/>
              <w:bottom w:type="dxa" w:w="60"/>
              <w:right w:type="dxa" w:w="100"/>
            </w:tcMar>
          </w:tcPr>
          <w:p>
            <w:pPr>
              <w:spacing w:after="0" w:line="250"/>
            </w:pPr>
            <w:r>
              <w:rPr>
                <w:sz w:val="19"/>
                <w:szCs w:val="19"/>
              </w:rPr>
              <w:t xml:space="preserve">POST (GET also accepted)</w:t>
            </w:r>
          </w:p>
        </w:tc>
      </w:tr>
      <w:tr>
        <w:tc>
          <w:tcPr>
            <w:tcW w:type="dxa" w:w="2600"/>
            <w:tcMar>
              <w:top w:type="dxa" w:w="60"/>
              <w:left w:type="dxa" w:w="100"/>
              <w:bottom w:type="dxa" w:w="60"/>
              <w:right w:type="dxa" w:w="100"/>
            </w:tcMar>
          </w:tcPr>
          <w:p>
            <w:pPr>
              <w:spacing w:after="0" w:line="250"/>
            </w:pPr>
            <w:r>
              <w:rPr>
                <w:b/>
                <w:bCs/>
                <w:sz w:val="19"/>
                <w:szCs w:val="19"/>
              </w:rPr>
              <w:t xml:space="preserve">URL</w:t>
            </w:r>
          </w:p>
        </w:tc>
        <w:tc>
          <w:tcPr>
            <w:tcW w:type="dxa" w:w="6426"/>
            <w:tcMar>
              <w:top w:type="dxa" w:w="60"/>
              <w:left w:type="dxa" w:w="100"/>
              <w:bottom w:type="dxa" w:w="60"/>
              <w:right w:type="dxa" w:w="100"/>
            </w:tcMar>
          </w:tcPr>
          <w:p>
            <w:pPr>
              <w:spacing w:after="0" w:line="250"/>
            </w:pPr>
            <w:r>
              <w:rPr>
                <w:sz w:val="19"/>
                <w:szCs w:val="19"/>
              </w:rPr>
              <w:t xml:space="preserve">https://&lt;cpi-runtime-host&gt;/http&lt;urlPath&gt;</w:t>
            </w:r>
          </w:p>
        </w:tc>
      </w:tr>
      <w:tr>
        <w:tc>
          <w:tcPr>
            <w:tcW w:type="dxa" w:w="2600"/>
            <w:tcMar>
              <w:top w:type="dxa" w:w="60"/>
              <w:left w:type="dxa" w:w="100"/>
              <w:bottom w:type="dxa" w:w="60"/>
              <w:right w:type="dxa" w:w="100"/>
            </w:tcMar>
          </w:tcPr>
          <w:p>
            <w:pPr>
              <w:spacing w:after="0" w:line="250"/>
            </w:pPr>
            <w:r>
              <w:rPr>
                <w:b/>
                <w:bCs/>
                <w:sz w:val="19"/>
                <w:szCs w:val="19"/>
              </w:rPr>
              <w:t xml:space="preserve">Authentication</w:t>
            </w:r>
          </w:p>
        </w:tc>
        <w:tc>
          <w:tcPr>
            <w:tcW w:type="dxa" w:w="6426"/>
            <w:tcMar>
              <w:top w:type="dxa" w:w="60"/>
              <w:left w:type="dxa" w:w="100"/>
              <w:bottom w:type="dxa" w:w="60"/>
              <w:right w:type="dxa" w:w="100"/>
            </w:tcMar>
          </w:tcPr>
          <w:p>
            <w:pPr>
              <w:spacing w:after="0" w:line="250"/>
            </w:pPr>
            <w:r>
              <w:rPr>
                <w:sz w:val="19"/>
                <w:szCs w:val="19"/>
              </w:rPr>
              <w:t xml:space="preserve">Role-based; sender user role (see section 11)</w:t>
            </w:r>
          </w:p>
        </w:tc>
      </w:tr>
      <w:tr>
        <w:tc>
          <w:tcPr>
            <w:tcW w:type="dxa" w:w="2600"/>
            <w:tcMar>
              <w:top w:type="dxa" w:w="60"/>
              <w:left w:type="dxa" w:w="100"/>
              <w:bottom w:type="dxa" w:w="60"/>
              <w:right w:type="dxa" w:w="100"/>
            </w:tcMar>
          </w:tcPr>
          <w:p>
            <w:pPr>
              <w:spacing w:after="0" w:line="250"/>
            </w:pPr>
            <w:r>
              <w:rPr>
                <w:b/>
                <w:bCs/>
                <w:sz w:val="19"/>
                <w:szCs w:val="19"/>
              </w:rPr>
              <w:t xml:space="preserve">CSRF</w:t>
            </w:r>
          </w:p>
        </w:tc>
        <w:tc>
          <w:tcPr>
            <w:tcW w:type="dxa" w:w="6426"/>
            <w:tcMar>
              <w:top w:type="dxa" w:w="60"/>
              <w:left w:type="dxa" w:w="100"/>
              <w:bottom w:type="dxa" w:w="60"/>
              <w:right w:type="dxa" w:w="100"/>
            </w:tcMar>
          </w:tcPr>
          <w:p>
            <w:pPr>
              <w:spacing w:after="0" w:line="250"/>
            </w:pPr>
            <w:r>
              <w:rPr>
                <w:sz w:val="19"/>
                <w:szCs w:val="19"/>
              </w:rPr>
              <w:t xml:space="preserve">Disabled for this endpoint</w:t>
            </w:r>
          </w:p>
        </w:tc>
      </w:tr>
      <w:tr>
        <w:tc>
          <w:tcPr>
            <w:tcW w:type="dxa" w:w="2600"/>
            <w:tcMar>
              <w:top w:type="dxa" w:w="60"/>
              <w:left w:type="dxa" w:w="100"/>
              <w:bottom w:type="dxa" w:w="60"/>
              <w:right w:type="dxa" w:w="100"/>
            </w:tcMar>
          </w:tcPr>
          <w:p>
            <w:pPr>
              <w:spacing w:after="0" w:line="250"/>
            </w:pPr>
            <w:r>
              <w:rPr>
                <w:b/>
                <w:bCs/>
                <w:sz w:val="19"/>
                <w:szCs w:val="19"/>
              </w:rPr>
              <w:t xml:space="preserve">Request body</w:t>
            </w:r>
          </w:p>
        </w:tc>
        <w:tc>
          <w:tcPr>
            <w:tcW w:type="dxa" w:w="6426"/>
            <w:tcMar>
              <w:top w:type="dxa" w:w="60"/>
              <w:left w:type="dxa" w:w="100"/>
              <w:bottom w:type="dxa" w:w="60"/>
              <w:right w:type="dxa" w:w="100"/>
            </w:tcMar>
          </w:tcPr>
          <w:p>
            <w:pPr>
              <w:spacing w:after="0" w:line="250"/>
            </w:pPr>
            <w:r>
              <w:rPr>
                <w:sz w:val="19"/>
                <w:szCs w:val="19"/>
              </w:rPr>
              <w:t xml:space="preserve">Ignored — an empty body is valid</w:t>
            </w:r>
          </w:p>
        </w:tc>
      </w:tr>
    </w:tbl>
    <w:p>
      <w:pPr>
        <w:pStyle w:val="Heading2"/>
        <w:spacing w:after="140" w:before="240"/>
      </w:pPr>
      <w:r>
        <w:t xml:space="preserve">8.2 Response</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600"/>
        <w:gridCol w:w="6426"/>
      </w:tblGrid>
      <w:tr>
        <w:tc>
          <w:tcPr>
            <w:tcW w:type="dxa" w:w="2600"/>
            <w:tcMar>
              <w:top w:type="dxa" w:w="60"/>
              <w:left w:type="dxa" w:w="100"/>
              <w:bottom w:type="dxa" w:w="60"/>
              <w:right w:type="dxa" w:w="100"/>
            </w:tcMar>
          </w:tcPr>
          <w:p>
            <w:pPr>
              <w:spacing w:after="0" w:line="250"/>
            </w:pPr>
            <w:r>
              <w:rPr>
                <w:b/>
                <w:bCs/>
                <w:sz w:val="19"/>
                <w:szCs w:val="19"/>
              </w:rPr>
              <w:t xml:space="preserve">Status 200</w:t>
            </w:r>
          </w:p>
        </w:tc>
        <w:tc>
          <w:tcPr>
            <w:tcW w:type="dxa" w:w="6426"/>
            <w:tcMar>
              <w:top w:type="dxa" w:w="60"/>
              <w:left w:type="dxa" w:w="100"/>
              <w:bottom w:type="dxa" w:w="60"/>
              <w:right w:type="dxa" w:w="100"/>
            </w:tcMar>
          </w:tcPr>
          <w:p>
            <w:pPr>
              <w:spacing w:after="0" w:line="250"/>
            </w:pPr>
            <w:r>
              <w:rPr>
                <w:sz w:val="19"/>
                <w:szCs w:val="19"/>
              </w:rPr>
              <w:t xml:space="preserve">Extraction succeeded; body contains NDJSON events</w:t>
            </w:r>
          </w:p>
        </w:tc>
      </w:tr>
      <w:tr>
        <w:tc>
          <w:tcPr>
            <w:tcW w:type="dxa" w:w="2600"/>
            <w:tcMar>
              <w:top w:type="dxa" w:w="60"/>
              <w:left w:type="dxa" w:w="100"/>
              <w:bottom w:type="dxa" w:w="60"/>
              <w:right w:type="dxa" w:w="100"/>
            </w:tcMar>
          </w:tcPr>
          <w:p>
            <w:pPr>
              <w:spacing w:after="0" w:line="250"/>
            </w:pPr>
            <w:r>
              <w:rPr>
                <w:b/>
                <w:bCs/>
                <w:sz w:val="19"/>
                <w:szCs w:val="19"/>
              </w:rPr>
              <w:t xml:space="preserve">Status 500</w:t>
            </w:r>
          </w:p>
        </w:tc>
        <w:tc>
          <w:tcPr>
            <w:tcW w:type="dxa" w:w="6426"/>
            <w:tcMar>
              <w:top w:type="dxa" w:w="60"/>
              <w:left w:type="dxa" w:w="100"/>
              <w:bottom w:type="dxa" w:w="60"/>
              <w:right w:type="dxa" w:w="100"/>
            </w:tcMar>
          </w:tcPr>
          <w:p>
            <w:pPr>
              <w:spacing w:after="0" w:line="250"/>
            </w:pPr>
            <w:r>
              <w:rPr>
                <w:sz w:val="19"/>
                <w:szCs w:val="19"/>
              </w:rPr>
              <w:t xml:space="preserve">Extraction failed; body contains a JSON error object; high-water unchanged</w:t>
            </w:r>
          </w:p>
        </w:tc>
      </w:tr>
      <w:tr>
        <w:tc>
          <w:tcPr>
            <w:tcW w:type="dxa" w:w="2600"/>
            <w:tcMar>
              <w:top w:type="dxa" w:w="60"/>
              <w:left w:type="dxa" w:w="100"/>
              <w:bottom w:type="dxa" w:w="60"/>
              <w:right w:type="dxa" w:w="100"/>
            </w:tcMar>
          </w:tcPr>
          <w:p>
            <w:pPr>
              <w:spacing w:after="0" w:line="250"/>
            </w:pPr>
            <w:r>
              <w:rPr>
                <w:b/>
                <w:bCs/>
                <w:sz w:val="19"/>
                <w:szCs w:val="19"/>
              </w:rPr>
              <w:t xml:space="preserve">Content-Type</w:t>
            </w:r>
          </w:p>
        </w:tc>
        <w:tc>
          <w:tcPr>
            <w:tcW w:type="dxa" w:w="6426"/>
            <w:tcMar>
              <w:top w:type="dxa" w:w="60"/>
              <w:left w:type="dxa" w:w="100"/>
              <w:bottom w:type="dxa" w:w="60"/>
              <w:right w:type="dxa" w:w="100"/>
            </w:tcMar>
          </w:tcPr>
          <w:p>
            <w:pPr>
              <w:spacing w:after="0" w:line="250"/>
            </w:pPr>
            <w:r>
              <w:rPr>
                <w:sz w:val="19"/>
                <w:szCs w:val="19"/>
              </w:rPr>
              <w:t xml:space="preserve">application/x-ndjson</w:t>
            </w:r>
          </w:p>
        </w:tc>
      </w:tr>
      <w:tr>
        <w:tc>
          <w:tcPr>
            <w:tcW w:type="dxa" w:w="2600"/>
            <w:tcMar>
              <w:top w:type="dxa" w:w="60"/>
              <w:left w:type="dxa" w:w="100"/>
              <w:bottom w:type="dxa" w:w="60"/>
              <w:right w:type="dxa" w:w="100"/>
            </w:tcMar>
          </w:tcPr>
          <w:p>
            <w:pPr>
              <w:spacing w:after="0" w:line="250"/>
            </w:pPr>
            <w:r>
              <w:rPr>
                <w:b/>
                <w:bCs/>
                <w:sz w:val="19"/>
                <w:szCs w:val="19"/>
              </w:rPr>
              <w:t xml:space="preserve">Body</w:t>
            </w:r>
          </w:p>
        </w:tc>
        <w:tc>
          <w:tcPr>
            <w:tcW w:type="dxa" w:w="6426"/>
            <w:tcMar>
              <w:top w:type="dxa" w:w="60"/>
              <w:left w:type="dxa" w:w="100"/>
              <w:bottom w:type="dxa" w:w="60"/>
              <w:right w:type="dxa" w:w="100"/>
            </w:tcMar>
          </w:tcPr>
          <w:p>
            <w:pPr>
              <w:spacing w:after="0" w:line="250"/>
            </w:pPr>
            <w:r>
              <w:rPr>
                <w:sz w:val="19"/>
                <w:szCs w:val="19"/>
              </w:rPr>
              <w:t xml:space="preserve">One HEC envelope per line; empty when the window contained no events</w:t>
            </w:r>
          </w:p>
        </w:tc>
      </w:tr>
    </w:tbl>
    <w:p>
      <w:pPr>
        <w:spacing w:after="160"/>
      </w:pPr>
    </w:p>
    <w:p>
      <w:pPr>
        <w:spacing w:after="120" w:line="276"/>
      </w:pPr>
      <w:r>
        <w:rPr>
          <w:b/>
          <w:bCs/>
          <w:sz w:val="21"/>
          <w:szCs w:val="21"/>
        </w:rPr>
        <w:t xml:space="preserve">Response headers:</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400"/>
        <w:gridCol w:w="6626"/>
      </w:tblGrid>
      <w:tr>
        <w:trPr>
          <w:tblHeader/>
        </w:trPr>
        <w:tc>
          <w:tcPr>
            <w:tcW w:type="dxa" w:w="2400"/>
            <w:shd w:fill="D9E2F3" w:color="auto" w:val="clear"/>
            <w:tcMar>
              <w:top w:type="dxa" w:w="60"/>
              <w:left w:type="dxa" w:w="100"/>
              <w:bottom w:type="dxa" w:w="60"/>
              <w:right w:type="dxa" w:w="100"/>
            </w:tcMar>
          </w:tcPr>
          <w:p>
            <w:pPr>
              <w:spacing w:after="0" w:line="250"/>
            </w:pPr>
            <w:r>
              <w:rPr>
                <w:b/>
                <w:bCs/>
                <w:sz w:val="19"/>
                <w:szCs w:val="19"/>
              </w:rPr>
              <w:t xml:space="preserve">Header</w:t>
            </w:r>
          </w:p>
        </w:tc>
        <w:tc>
          <w:tcPr>
            <w:tcW w:type="dxa" w:w="6626"/>
            <w:shd w:fill="D9E2F3" w:color="auto" w:val="clear"/>
            <w:tcMar>
              <w:top w:type="dxa" w:w="60"/>
              <w:left w:type="dxa" w:w="100"/>
              <w:bottom w:type="dxa" w:w="60"/>
              <w:right w:type="dxa" w:w="100"/>
            </w:tcMar>
          </w:tcPr>
          <w:p>
            <w:pPr>
              <w:spacing w:after="0" w:line="250"/>
            </w:pPr>
            <w:r>
              <w:rPr>
                <w:b/>
                <w:bCs/>
                <w:sz w:val="19"/>
                <w:szCs w:val="19"/>
              </w:rPr>
              <w:t xml:space="preserve">Meaning</w:t>
            </w:r>
          </w:p>
        </w:tc>
      </w:tr>
      <w:tr>
        <w:tc>
          <w:tcPr>
            <w:tcW w:type="dxa" w:w="2400"/>
            <w:tcMar>
              <w:top w:type="dxa" w:w="60"/>
              <w:left w:type="dxa" w:w="100"/>
              <w:bottom w:type="dxa" w:w="60"/>
              <w:right w:type="dxa" w:w="100"/>
            </w:tcMar>
          </w:tcPr>
          <w:p>
            <w:pPr>
              <w:spacing w:after="0" w:line="250"/>
            </w:pPr>
            <w:r>
              <w:rPr>
                <w:rFonts w:ascii="Consolas" w:cs="Consolas" w:eastAsia="Consolas" w:hAnsi="Consolas"/>
                <w:sz w:val="19"/>
                <w:szCs w:val="19"/>
              </w:rPr>
              <w:t xml:space="preserve">X-Total-Count</w:t>
            </w:r>
          </w:p>
        </w:tc>
        <w:tc>
          <w:tcPr>
            <w:tcW w:type="dxa" w:w="6626"/>
            <w:tcMar>
              <w:top w:type="dxa" w:w="60"/>
              <w:left w:type="dxa" w:w="100"/>
              <w:bottom w:type="dxa" w:w="60"/>
              <w:right w:type="dxa" w:w="100"/>
            </w:tcMar>
          </w:tcPr>
          <w:p>
            <w:pPr>
              <w:spacing w:after="0" w:line="250"/>
            </w:pPr>
            <w:r>
              <w:rPr>
                <w:sz w:val="19"/>
                <w:szCs w:val="19"/>
              </w:rPr>
              <w:t xml:space="preserve">Number of events in the response body</w:t>
            </w:r>
          </w:p>
        </w:tc>
      </w:tr>
      <w:tr>
        <w:tc>
          <w:tcPr>
            <w:tcW w:type="dxa" w:w="2400"/>
            <w:tcMar>
              <w:top w:type="dxa" w:w="60"/>
              <w:left w:type="dxa" w:w="100"/>
              <w:bottom w:type="dxa" w:w="60"/>
              <w:right w:type="dxa" w:w="100"/>
            </w:tcMar>
          </w:tcPr>
          <w:p>
            <w:pPr>
              <w:spacing w:after="0" w:line="250"/>
            </w:pPr>
            <w:r>
              <w:rPr>
                <w:rFonts w:ascii="Consolas" w:cs="Consolas" w:eastAsia="Consolas" w:hAnsi="Consolas"/>
                <w:sz w:val="19"/>
                <w:szCs w:val="19"/>
              </w:rPr>
              <w:t xml:space="preserve">X-Window-From</w:t>
            </w:r>
          </w:p>
        </w:tc>
        <w:tc>
          <w:tcPr>
            <w:tcW w:type="dxa" w:w="6626"/>
            <w:tcMar>
              <w:top w:type="dxa" w:w="60"/>
              <w:left w:type="dxa" w:w="100"/>
              <w:bottom w:type="dxa" w:w="60"/>
              <w:right w:type="dxa" w:w="100"/>
            </w:tcMar>
          </w:tcPr>
          <w:p>
            <w:pPr>
              <w:spacing w:after="0" w:line="250"/>
            </w:pPr>
            <w:r>
              <w:rPr>
                <w:sz w:val="19"/>
                <w:szCs w:val="19"/>
              </w:rPr>
              <w:t xml:space="preserve">Exclusive lower bound of the extracted window</w:t>
            </w:r>
          </w:p>
        </w:tc>
      </w:tr>
      <w:tr>
        <w:tc>
          <w:tcPr>
            <w:tcW w:type="dxa" w:w="2400"/>
            <w:tcMar>
              <w:top w:type="dxa" w:w="60"/>
              <w:left w:type="dxa" w:w="100"/>
              <w:bottom w:type="dxa" w:w="60"/>
              <w:right w:type="dxa" w:w="100"/>
            </w:tcMar>
          </w:tcPr>
          <w:p>
            <w:pPr>
              <w:spacing w:after="0" w:line="250"/>
            </w:pPr>
            <w:r>
              <w:rPr>
                <w:rFonts w:ascii="Consolas" w:cs="Consolas" w:eastAsia="Consolas" w:hAnsi="Consolas"/>
                <w:sz w:val="19"/>
                <w:szCs w:val="19"/>
              </w:rPr>
              <w:t xml:space="preserve">X-Window-To</w:t>
            </w:r>
          </w:p>
        </w:tc>
        <w:tc>
          <w:tcPr>
            <w:tcW w:type="dxa" w:w="6626"/>
            <w:tcMar>
              <w:top w:type="dxa" w:w="60"/>
              <w:left w:type="dxa" w:w="100"/>
              <w:bottom w:type="dxa" w:w="60"/>
              <w:right w:type="dxa" w:w="100"/>
            </w:tcMar>
          </w:tcPr>
          <w:p>
            <w:pPr>
              <w:spacing w:after="0" w:line="250"/>
            </w:pPr>
            <w:r>
              <w:rPr>
                <w:sz w:val="19"/>
                <w:szCs w:val="19"/>
              </w:rPr>
              <w:t xml:space="preserve">Inclusive upper bound of the extracted window</w:t>
            </w:r>
          </w:p>
        </w:tc>
      </w:tr>
      <w:tr>
        <w:tc>
          <w:tcPr>
            <w:tcW w:type="dxa" w:w="2400"/>
            <w:tcMar>
              <w:top w:type="dxa" w:w="60"/>
              <w:left w:type="dxa" w:w="100"/>
              <w:bottom w:type="dxa" w:w="60"/>
              <w:right w:type="dxa" w:w="100"/>
            </w:tcMar>
          </w:tcPr>
          <w:p>
            <w:pPr>
              <w:spacing w:after="0" w:line="250"/>
            </w:pPr>
            <w:r>
              <w:rPr>
                <w:rFonts w:ascii="Consolas" w:cs="Consolas" w:eastAsia="Consolas" w:hAnsi="Consolas"/>
                <w:sz w:val="19"/>
                <w:szCs w:val="19"/>
              </w:rPr>
              <w:t xml:space="preserve">X-Next-Since</w:t>
            </w:r>
          </w:p>
        </w:tc>
        <w:tc>
          <w:tcPr>
            <w:tcW w:type="dxa" w:w="6626"/>
            <w:tcMar>
              <w:top w:type="dxa" w:w="60"/>
              <w:left w:type="dxa" w:w="100"/>
              <w:bottom w:type="dxa" w:w="60"/>
              <w:right w:type="dxa" w:w="100"/>
            </w:tcMar>
          </w:tcPr>
          <w:p>
            <w:pPr>
              <w:spacing w:after="0" w:line="250"/>
            </w:pPr>
            <w:r>
              <w:rPr>
                <w:sz w:val="19"/>
                <w:szCs w:val="19"/>
              </w:rPr>
              <w:t xml:space="preserve">New high-water value — the lower bound of the next call</w:t>
            </w:r>
          </w:p>
        </w:tc>
      </w:tr>
      <w:tr>
        <w:tc>
          <w:tcPr>
            <w:tcW w:type="dxa" w:w="2400"/>
            <w:tcMar>
              <w:top w:type="dxa" w:w="60"/>
              <w:left w:type="dxa" w:w="100"/>
              <w:bottom w:type="dxa" w:w="60"/>
              <w:right w:type="dxa" w:w="100"/>
            </w:tcMar>
          </w:tcPr>
          <w:p>
            <w:pPr>
              <w:spacing w:after="0" w:line="250"/>
            </w:pPr>
            <w:r>
              <w:rPr>
                <w:rFonts w:ascii="Consolas" w:cs="Consolas" w:eastAsia="Consolas" w:hAnsi="Consolas"/>
                <w:sz w:val="19"/>
                <w:szCs w:val="19"/>
              </w:rPr>
              <w:t xml:space="preserve">X-Caught-Up</w:t>
            </w:r>
          </w:p>
        </w:tc>
        <w:tc>
          <w:tcPr>
            <w:tcW w:type="dxa" w:w="6626"/>
            <w:tcMar>
              <w:top w:type="dxa" w:w="60"/>
              <w:left w:type="dxa" w:w="100"/>
              <w:bottom w:type="dxa" w:w="60"/>
              <w:right w:type="dxa" w:w="100"/>
            </w:tcMar>
          </w:tcPr>
          <w:p>
            <w:pPr>
              <w:spacing w:after="0" w:line="250"/>
            </w:pPr>
            <w:r>
              <w:rPr>
                <w:sz w:val="19"/>
                <w:szCs w:val="19"/>
              </w:rPr>
              <w:t xml:space="preserve">false when a backlog remains; the consumer should call again immediately</w:t>
            </w:r>
          </w:p>
        </w:tc>
      </w:tr>
      <w:tr>
        <w:tc>
          <w:tcPr>
            <w:tcW w:type="dxa" w:w="2400"/>
            <w:tcMar>
              <w:top w:type="dxa" w:w="60"/>
              <w:left w:type="dxa" w:w="100"/>
              <w:bottom w:type="dxa" w:w="60"/>
              <w:right w:type="dxa" w:w="100"/>
            </w:tcMar>
          </w:tcPr>
          <w:p>
            <w:pPr>
              <w:spacing w:after="0" w:line="250"/>
            </w:pPr>
            <w:r>
              <w:rPr>
                <w:rFonts w:ascii="Consolas" w:cs="Consolas" w:eastAsia="Consolas" w:hAnsi="Consolas"/>
                <w:sz w:val="19"/>
                <w:szCs w:val="19"/>
              </w:rPr>
              <w:t xml:space="preserve">X-First-Run</w:t>
            </w:r>
          </w:p>
        </w:tc>
        <w:tc>
          <w:tcPr>
            <w:tcW w:type="dxa" w:w="6626"/>
            <w:tcMar>
              <w:top w:type="dxa" w:w="60"/>
              <w:left w:type="dxa" w:w="100"/>
              <w:bottom w:type="dxa" w:w="60"/>
              <w:right w:type="dxa" w:w="100"/>
            </w:tcMar>
          </w:tcPr>
          <w:p>
            <w:pPr>
              <w:spacing w:after="0" w:line="250"/>
            </w:pPr>
            <w:r>
              <w:rPr>
                <w:sz w:val="19"/>
                <w:szCs w:val="19"/>
              </w:rPr>
              <w:t xml:space="preserve">true when this invocation bootstrapped the high-water</w:t>
            </w:r>
          </w:p>
        </w:tc>
      </w:tr>
    </w:tbl>
    <w:p>
      <w:pPr>
        <w:pStyle w:val="Heading2"/>
        <w:spacing w:after="140" w:before="240"/>
      </w:pPr>
      <w:r>
        <w:t xml:space="preserve">8.3 Event envelope</w:t>
      </w:r>
    </w:p>
    <w:p>
      <w:pPr>
        <w:spacing w:after="120" w:line="276"/>
      </w:pPr>
      <w:r>
        <w:rPr>
          <w:sz w:val="21"/>
          <w:szCs w:val="21"/>
        </w:rPr>
        <w:t xml:space="preserve">Each line of the response body is a Splunk HEC envelope:</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{"host":"s4hana-cloud","source":"&lt;source&gt;","sourcetype":"&lt;sourcetype&gt;",</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 "time":&lt;epoch seconds, fractional&gt;,"event":{ ...all selected fields... }}</w:t>
      </w:r>
    </w:p>
    <w:p>
      <w:pPr>
        <w:spacing w:after="120" w:line="276"/>
      </w:pPr>
      <w:r>
        <w:rPr>
          <w:i/>
          <w:iCs/>
          <w:sz w:val="21"/>
          <w:szCs w:val="21"/>
        </w:rPr>
        <w:t xml:space="preserve">The body is directly postable to a Splunk HEC /services/collector/event endpoint, or parseable by any consumer.</w:t>
      </w:r>
    </w:p>
    <w:p>
      <w:r>
        <w:br w:type="page"/>
      </w:r>
    </w:p>
    <w:p>
      <w:pPr>
        <w:pStyle w:val="Heading1"/>
        <w:spacing w:after="140" w:before="320"/>
      </w:pPr>
      <w:r>
        <w:t xml:space="preserve">9. Data Handling</w:t>
      </w:r>
    </w:p>
    <w:p>
      <w:pPr>
        <w:pStyle w:val="Heading2"/>
        <w:spacing w:after="140" w:before="240"/>
      </w:pPr>
      <w:r>
        <w:t xml:space="preserve">9.1 Timestamp normalisation</w:t>
      </w:r>
    </w:p>
    <w:p>
      <w:pPr>
        <w:spacing w:after="120" w:line="276"/>
      </w:pPr>
      <w:r>
        <w:rPr>
          <w:sz w:val="21"/>
          <w:szCs w:val="21"/>
        </w:rPr>
        <w:t xml:space="preserve">The four source services do not emit timestamps in a single format. Security Audit Log and Read Access Log return a trailing Z; the two IAM change-document services return a local-form value with no timezone designator. A parser that accepts only the ISO instant form silently fails on the latter, leaving events without an event time so that Splunk stamps ingestion time instead.</w:t>
      </w:r>
    </w:p>
    <w:p>
      <w:pPr>
        <w:spacing w:after="120" w:line="276"/>
      </w:pPr>
      <w:r>
        <w:rPr>
          <w:sz w:val="21"/>
          <w:szCs w:val="21"/>
        </w:rPr>
        <w:t xml:space="preserve">mapAndAccumulate.groovy therefore applies a tolerant parsing cascade:</w:t>
      </w:r>
    </w:p>
    <w:p>
      <w:pPr>
        <w:pStyle w:val="ListParagraph"/>
        <w:numPr>
          <w:ilvl w:val="0"/>
          <w:numId w:val="2"/>
        </w:numPr>
        <w:spacing w:after="70" w:line="276"/>
      </w:pPr>
      <w:r>
        <w:rPr>
          <w:sz w:val="21"/>
          <w:szCs w:val="21"/>
        </w:rPr>
        <w:t xml:space="preserve">java.time.Instant — values with a trailing Z (e.g. 2026-08-12T02:31:17.451688Z).</w:t>
      </w:r>
    </w:p>
    <w:p>
      <w:pPr>
        <w:pStyle w:val="ListParagraph"/>
        <w:numPr>
          <w:ilvl w:val="0"/>
          <w:numId w:val="2"/>
        </w:numPr>
        <w:spacing w:after="70" w:line="276"/>
      </w:pPr>
      <w:r>
        <w:rPr>
          <w:sz w:val="21"/>
          <w:szCs w:val="21"/>
        </w:rPr>
        <w:t xml:space="preserve">java.time.OffsetDateTime — values with an explicit offset (e.g. +10:00).</w:t>
      </w:r>
    </w:p>
    <w:p>
      <w:pPr>
        <w:pStyle w:val="ListParagraph"/>
        <w:numPr>
          <w:ilvl w:val="0"/>
          <w:numId w:val="2"/>
        </w:numPr>
        <w:spacing w:after="70" w:line="276"/>
      </w:pPr>
      <w:r>
        <w:rPr>
          <w:sz w:val="21"/>
          <w:szCs w:val="21"/>
        </w:rPr>
        <w:t xml:space="preserve">java.time.LocalDateTime, interpreted as UTC — values with no timezone (e.g. 2026-02-16T13:31:08.000).</w:t>
      </w:r>
    </w:p>
    <w:p>
      <w:pPr>
        <w:pStyle w:val="ListParagraph"/>
        <w:numPr>
          <w:ilvl w:val="0"/>
          <w:numId w:val="2"/>
        </w:numPr>
        <w:spacing w:after="70" w:line="276"/>
      </w:pPr>
      <w:r>
        <w:rPr>
          <w:sz w:val="21"/>
          <w:szCs w:val="21"/>
        </w:rPr>
        <w:t xml:space="preserve">OData V2 epoch form /Date(1234567890000)/.</w:t>
      </w:r>
    </w:p>
    <w:p>
      <w:pPr>
        <w:spacing w:after="120" w:line="276"/>
      </w:pPr>
      <w:r>
        <w:rPr>
          <w:sz w:val="21"/>
          <w:szCs w:val="21"/>
        </w:rPr>
        <w:t xml:space="preserve">Unparseable values leave time unset and increment the noTimeCount exchange property so the condition is visible in MPL rather than silent.</w:t>
      </w:r>
    </w:p>
    <w:p>
      <w:pPr>
        <w:pStyle w:val="Heading2"/>
        <w:spacing w:after="140" w:before="240"/>
      </w:pPr>
      <w:r>
        <w:t xml:space="preserve">9.2 Deduplication keys</w:t>
      </w:r>
    </w:p>
    <w:p>
      <w:pPr>
        <w:spacing w:after="120" w:line="276"/>
      </w:pPr>
      <w:r>
        <w:rPr>
          <w:sz w:val="21"/>
          <w:szCs w:val="21"/>
        </w:rPr>
        <w:t xml:space="preserve">Delivery is at-least-once. The consumer must deduplicate on the natural key of each entity (taken from the service EDMX):</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500"/>
        <w:gridCol w:w="6526"/>
      </w:tblGrid>
      <w:tr>
        <w:trPr>
          <w:tblHeader/>
        </w:trPr>
        <w:tc>
          <w:tcPr>
            <w:tcW w:type="dxa" w:w="2500"/>
            <w:shd w:fill="D9E2F3" w:color="auto" w:val="clear"/>
            <w:tcMar>
              <w:top w:type="dxa" w:w="60"/>
              <w:left w:type="dxa" w:w="100"/>
              <w:bottom w:type="dxa" w:w="60"/>
              <w:right w:type="dxa" w:w="100"/>
            </w:tcMar>
          </w:tcPr>
          <w:p>
            <w:pPr>
              <w:spacing w:after="0" w:line="250"/>
            </w:pPr>
            <w:r>
              <w:rPr>
                <w:b/>
                <w:bCs/>
                <w:sz w:val="19"/>
                <w:szCs w:val="19"/>
              </w:rPr>
              <w:t xml:space="preserve">Interface</w:t>
            </w:r>
          </w:p>
        </w:tc>
        <w:tc>
          <w:tcPr>
            <w:tcW w:type="dxa" w:w="6526"/>
            <w:shd w:fill="D9E2F3" w:color="auto" w:val="clear"/>
            <w:tcMar>
              <w:top w:type="dxa" w:w="60"/>
              <w:left w:type="dxa" w:w="100"/>
              <w:bottom w:type="dxa" w:w="60"/>
              <w:right w:type="dxa" w:w="100"/>
            </w:tcMar>
          </w:tcPr>
          <w:p>
            <w:pPr>
              <w:spacing w:after="0" w:line="250"/>
            </w:pPr>
            <w:r>
              <w:rPr>
                <w:b/>
                <w:bCs/>
                <w:sz w:val="19"/>
                <w:szCs w:val="19"/>
              </w:rPr>
              <w:t xml:space="preserve">Deduplication key</w:t>
            </w:r>
          </w:p>
        </w:tc>
      </w:tr>
      <w:tr>
        <w:tc>
          <w:tcPr>
            <w:tcW w:type="dxa" w:w="2500"/>
            <w:tcMar>
              <w:top w:type="dxa" w:w="60"/>
              <w:left w:type="dxa" w:w="100"/>
              <w:bottom w:type="dxa" w:w="60"/>
              <w:right w:type="dxa" w:w="100"/>
            </w:tcMar>
          </w:tcPr>
          <w:p>
            <w:pPr>
              <w:spacing w:after="0" w:line="250"/>
            </w:pPr>
            <w:r>
              <w:rPr>
                <w:sz w:val="19"/>
                <w:szCs w:val="19"/>
              </w:rPr>
              <w:t xml:space="preserve">Security Audit Log</w:t>
            </w:r>
          </w:p>
        </w:tc>
        <w:tc>
          <w:tcPr>
            <w:tcW w:type="dxa" w:w="6526"/>
            <w:tcMar>
              <w:top w:type="dxa" w:w="60"/>
              <w:left w:type="dxa" w:w="100"/>
              <w:bottom w:type="dxa" w:w="60"/>
              <w:right w:type="dxa" w:w="100"/>
            </w:tcMar>
          </w:tcPr>
          <w:p>
            <w:pPr>
              <w:spacing w:after="0" w:line="250"/>
            </w:pPr>
            <w:r>
              <w:rPr>
                <w:sz w:val="19"/>
                <w:szCs w:val="19"/>
              </w:rPr>
              <w:t xml:space="preserve">eventID + log_tstmp + slgmand + sid + counter</w:t>
            </w:r>
          </w:p>
        </w:tc>
      </w:tr>
      <w:tr>
        <w:tc>
          <w:tcPr>
            <w:tcW w:type="dxa" w:w="2500"/>
            <w:tcMar>
              <w:top w:type="dxa" w:w="60"/>
              <w:left w:type="dxa" w:w="100"/>
              <w:bottom w:type="dxa" w:w="60"/>
              <w:right w:type="dxa" w:w="100"/>
            </w:tcMar>
          </w:tcPr>
          <w:p>
            <w:pPr>
              <w:spacing w:after="0" w:line="250"/>
            </w:pPr>
            <w:r>
              <w:rPr>
                <w:sz w:val="19"/>
                <w:szCs w:val="19"/>
              </w:rPr>
              <w:t xml:space="preserve">Read Access Log (RAL)</w:t>
            </w:r>
          </w:p>
        </w:tc>
        <w:tc>
          <w:tcPr>
            <w:tcW w:type="dxa" w:w="6526"/>
            <w:tcMar>
              <w:top w:type="dxa" w:w="60"/>
              <w:left w:type="dxa" w:w="100"/>
              <w:bottom w:type="dxa" w:w="60"/>
              <w:right w:type="dxa" w:w="100"/>
            </w:tcMar>
          </w:tcPr>
          <w:p>
            <w:pPr>
              <w:spacing w:after="0" w:line="250"/>
            </w:pPr>
            <w:r>
              <w:rPr>
                <w:sz w:val="19"/>
                <w:szCs w:val="19"/>
              </w:rPr>
              <w:t xml:space="preserve">LogID + FieldName</w:t>
            </w:r>
          </w:p>
        </w:tc>
      </w:tr>
      <w:tr>
        <w:tc>
          <w:tcPr>
            <w:tcW w:type="dxa" w:w="2500"/>
            <w:tcMar>
              <w:top w:type="dxa" w:w="60"/>
              <w:left w:type="dxa" w:w="100"/>
              <w:bottom w:type="dxa" w:w="60"/>
              <w:right w:type="dxa" w:w="100"/>
            </w:tcMar>
          </w:tcPr>
          <w:p>
            <w:pPr>
              <w:spacing w:after="0" w:line="250"/>
            </w:pPr>
            <w:r>
              <w:rPr>
                <w:sz w:val="19"/>
                <w:szCs w:val="19"/>
              </w:rPr>
              <w:t xml:space="preserve">Business User Changes</w:t>
            </w:r>
          </w:p>
        </w:tc>
        <w:tc>
          <w:tcPr>
            <w:tcW w:type="dxa" w:w="6526"/>
            <w:tcMar>
              <w:top w:type="dxa" w:w="60"/>
              <w:left w:type="dxa" w:w="100"/>
              <w:bottom w:type="dxa" w:w="60"/>
              <w:right w:type="dxa" w:w="100"/>
            </w:tcMar>
          </w:tcPr>
          <w:p>
            <w:pPr>
              <w:spacing w:after="0" w:line="250"/>
            </w:pPr>
            <w:r>
              <w:rPr>
                <w:sz w:val="19"/>
                <w:szCs w:val="19"/>
              </w:rPr>
              <w:t xml:space="preserve">BusinessUserID + ChangedOn + ChangeCategory + Attribute + ValueChangedFrom + ValueChangedTo</w:t>
            </w:r>
          </w:p>
        </w:tc>
      </w:tr>
      <w:tr>
        <w:tc>
          <w:tcPr>
            <w:tcW w:type="dxa" w:w="2500"/>
            <w:tcMar>
              <w:top w:type="dxa" w:w="60"/>
              <w:left w:type="dxa" w:w="100"/>
              <w:bottom w:type="dxa" w:w="60"/>
              <w:right w:type="dxa" w:w="100"/>
            </w:tcMar>
          </w:tcPr>
          <w:p>
            <w:pPr>
              <w:spacing w:after="0" w:line="250"/>
            </w:pPr>
            <w:r>
              <w:rPr>
                <w:sz w:val="19"/>
                <w:szCs w:val="19"/>
              </w:rPr>
              <w:t xml:space="preserve">Business Role Changes</w:t>
            </w:r>
          </w:p>
        </w:tc>
        <w:tc>
          <w:tcPr>
            <w:tcW w:type="dxa" w:w="6526"/>
            <w:tcMar>
              <w:top w:type="dxa" w:w="60"/>
              <w:left w:type="dxa" w:w="100"/>
              <w:bottom w:type="dxa" w:w="60"/>
              <w:right w:type="dxa" w:w="100"/>
            </w:tcMar>
          </w:tcPr>
          <w:p>
            <w:pPr>
              <w:spacing w:after="0" w:line="250"/>
            </w:pPr>
            <w:r>
              <w:rPr>
                <w:sz w:val="19"/>
                <w:szCs w:val="19"/>
              </w:rPr>
              <w:t xml:space="preserve">BusinessRoleID + ChangedOn + ChangeCategory + Attribute + ValueChangedFrom + ValueChangedTo</w:t>
            </w:r>
          </w:p>
        </w:tc>
      </w:tr>
    </w:tbl>
    <w:p>
      <w:pPr>
        <w:pStyle w:val="Heading2"/>
        <w:spacing w:after="140" w:before="240"/>
      </w:pPr>
      <w:r>
        <w:t xml:space="preserve">9.3 Payload structure</w:t>
      </w:r>
    </w:p>
    <w:p>
      <w:pPr>
        <w:spacing w:after="120" w:line="276"/>
      </w:pPr>
      <w:r>
        <w:rPr>
          <w:sz w:val="21"/>
          <w:szCs w:val="21"/>
        </w:rPr>
        <w:t xml:space="preserve">The CPI OData receiver returns a normalised XML representation, converted to JSON by an XML-to-JSON Converter configured with a per-interface path. The Groovy mapper reads that path, with fallbacks to plain OData JSON (value[]) and OData V2 JSON (d.results) should the converter be bypassed.</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500"/>
        <w:gridCol w:w="6526"/>
      </w:tblGrid>
      <w:tr>
        <w:trPr>
          <w:tblHeader/>
        </w:trPr>
        <w:tc>
          <w:tcPr>
            <w:tcW w:type="dxa" w:w="2500"/>
            <w:shd w:fill="D9E2F3" w:color="auto" w:val="clear"/>
            <w:tcMar>
              <w:top w:type="dxa" w:w="60"/>
              <w:left w:type="dxa" w:w="100"/>
              <w:bottom w:type="dxa" w:w="60"/>
              <w:right w:type="dxa" w:w="100"/>
            </w:tcMar>
          </w:tcPr>
          <w:p>
            <w:pPr>
              <w:spacing w:after="0" w:line="250"/>
            </w:pPr>
            <w:r>
              <w:rPr>
                <w:b/>
                <w:bCs/>
                <w:sz w:val="19"/>
                <w:szCs w:val="19"/>
              </w:rPr>
              <w:t xml:space="preserve">Interface</w:t>
            </w:r>
          </w:p>
        </w:tc>
        <w:tc>
          <w:tcPr>
            <w:tcW w:type="dxa" w:w="6526"/>
            <w:shd w:fill="D9E2F3" w:color="auto" w:val="clear"/>
            <w:tcMar>
              <w:top w:type="dxa" w:w="60"/>
              <w:left w:type="dxa" w:w="100"/>
              <w:bottom w:type="dxa" w:w="60"/>
              <w:right w:type="dxa" w:w="100"/>
            </w:tcMar>
          </w:tcPr>
          <w:p>
            <w:pPr>
              <w:spacing w:after="0" w:line="250"/>
            </w:pPr>
            <w:r>
              <w:rPr>
                <w:b/>
                <w:bCs/>
                <w:sz w:val="19"/>
                <w:szCs w:val="19"/>
              </w:rPr>
              <w:t xml:space="preserve">XML-to-JSON path</w:t>
            </w:r>
          </w:p>
        </w:tc>
      </w:tr>
      <w:tr>
        <w:tc>
          <w:tcPr>
            <w:tcW w:type="dxa" w:w="2500"/>
            <w:tcMar>
              <w:top w:type="dxa" w:w="60"/>
              <w:left w:type="dxa" w:w="100"/>
              <w:bottom w:type="dxa" w:w="60"/>
              <w:right w:type="dxa" w:w="100"/>
            </w:tcMar>
          </w:tcPr>
          <w:p>
            <w:pPr>
              <w:spacing w:after="0" w:line="250"/>
            </w:pPr>
            <w:r>
              <w:rPr>
                <w:sz w:val="19"/>
                <w:szCs w:val="19"/>
              </w:rPr>
              <w:t xml:space="preserve">Security Audit Log</w:t>
            </w:r>
          </w:p>
        </w:tc>
        <w:tc>
          <w:tcPr>
            <w:tcW w:type="dxa" w:w="6526"/>
            <w:tcMar>
              <w:top w:type="dxa" w:w="60"/>
              <w:left w:type="dxa" w:w="100"/>
              <w:bottom w:type="dxa" w:w="60"/>
              <w:right w:type="dxa" w:w="100"/>
            </w:tcMar>
          </w:tcPr>
          <w:p>
            <w:pPr>
              <w:spacing w:after="0" w:line="250"/>
            </w:pPr>
            <w:r>
              <w:rPr>
                <w:rFonts w:ascii="Consolas" w:cs="Consolas" w:eastAsia="Consolas" w:hAnsi="Consolas"/>
                <w:sz w:val="19"/>
                <w:szCs w:val="19"/>
              </w:rPr>
              <w:t xml:space="preserve">SecurityAuditLog/SecurityAuditLogType</w:t>
            </w:r>
          </w:p>
        </w:tc>
      </w:tr>
      <w:tr>
        <w:tc>
          <w:tcPr>
            <w:tcW w:type="dxa" w:w="2500"/>
            <w:tcMar>
              <w:top w:type="dxa" w:w="60"/>
              <w:left w:type="dxa" w:w="100"/>
              <w:bottom w:type="dxa" w:w="60"/>
              <w:right w:type="dxa" w:w="100"/>
            </w:tcMar>
          </w:tcPr>
          <w:p>
            <w:pPr>
              <w:spacing w:after="0" w:line="250"/>
            </w:pPr>
            <w:r>
              <w:rPr>
                <w:sz w:val="19"/>
                <w:szCs w:val="19"/>
              </w:rPr>
              <w:t xml:space="preserve">Read Access Log (RAL)</w:t>
            </w:r>
          </w:p>
        </w:tc>
        <w:tc>
          <w:tcPr>
            <w:tcW w:type="dxa" w:w="6526"/>
            <w:tcMar>
              <w:top w:type="dxa" w:w="60"/>
              <w:left w:type="dxa" w:w="100"/>
              <w:bottom w:type="dxa" w:w="60"/>
              <w:right w:type="dxa" w:w="100"/>
            </w:tcMar>
          </w:tcPr>
          <w:p>
            <w:pPr>
              <w:spacing w:after="0" w:line="250"/>
            </w:pPr>
            <w:r>
              <w:rPr>
                <w:rFonts w:ascii="Consolas" w:cs="Consolas" w:eastAsia="Consolas" w:hAnsi="Consolas"/>
                <w:sz w:val="19"/>
                <w:szCs w:val="19"/>
              </w:rPr>
              <w:t xml:space="preserve">ReadAccessLogRAW/ReadAccessLogRAWType</w:t>
            </w:r>
          </w:p>
        </w:tc>
      </w:tr>
      <w:tr>
        <w:tc>
          <w:tcPr>
            <w:tcW w:type="dxa" w:w="2500"/>
            <w:tcMar>
              <w:top w:type="dxa" w:w="60"/>
              <w:left w:type="dxa" w:w="100"/>
              <w:bottom w:type="dxa" w:w="60"/>
              <w:right w:type="dxa" w:w="100"/>
            </w:tcMar>
          </w:tcPr>
          <w:p>
            <w:pPr>
              <w:spacing w:after="0" w:line="250"/>
            </w:pPr>
            <w:r>
              <w:rPr>
                <w:sz w:val="19"/>
                <w:szCs w:val="19"/>
              </w:rPr>
              <w:t xml:space="preserve">Business User Changes</w:t>
            </w:r>
          </w:p>
        </w:tc>
        <w:tc>
          <w:tcPr>
            <w:tcW w:type="dxa" w:w="6526"/>
            <w:tcMar>
              <w:top w:type="dxa" w:w="60"/>
              <w:left w:type="dxa" w:w="100"/>
              <w:bottom w:type="dxa" w:w="60"/>
              <w:right w:type="dxa" w:w="100"/>
            </w:tcMar>
          </w:tcPr>
          <w:p>
            <w:pPr>
              <w:spacing w:after="0" w:line="250"/>
            </w:pPr>
            <w:r>
              <w:rPr>
                <w:rFonts w:ascii="Consolas" w:cs="Consolas" w:eastAsia="Consolas" w:hAnsi="Consolas"/>
                <w:sz w:val="19"/>
                <w:szCs w:val="19"/>
              </w:rPr>
              <w:t xml:space="preserve">BusinessUserChanges/BusinessUserChangesType</w:t>
            </w:r>
          </w:p>
        </w:tc>
      </w:tr>
      <w:tr>
        <w:tc>
          <w:tcPr>
            <w:tcW w:type="dxa" w:w="2500"/>
            <w:tcMar>
              <w:top w:type="dxa" w:w="60"/>
              <w:left w:type="dxa" w:w="100"/>
              <w:bottom w:type="dxa" w:w="60"/>
              <w:right w:type="dxa" w:w="100"/>
            </w:tcMar>
          </w:tcPr>
          <w:p>
            <w:pPr>
              <w:spacing w:after="0" w:line="250"/>
            </w:pPr>
            <w:r>
              <w:rPr>
                <w:sz w:val="19"/>
                <w:szCs w:val="19"/>
              </w:rPr>
              <w:t xml:space="preserve">Business Role Changes</w:t>
            </w:r>
          </w:p>
        </w:tc>
        <w:tc>
          <w:tcPr>
            <w:tcW w:type="dxa" w:w="6526"/>
            <w:tcMar>
              <w:top w:type="dxa" w:w="60"/>
              <w:left w:type="dxa" w:w="100"/>
              <w:bottom w:type="dxa" w:w="60"/>
              <w:right w:type="dxa" w:w="100"/>
            </w:tcMar>
          </w:tcPr>
          <w:p>
            <w:pPr>
              <w:spacing w:after="0" w:line="250"/>
            </w:pPr>
            <w:r>
              <w:rPr>
                <w:rFonts w:ascii="Consolas" w:cs="Consolas" w:eastAsia="Consolas" w:hAnsi="Consolas"/>
                <w:sz w:val="19"/>
                <w:szCs w:val="19"/>
              </w:rPr>
              <w:t xml:space="preserve">BusinessRoleChanges/BusinessRoleChangesType</w:t>
            </w:r>
          </w:p>
        </w:tc>
      </w:tr>
    </w:tbl>
    <w:p>
      <w:r>
        <w:br w:type="page"/>
      </w:r>
    </w:p>
    <w:p>
      <w:pPr>
        <w:pStyle w:val="Heading1"/>
        <w:spacing w:after="140" w:before="320"/>
      </w:pPr>
      <w:r>
        <w:t xml:space="preserve">10. Interface Specifications</w:t>
      </w:r>
    </w:p>
    <w:p>
      <w:pPr>
        <w:pStyle w:val="Heading2"/>
        <w:spacing w:after="140" w:before="240"/>
      </w:pPr>
      <w:r>
        <w:t xml:space="preserve">10.1 IF-01 — Security Audit Log</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600"/>
        <w:gridCol w:w="6426"/>
      </w:tblGrid>
      <w:tr>
        <w:tc>
          <w:tcPr>
            <w:tcW w:type="dxa" w:w="2600"/>
            <w:tcMar>
              <w:top w:type="dxa" w:w="60"/>
              <w:left w:type="dxa" w:w="100"/>
              <w:bottom w:type="dxa" w:w="60"/>
              <w:right w:type="dxa" w:w="100"/>
            </w:tcMar>
          </w:tcPr>
          <w:p>
            <w:pPr>
              <w:spacing w:after="0" w:line="250"/>
            </w:pPr>
            <w:r>
              <w:rPr>
                <w:b/>
                <w:bCs/>
                <w:sz w:val="19"/>
                <w:szCs w:val="19"/>
              </w:rPr>
              <w:t xml:space="preserve">CPI artifact</w:t>
            </w:r>
          </w:p>
        </w:tc>
        <w:tc>
          <w:tcPr>
            <w:tcW w:type="dxa" w:w="6426"/>
            <w:tcMar>
              <w:top w:type="dxa" w:w="60"/>
              <w:left w:type="dxa" w:w="100"/>
              <w:bottom w:type="dxa" w:w="60"/>
              <w:right w:type="dxa" w:w="100"/>
            </w:tcMar>
          </w:tcPr>
          <w:p>
            <w:pPr>
              <w:spacing w:after="0" w:line="250"/>
            </w:pPr>
            <w:r>
              <w:rPr>
                <w:sz w:val="19"/>
                <w:szCs w:val="19"/>
              </w:rPr>
              <w:t xml:space="preserve">YY1 Extract Security Audit Log from S4HC</w:t>
            </w:r>
          </w:p>
        </w:tc>
      </w:tr>
      <w:tr>
        <w:tc>
          <w:tcPr>
            <w:tcW w:type="dxa" w:w="2600"/>
            <w:tcMar>
              <w:top w:type="dxa" w:w="60"/>
              <w:left w:type="dxa" w:w="100"/>
              <w:bottom w:type="dxa" w:w="60"/>
              <w:right w:type="dxa" w:w="100"/>
            </w:tcMar>
          </w:tcPr>
          <w:p>
            <w:pPr>
              <w:spacing w:after="0" w:line="250"/>
            </w:pPr>
            <w:r>
              <w:rPr>
                <w:b/>
                <w:bCs/>
                <w:sz w:val="19"/>
                <w:szCs w:val="19"/>
              </w:rPr>
              <w:t xml:space="preserve">Comm. scenario</w:t>
            </w:r>
          </w:p>
        </w:tc>
        <w:tc>
          <w:tcPr>
            <w:tcW w:type="dxa" w:w="6426"/>
            <w:tcMar>
              <w:top w:type="dxa" w:w="60"/>
              <w:left w:type="dxa" w:w="100"/>
              <w:bottom w:type="dxa" w:w="60"/>
              <w:right w:type="dxa" w:w="100"/>
            </w:tcMar>
          </w:tcPr>
          <w:p>
            <w:pPr>
              <w:spacing w:after="0" w:line="250"/>
            </w:pPr>
            <w:r>
              <w:rPr>
                <w:sz w:val="19"/>
                <w:szCs w:val="19"/>
              </w:rPr>
              <w:t xml:space="preserve">SAP_COM_0750</w:t>
            </w:r>
          </w:p>
        </w:tc>
      </w:tr>
      <w:tr>
        <w:tc>
          <w:tcPr>
            <w:tcW w:type="dxa" w:w="2600"/>
            <w:tcMar>
              <w:top w:type="dxa" w:w="60"/>
              <w:left w:type="dxa" w:w="100"/>
              <w:bottom w:type="dxa" w:w="60"/>
              <w:right w:type="dxa" w:w="100"/>
            </w:tcMar>
          </w:tcPr>
          <w:p>
            <w:pPr>
              <w:spacing w:after="0" w:line="250"/>
            </w:pPr>
            <w:r>
              <w:rPr>
                <w:b/>
                <w:bCs/>
                <w:sz w:val="19"/>
                <w:szCs w:val="19"/>
              </w:rPr>
              <w:t xml:space="preserve">Protocol</w:t>
            </w:r>
          </w:p>
        </w:tc>
        <w:tc>
          <w:tcPr>
            <w:tcW w:type="dxa" w:w="6426"/>
            <w:tcMar>
              <w:top w:type="dxa" w:w="60"/>
              <w:left w:type="dxa" w:w="100"/>
              <w:bottom w:type="dxa" w:w="60"/>
              <w:right w:type="dxa" w:w="100"/>
            </w:tcMar>
          </w:tcPr>
          <w:p>
            <w:pPr>
              <w:spacing w:after="0" w:line="250"/>
            </w:pPr>
            <w:r>
              <w:rPr>
                <w:sz w:val="19"/>
                <w:szCs w:val="19"/>
              </w:rPr>
              <w:t xml:space="preserve">OData V4</w:t>
            </w:r>
          </w:p>
        </w:tc>
      </w:tr>
      <w:tr>
        <w:tc>
          <w:tcPr>
            <w:tcW w:type="dxa" w:w="2600"/>
            <w:tcMar>
              <w:top w:type="dxa" w:w="60"/>
              <w:left w:type="dxa" w:w="100"/>
              <w:bottom w:type="dxa" w:w="60"/>
              <w:right w:type="dxa" w:w="100"/>
            </w:tcMar>
          </w:tcPr>
          <w:p>
            <w:pPr>
              <w:spacing w:after="0" w:line="250"/>
            </w:pPr>
            <w:r>
              <w:rPr>
                <w:b/>
                <w:bCs/>
                <w:sz w:val="19"/>
                <w:szCs w:val="19"/>
              </w:rPr>
              <w:t xml:space="preserve">Service address</w:t>
            </w:r>
          </w:p>
        </w:tc>
        <w:tc>
          <w:tcPr>
            <w:tcW w:type="dxa" w:w="6426"/>
            <w:tcMar>
              <w:top w:type="dxa" w:w="60"/>
              <w:left w:type="dxa" w:w="100"/>
              <w:bottom w:type="dxa" w:w="60"/>
              <w:right w:type="dxa" w:w="100"/>
            </w:tcMar>
          </w:tcPr>
          <w:p>
            <w:pPr>
              <w:spacing w:after="0" w:line="250"/>
            </w:pPr>
            <w:r>
              <w:rPr>
                <w:sz w:val="19"/>
                <w:szCs w:val="19"/>
              </w:rPr>
              <w:t xml:space="preserve">https://my435863.s4hana.cloud.sap/sap/opu/odata4/sap/rsau_log_api/srvd_a2x/sap/rsau_log_api/0001</w:t>
            </w:r>
          </w:p>
        </w:tc>
      </w:tr>
      <w:tr>
        <w:tc>
          <w:tcPr>
            <w:tcW w:type="dxa" w:w="2600"/>
            <w:tcMar>
              <w:top w:type="dxa" w:w="60"/>
              <w:left w:type="dxa" w:w="100"/>
              <w:bottom w:type="dxa" w:w="60"/>
              <w:right w:type="dxa" w:w="100"/>
            </w:tcMar>
          </w:tcPr>
          <w:p>
            <w:pPr>
              <w:spacing w:after="0" w:line="250"/>
            </w:pPr>
            <w:r>
              <w:rPr>
                <w:b/>
                <w:bCs/>
                <w:sz w:val="19"/>
                <w:szCs w:val="19"/>
              </w:rPr>
              <w:t xml:space="preserve">Entity set</w:t>
            </w:r>
          </w:p>
        </w:tc>
        <w:tc>
          <w:tcPr>
            <w:tcW w:type="dxa" w:w="6426"/>
            <w:tcMar>
              <w:top w:type="dxa" w:w="60"/>
              <w:left w:type="dxa" w:w="100"/>
              <w:bottom w:type="dxa" w:w="60"/>
              <w:right w:type="dxa" w:w="100"/>
            </w:tcMar>
          </w:tcPr>
          <w:p>
            <w:pPr>
              <w:spacing w:after="0" w:line="250"/>
            </w:pPr>
            <w:r>
              <w:rPr>
                <w:sz w:val="19"/>
                <w:szCs w:val="19"/>
              </w:rPr>
              <w:t xml:space="preserve">SecurityAuditLog</w:t>
            </w:r>
          </w:p>
        </w:tc>
      </w:tr>
      <w:tr>
        <w:tc>
          <w:tcPr>
            <w:tcW w:type="dxa" w:w="2600"/>
            <w:tcMar>
              <w:top w:type="dxa" w:w="60"/>
              <w:left w:type="dxa" w:w="100"/>
              <w:bottom w:type="dxa" w:w="60"/>
              <w:right w:type="dxa" w:w="100"/>
            </w:tcMar>
          </w:tcPr>
          <w:p>
            <w:pPr>
              <w:spacing w:after="0" w:line="250"/>
            </w:pPr>
            <w:r>
              <w:rPr>
                <w:b/>
                <w:bCs/>
                <w:sz w:val="19"/>
                <w:szCs w:val="19"/>
              </w:rPr>
              <w:t xml:space="preserve">Receiver participant</w:t>
            </w:r>
          </w:p>
        </w:tc>
        <w:tc>
          <w:tcPr>
            <w:tcW w:type="dxa" w:w="6426"/>
            <w:tcMar>
              <w:top w:type="dxa" w:w="60"/>
              <w:left w:type="dxa" w:w="100"/>
              <w:bottom w:type="dxa" w:w="60"/>
              <w:right w:type="dxa" w:w="100"/>
            </w:tcMar>
          </w:tcPr>
          <w:p>
            <w:pPr>
              <w:spacing w:after="0" w:line="250"/>
            </w:pPr>
            <w:r>
              <w:rPr>
                <w:sz w:val="19"/>
                <w:szCs w:val="19"/>
              </w:rPr>
              <w:t xml:space="preserve">S4_SecurityAuditLog</w:t>
            </w:r>
          </w:p>
        </w:tc>
      </w:tr>
      <w:tr>
        <w:tc>
          <w:tcPr>
            <w:tcW w:type="dxa" w:w="2600"/>
            <w:tcMar>
              <w:top w:type="dxa" w:w="60"/>
              <w:left w:type="dxa" w:w="100"/>
              <w:bottom w:type="dxa" w:w="60"/>
              <w:right w:type="dxa" w:w="100"/>
            </w:tcMar>
          </w:tcPr>
          <w:p>
            <w:pPr>
              <w:spacing w:after="0" w:line="250"/>
            </w:pPr>
            <w:r>
              <w:rPr>
                <w:b/>
                <w:bCs/>
                <w:sz w:val="19"/>
                <w:szCs w:val="19"/>
              </w:rPr>
              <w:t xml:space="preserve">Timestamp field</w:t>
            </w:r>
          </w:p>
        </w:tc>
        <w:tc>
          <w:tcPr>
            <w:tcW w:type="dxa" w:w="6426"/>
            <w:tcMar>
              <w:top w:type="dxa" w:w="60"/>
              <w:left w:type="dxa" w:w="100"/>
              <w:bottom w:type="dxa" w:w="60"/>
              <w:right w:type="dxa" w:w="100"/>
            </w:tcMar>
          </w:tcPr>
          <w:p>
            <w:pPr>
              <w:spacing w:after="0" w:line="250"/>
            </w:pPr>
            <w:r>
              <w:rPr>
                <w:sz w:val="19"/>
                <w:szCs w:val="19"/>
              </w:rPr>
              <w:t xml:space="preserve">log_tstmp  (Edm.DateTimeOffset (Precision 7))</w:t>
            </w:r>
          </w:p>
        </w:tc>
      </w:tr>
      <w:tr>
        <w:tc>
          <w:tcPr>
            <w:tcW w:type="dxa" w:w="2600"/>
            <w:tcMar>
              <w:top w:type="dxa" w:w="60"/>
              <w:left w:type="dxa" w:w="100"/>
              <w:bottom w:type="dxa" w:w="60"/>
              <w:right w:type="dxa" w:w="100"/>
            </w:tcMar>
          </w:tcPr>
          <w:p>
            <w:pPr>
              <w:spacing w:after="0" w:line="250"/>
            </w:pPr>
            <w:r>
              <w:rPr>
                <w:b/>
                <w:bCs/>
                <w:sz w:val="19"/>
                <w:szCs w:val="19"/>
              </w:rPr>
              <w:t xml:space="preserve">Timestamp sample</w:t>
            </w:r>
          </w:p>
        </w:tc>
        <w:tc>
          <w:tcPr>
            <w:tcW w:type="dxa" w:w="6426"/>
            <w:tcMar>
              <w:top w:type="dxa" w:w="60"/>
              <w:left w:type="dxa" w:w="100"/>
              <w:bottom w:type="dxa" w:w="60"/>
              <w:right w:type="dxa" w:w="100"/>
            </w:tcMar>
          </w:tcPr>
          <w:p>
            <w:pPr>
              <w:spacing w:after="0" w:line="250"/>
            </w:pPr>
            <w:r>
              <w:rPr>
                <w:sz w:val="19"/>
                <w:szCs w:val="19"/>
              </w:rPr>
              <w:t xml:space="preserve">2026-08-12T02:31:17.451688Z   — timezone designator: Yes (trailing Z)</w:t>
            </w:r>
          </w:p>
        </w:tc>
      </w:tr>
      <w:tr>
        <w:tc>
          <w:tcPr>
            <w:tcW w:type="dxa" w:w="2600"/>
            <w:tcMar>
              <w:top w:type="dxa" w:w="60"/>
              <w:left w:type="dxa" w:w="100"/>
              <w:bottom w:type="dxa" w:w="60"/>
              <w:right w:type="dxa" w:w="100"/>
            </w:tcMar>
          </w:tcPr>
          <w:p>
            <w:pPr>
              <w:spacing w:after="0" w:line="250"/>
            </w:pPr>
            <w:r>
              <w:rPr>
                <w:b/>
                <w:bCs/>
                <w:sz w:val="19"/>
                <w:szCs w:val="19"/>
              </w:rPr>
              <w:t xml:space="preserve">$select</w:t>
            </w:r>
          </w:p>
        </w:tc>
        <w:tc>
          <w:tcPr>
            <w:tcW w:type="dxa" w:w="6426"/>
            <w:tcMar>
              <w:top w:type="dxa" w:w="60"/>
              <w:left w:type="dxa" w:w="100"/>
              <w:bottom w:type="dxa" w:w="60"/>
              <w:right w:type="dxa" w:w="100"/>
            </w:tcMar>
          </w:tcPr>
          <w:p>
            <w:pPr>
              <w:spacing w:after="0" w:line="250"/>
            </w:pPr>
            <w:r>
              <w:rPr>
                <w:sz w:val="19"/>
                <w:szCs w:val="19"/>
              </w:rPr>
              <w:t xml:space="preserve">18 fields — all EDMX properties (see Appendix A)</w:t>
            </w:r>
          </w:p>
        </w:tc>
      </w:tr>
      <w:tr>
        <w:tc>
          <w:tcPr>
            <w:tcW w:type="dxa" w:w="2600"/>
            <w:tcMar>
              <w:top w:type="dxa" w:w="60"/>
              <w:left w:type="dxa" w:w="100"/>
              <w:bottom w:type="dxa" w:w="60"/>
              <w:right w:type="dxa" w:w="100"/>
            </w:tcMar>
          </w:tcPr>
          <w:p>
            <w:pPr>
              <w:spacing w:after="0" w:line="250"/>
            </w:pPr>
            <w:r>
              <w:rPr>
                <w:b/>
                <w:bCs/>
                <w:sz w:val="19"/>
                <w:szCs w:val="19"/>
              </w:rPr>
              <w:t xml:space="preserve">Page size</w:t>
            </w:r>
          </w:p>
        </w:tc>
        <w:tc>
          <w:tcPr>
            <w:tcW w:type="dxa" w:w="6426"/>
            <w:tcMar>
              <w:top w:type="dxa" w:w="60"/>
              <w:left w:type="dxa" w:w="100"/>
              <w:bottom w:type="dxa" w:w="60"/>
              <w:right w:type="dxa" w:w="100"/>
            </w:tcMar>
          </w:tcPr>
          <w:p>
            <w:pPr>
              <w:spacing w:after="0" w:line="250"/>
            </w:pPr>
            <w:r>
              <w:rPr>
                <w:sz w:val="19"/>
                <w:szCs w:val="19"/>
              </w:rPr>
              <w:t xml:space="preserve">Adapter default</w:t>
            </w:r>
          </w:p>
        </w:tc>
      </w:tr>
      <w:tr>
        <w:tc>
          <w:tcPr>
            <w:tcW w:type="dxa" w:w="2600"/>
            <w:tcMar>
              <w:top w:type="dxa" w:w="60"/>
              <w:left w:type="dxa" w:w="100"/>
              <w:bottom w:type="dxa" w:w="60"/>
              <w:right w:type="dxa" w:w="100"/>
            </w:tcMar>
          </w:tcPr>
          <w:p>
            <w:pPr>
              <w:spacing w:after="0" w:line="250"/>
            </w:pPr>
            <w:r>
              <w:rPr>
                <w:b/>
                <w:bCs/>
                <w:sz w:val="19"/>
                <w:szCs w:val="19"/>
              </w:rPr>
              <w:t xml:space="preserve">Endpoint</w:t>
            </w:r>
          </w:p>
        </w:tc>
        <w:tc>
          <w:tcPr>
            <w:tcW w:type="dxa" w:w="6426"/>
            <w:tcMar>
              <w:top w:type="dxa" w:w="60"/>
              <w:left w:type="dxa" w:w="100"/>
              <w:bottom w:type="dxa" w:w="60"/>
              <w:right w:type="dxa" w:w="100"/>
            </w:tcMar>
          </w:tcPr>
          <w:p>
            <w:pPr>
              <w:spacing w:after="0" w:line="250"/>
            </w:pPr>
            <w:r>
              <w:rPr>
                <w:sz w:val="19"/>
                <w:szCs w:val="19"/>
              </w:rPr>
              <w:t xml:space="preserve">/extract/secauditlog</w:t>
            </w:r>
          </w:p>
        </w:tc>
      </w:tr>
      <w:tr>
        <w:tc>
          <w:tcPr>
            <w:tcW w:type="dxa" w:w="2600"/>
            <w:tcMar>
              <w:top w:type="dxa" w:w="60"/>
              <w:left w:type="dxa" w:w="100"/>
              <w:bottom w:type="dxa" w:w="60"/>
              <w:right w:type="dxa" w:w="100"/>
            </w:tcMar>
          </w:tcPr>
          <w:p>
            <w:pPr>
              <w:spacing w:after="0" w:line="250"/>
            </w:pPr>
            <w:r>
              <w:rPr>
                <w:b/>
                <w:bCs/>
                <w:sz w:val="19"/>
                <w:szCs w:val="19"/>
              </w:rPr>
              <w:t xml:space="preserve">Data Store / entry</w:t>
            </w:r>
          </w:p>
        </w:tc>
        <w:tc>
          <w:tcPr>
            <w:tcW w:type="dxa" w:w="6426"/>
            <w:tcMar>
              <w:top w:type="dxa" w:w="60"/>
              <w:left w:type="dxa" w:w="100"/>
              <w:bottom w:type="dxa" w:w="60"/>
              <w:right w:type="dxa" w:w="100"/>
            </w:tcMar>
          </w:tcPr>
          <w:p>
            <w:pPr>
              <w:spacing w:after="0" w:line="250"/>
            </w:pPr>
            <w:r>
              <w:rPr>
                <w:sz w:val="19"/>
                <w:szCs w:val="19"/>
              </w:rPr>
              <w:t xml:space="preserve">SEC_AUDIT_DELTA / LastRun</w:t>
            </w:r>
          </w:p>
        </w:tc>
      </w:tr>
      <w:tr>
        <w:tc>
          <w:tcPr>
            <w:tcW w:type="dxa" w:w="2600"/>
            <w:tcMar>
              <w:top w:type="dxa" w:w="60"/>
              <w:left w:type="dxa" w:w="100"/>
              <w:bottom w:type="dxa" w:w="60"/>
              <w:right w:type="dxa" w:w="100"/>
            </w:tcMar>
          </w:tcPr>
          <w:p>
            <w:pPr>
              <w:spacing w:after="0" w:line="250"/>
            </w:pPr>
            <w:r>
              <w:rPr>
                <w:b/>
                <w:bCs/>
                <w:sz w:val="19"/>
                <w:szCs w:val="19"/>
              </w:rPr>
              <w:t xml:space="preserve">Splunk sourcetype</w:t>
            </w:r>
          </w:p>
        </w:tc>
        <w:tc>
          <w:tcPr>
            <w:tcW w:type="dxa" w:w="6426"/>
            <w:tcMar>
              <w:top w:type="dxa" w:w="60"/>
              <w:left w:type="dxa" w:w="100"/>
              <w:bottom w:type="dxa" w:w="60"/>
              <w:right w:type="dxa" w:w="100"/>
            </w:tcMar>
          </w:tcPr>
          <w:p>
            <w:pPr>
              <w:spacing w:after="0" w:line="250"/>
            </w:pPr>
            <w:r>
              <w:rPr>
                <w:sz w:val="19"/>
                <w:szCs w:val="19"/>
              </w:rPr>
              <w:t xml:space="preserve">sap:s4hana:cloud:audit</w:t>
            </w:r>
          </w:p>
        </w:tc>
      </w:tr>
      <w:tr>
        <w:tc>
          <w:tcPr>
            <w:tcW w:type="dxa" w:w="2600"/>
            <w:tcMar>
              <w:top w:type="dxa" w:w="60"/>
              <w:left w:type="dxa" w:w="100"/>
              <w:bottom w:type="dxa" w:w="60"/>
              <w:right w:type="dxa" w:w="100"/>
            </w:tcMar>
          </w:tcPr>
          <w:p>
            <w:pPr>
              <w:spacing w:after="0" w:line="250"/>
            </w:pPr>
            <w:r>
              <w:rPr>
                <w:b/>
                <w:bCs/>
                <w:sz w:val="19"/>
                <w:szCs w:val="19"/>
              </w:rPr>
              <w:t xml:space="preserve">Splunk source</w:t>
            </w:r>
          </w:p>
        </w:tc>
        <w:tc>
          <w:tcPr>
            <w:tcW w:type="dxa" w:w="6426"/>
            <w:tcMar>
              <w:top w:type="dxa" w:w="60"/>
              <w:left w:type="dxa" w:w="100"/>
              <w:bottom w:type="dxa" w:w="60"/>
              <w:right w:type="dxa" w:w="100"/>
            </w:tcMar>
          </w:tcPr>
          <w:p>
            <w:pPr>
              <w:spacing w:after="0" w:line="250"/>
            </w:pPr>
            <w:r>
              <w:rPr>
                <w:sz w:val="19"/>
                <w:szCs w:val="19"/>
              </w:rPr>
              <w:t xml:space="preserve">sap:cpi:secauditlog</w:t>
            </w:r>
          </w:p>
        </w:tc>
      </w:tr>
      <w:tr>
        <w:tc>
          <w:tcPr>
            <w:tcW w:type="dxa" w:w="2600"/>
            <w:tcMar>
              <w:top w:type="dxa" w:w="60"/>
              <w:left w:type="dxa" w:w="100"/>
              <w:bottom w:type="dxa" w:w="60"/>
              <w:right w:type="dxa" w:w="100"/>
            </w:tcMar>
          </w:tcPr>
          <w:p>
            <w:pPr>
              <w:spacing w:after="0" w:line="250"/>
            </w:pPr>
            <w:r>
              <w:rPr>
                <w:b/>
                <w:bCs/>
                <w:sz w:val="19"/>
                <w:szCs w:val="19"/>
              </w:rPr>
              <w:t xml:space="preserve">XML-to-JSON path</w:t>
            </w:r>
          </w:p>
        </w:tc>
        <w:tc>
          <w:tcPr>
            <w:tcW w:type="dxa" w:w="6426"/>
            <w:tcMar>
              <w:top w:type="dxa" w:w="60"/>
              <w:left w:type="dxa" w:w="100"/>
              <w:bottom w:type="dxa" w:w="60"/>
              <w:right w:type="dxa" w:w="100"/>
            </w:tcMar>
          </w:tcPr>
          <w:p>
            <w:pPr>
              <w:spacing w:after="0" w:line="250"/>
            </w:pPr>
            <w:r>
              <w:rPr>
                <w:sz w:val="19"/>
                <w:szCs w:val="19"/>
              </w:rPr>
              <w:t xml:space="preserve">SecurityAuditLog/SecurityAuditLogType</w:t>
            </w:r>
          </w:p>
        </w:tc>
      </w:tr>
      <w:tr>
        <w:tc>
          <w:tcPr>
            <w:tcW w:type="dxa" w:w="2600"/>
            <w:tcMar>
              <w:top w:type="dxa" w:w="60"/>
              <w:left w:type="dxa" w:w="100"/>
              <w:bottom w:type="dxa" w:w="60"/>
              <w:right w:type="dxa" w:w="100"/>
            </w:tcMar>
          </w:tcPr>
          <w:p>
            <w:pPr>
              <w:spacing w:after="0" w:line="250"/>
            </w:pPr>
            <w:r>
              <w:rPr>
                <w:b/>
                <w:bCs/>
                <w:sz w:val="19"/>
                <w:szCs w:val="19"/>
              </w:rPr>
              <w:t xml:space="preserve">Groovy flowstep versions</w:t>
            </w:r>
          </w:p>
        </w:tc>
        <w:tc>
          <w:tcPr>
            <w:tcW w:type="dxa" w:w="6426"/>
            <w:tcMar>
              <w:top w:type="dxa" w:w="60"/>
              <w:left w:type="dxa" w:w="100"/>
              <w:bottom w:type="dxa" w:w="60"/>
              <w:right w:type="dxa" w:w="100"/>
            </w:tcMar>
          </w:tcPr>
          <w:p>
            <w:pPr>
              <w:spacing w:after="0" w:line="250"/>
            </w:pPr>
            <w:r>
              <w:rPr>
                <w:sz w:val="19"/>
                <w:szCs w:val="19"/>
              </w:rPr>
              <w:t xml:space="preserve">v2 (map, resolve) / v1 (handleError)</w:t>
            </w:r>
          </w:p>
        </w:tc>
      </w:tr>
    </w:tbl>
    <w:p>
      <w:pPr>
        <w:spacing w:after="120"/>
      </w:pPr>
    </w:p>
    <w:p>
      <w:pPr>
        <w:spacing w:after="120" w:line="276"/>
      </w:pPr>
      <w:r>
        <w:rPr>
          <w:b/>
          <w:bCs/>
          <w:sz w:val="21"/>
          <w:szCs w:val="21"/>
        </w:rPr>
        <w:t xml:space="preserve">OData query:</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$filter=(log_tstmp gt ${property.windowFrom} and log_tstmp le ${property.runStartTime})</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&amp;$orderby=log_tstmp asc</w:t>
      </w:r>
    </w:p>
    <w:p>
      <w:pPr>
        <w:spacing w:after="160"/>
      </w:pPr>
    </w:p>
    <w:p>
      <w:pPr>
        <w:pStyle w:val="Heading2"/>
        <w:spacing w:after="140" w:before="240"/>
      </w:pPr>
      <w:r>
        <w:t xml:space="preserve">10.2 IF-02 — Read Access Log (RAL)</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600"/>
        <w:gridCol w:w="6426"/>
      </w:tblGrid>
      <w:tr>
        <w:tc>
          <w:tcPr>
            <w:tcW w:type="dxa" w:w="2600"/>
            <w:tcMar>
              <w:top w:type="dxa" w:w="60"/>
              <w:left w:type="dxa" w:w="100"/>
              <w:bottom w:type="dxa" w:w="60"/>
              <w:right w:type="dxa" w:w="100"/>
            </w:tcMar>
          </w:tcPr>
          <w:p>
            <w:pPr>
              <w:spacing w:after="0" w:line="250"/>
            </w:pPr>
            <w:r>
              <w:rPr>
                <w:b/>
                <w:bCs/>
                <w:sz w:val="19"/>
                <w:szCs w:val="19"/>
              </w:rPr>
              <w:t xml:space="preserve">CPI artifact</w:t>
            </w:r>
          </w:p>
        </w:tc>
        <w:tc>
          <w:tcPr>
            <w:tcW w:type="dxa" w:w="6426"/>
            <w:tcMar>
              <w:top w:type="dxa" w:w="60"/>
              <w:left w:type="dxa" w:w="100"/>
              <w:bottom w:type="dxa" w:w="60"/>
              <w:right w:type="dxa" w:w="100"/>
            </w:tcMar>
          </w:tcPr>
          <w:p>
            <w:pPr>
              <w:spacing w:after="0" w:line="250"/>
            </w:pPr>
            <w:r>
              <w:rPr>
                <w:sz w:val="19"/>
                <w:szCs w:val="19"/>
              </w:rPr>
              <w:t xml:space="preserve">YY1 Extract Read Access Log from S4HC</w:t>
            </w:r>
          </w:p>
        </w:tc>
      </w:tr>
      <w:tr>
        <w:tc>
          <w:tcPr>
            <w:tcW w:type="dxa" w:w="2600"/>
            <w:tcMar>
              <w:top w:type="dxa" w:w="60"/>
              <w:left w:type="dxa" w:w="100"/>
              <w:bottom w:type="dxa" w:w="60"/>
              <w:right w:type="dxa" w:w="100"/>
            </w:tcMar>
          </w:tcPr>
          <w:p>
            <w:pPr>
              <w:spacing w:after="0" w:line="250"/>
            </w:pPr>
            <w:r>
              <w:rPr>
                <w:b/>
                <w:bCs/>
                <w:sz w:val="19"/>
                <w:szCs w:val="19"/>
              </w:rPr>
              <w:t xml:space="preserve">Comm. scenario</w:t>
            </w:r>
          </w:p>
        </w:tc>
        <w:tc>
          <w:tcPr>
            <w:tcW w:type="dxa" w:w="6426"/>
            <w:tcMar>
              <w:top w:type="dxa" w:w="60"/>
              <w:left w:type="dxa" w:w="100"/>
              <w:bottom w:type="dxa" w:w="60"/>
              <w:right w:type="dxa" w:w="100"/>
            </w:tcMar>
          </w:tcPr>
          <w:p>
            <w:pPr>
              <w:spacing w:after="0" w:line="250"/>
            </w:pPr>
            <w:r>
              <w:rPr>
                <w:sz w:val="19"/>
                <w:szCs w:val="19"/>
              </w:rPr>
              <w:t xml:space="preserve">SAP_COM_0915</w:t>
            </w:r>
          </w:p>
        </w:tc>
      </w:tr>
      <w:tr>
        <w:tc>
          <w:tcPr>
            <w:tcW w:type="dxa" w:w="2600"/>
            <w:tcMar>
              <w:top w:type="dxa" w:w="60"/>
              <w:left w:type="dxa" w:w="100"/>
              <w:bottom w:type="dxa" w:w="60"/>
              <w:right w:type="dxa" w:w="100"/>
            </w:tcMar>
          </w:tcPr>
          <w:p>
            <w:pPr>
              <w:spacing w:after="0" w:line="250"/>
            </w:pPr>
            <w:r>
              <w:rPr>
                <w:b/>
                <w:bCs/>
                <w:sz w:val="19"/>
                <w:szCs w:val="19"/>
              </w:rPr>
              <w:t xml:space="preserve">Protocol</w:t>
            </w:r>
          </w:p>
        </w:tc>
        <w:tc>
          <w:tcPr>
            <w:tcW w:type="dxa" w:w="6426"/>
            <w:tcMar>
              <w:top w:type="dxa" w:w="60"/>
              <w:left w:type="dxa" w:w="100"/>
              <w:bottom w:type="dxa" w:w="60"/>
              <w:right w:type="dxa" w:w="100"/>
            </w:tcMar>
          </w:tcPr>
          <w:p>
            <w:pPr>
              <w:spacing w:after="0" w:line="250"/>
            </w:pPr>
            <w:r>
              <w:rPr>
                <w:sz w:val="19"/>
                <w:szCs w:val="19"/>
              </w:rPr>
              <w:t xml:space="preserve">OData V4</w:t>
            </w:r>
          </w:p>
        </w:tc>
      </w:tr>
      <w:tr>
        <w:tc>
          <w:tcPr>
            <w:tcW w:type="dxa" w:w="2600"/>
            <w:tcMar>
              <w:top w:type="dxa" w:w="60"/>
              <w:left w:type="dxa" w:w="100"/>
              <w:bottom w:type="dxa" w:w="60"/>
              <w:right w:type="dxa" w:w="100"/>
            </w:tcMar>
          </w:tcPr>
          <w:p>
            <w:pPr>
              <w:spacing w:after="0" w:line="250"/>
            </w:pPr>
            <w:r>
              <w:rPr>
                <w:b/>
                <w:bCs/>
                <w:sz w:val="19"/>
                <w:szCs w:val="19"/>
              </w:rPr>
              <w:t xml:space="preserve">Service address</w:t>
            </w:r>
          </w:p>
        </w:tc>
        <w:tc>
          <w:tcPr>
            <w:tcW w:type="dxa" w:w="6426"/>
            <w:tcMar>
              <w:top w:type="dxa" w:w="60"/>
              <w:left w:type="dxa" w:w="100"/>
              <w:bottom w:type="dxa" w:w="60"/>
              <w:right w:type="dxa" w:w="100"/>
            </w:tcMar>
          </w:tcPr>
          <w:p>
            <w:pPr>
              <w:spacing w:after="0" w:line="250"/>
            </w:pPr>
            <w:r>
              <w:rPr>
                <w:sz w:val="19"/>
                <w:szCs w:val="19"/>
              </w:rPr>
              <w:t xml:space="preserve">https://my435863-api.s4hana.cloud.sap/sap/opu/odata4/sap/sral_api_raw_log_04/srvd_a2x/sap/sral_api_raw_log/0002</w:t>
            </w:r>
          </w:p>
        </w:tc>
      </w:tr>
      <w:tr>
        <w:tc>
          <w:tcPr>
            <w:tcW w:type="dxa" w:w="2600"/>
            <w:tcMar>
              <w:top w:type="dxa" w:w="60"/>
              <w:left w:type="dxa" w:w="100"/>
              <w:bottom w:type="dxa" w:w="60"/>
              <w:right w:type="dxa" w:w="100"/>
            </w:tcMar>
          </w:tcPr>
          <w:p>
            <w:pPr>
              <w:spacing w:after="0" w:line="250"/>
            </w:pPr>
            <w:r>
              <w:rPr>
                <w:b/>
                <w:bCs/>
                <w:sz w:val="19"/>
                <w:szCs w:val="19"/>
              </w:rPr>
              <w:t xml:space="preserve">Entity set</w:t>
            </w:r>
          </w:p>
        </w:tc>
        <w:tc>
          <w:tcPr>
            <w:tcW w:type="dxa" w:w="6426"/>
            <w:tcMar>
              <w:top w:type="dxa" w:w="60"/>
              <w:left w:type="dxa" w:w="100"/>
              <w:bottom w:type="dxa" w:w="60"/>
              <w:right w:type="dxa" w:w="100"/>
            </w:tcMar>
          </w:tcPr>
          <w:p>
            <w:pPr>
              <w:spacing w:after="0" w:line="250"/>
            </w:pPr>
            <w:r>
              <w:rPr>
                <w:sz w:val="19"/>
                <w:szCs w:val="19"/>
              </w:rPr>
              <w:t xml:space="preserve">ReadAccessLogRAW</w:t>
            </w:r>
          </w:p>
        </w:tc>
      </w:tr>
      <w:tr>
        <w:tc>
          <w:tcPr>
            <w:tcW w:type="dxa" w:w="2600"/>
            <w:tcMar>
              <w:top w:type="dxa" w:w="60"/>
              <w:left w:type="dxa" w:w="100"/>
              <w:bottom w:type="dxa" w:w="60"/>
              <w:right w:type="dxa" w:w="100"/>
            </w:tcMar>
          </w:tcPr>
          <w:p>
            <w:pPr>
              <w:spacing w:after="0" w:line="250"/>
            </w:pPr>
            <w:r>
              <w:rPr>
                <w:b/>
                <w:bCs/>
                <w:sz w:val="19"/>
                <w:szCs w:val="19"/>
              </w:rPr>
              <w:t xml:space="preserve">Receiver participant</w:t>
            </w:r>
          </w:p>
        </w:tc>
        <w:tc>
          <w:tcPr>
            <w:tcW w:type="dxa" w:w="6426"/>
            <w:tcMar>
              <w:top w:type="dxa" w:w="60"/>
              <w:left w:type="dxa" w:w="100"/>
              <w:bottom w:type="dxa" w:w="60"/>
              <w:right w:type="dxa" w:w="100"/>
            </w:tcMar>
          </w:tcPr>
          <w:p>
            <w:pPr>
              <w:spacing w:after="0" w:line="250"/>
            </w:pPr>
            <w:r>
              <w:rPr>
                <w:sz w:val="19"/>
                <w:szCs w:val="19"/>
              </w:rPr>
              <w:t xml:space="preserve">S4_ReadAccessLog</w:t>
            </w:r>
          </w:p>
        </w:tc>
      </w:tr>
      <w:tr>
        <w:tc>
          <w:tcPr>
            <w:tcW w:type="dxa" w:w="2600"/>
            <w:tcMar>
              <w:top w:type="dxa" w:w="60"/>
              <w:left w:type="dxa" w:w="100"/>
              <w:bottom w:type="dxa" w:w="60"/>
              <w:right w:type="dxa" w:w="100"/>
            </w:tcMar>
          </w:tcPr>
          <w:p>
            <w:pPr>
              <w:spacing w:after="0" w:line="250"/>
            </w:pPr>
            <w:r>
              <w:rPr>
                <w:b/>
                <w:bCs/>
                <w:sz w:val="19"/>
                <w:szCs w:val="19"/>
              </w:rPr>
              <w:t xml:space="preserve">Timestamp field</w:t>
            </w:r>
          </w:p>
        </w:tc>
        <w:tc>
          <w:tcPr>
            <w:tcW w:type="dxa" w:w="6426"/>
            <w:tcMar>
              <w:top w:type="dxa" w:w="60"/>
              <w:left w:type="dxa" w:w="100"/>
              <w:bottom w:type="dxa" w:w="60"/>
              <w:right w:type="dxa" w:w="100"/>
            </w:tcMar>
          </w:tcPr>
          <w:p>
            <w:pPr>
              <w:spacing w:after="0" w:line="250"/>
            </w:pPr>
            <w:r>
              <w:rPr>
                <w:sz w:val="19"/>
                <w:szCs w:val="19"/>
              </w:rPr>
              <w:t xml:space="preserve">LogTimestamp  (Edm.DateTimeOffset)</w:t>
            </w:r>
          </w:p>
        </w:tc>
      </w:tr>
      <w:tr>
        <w:tc>
          <w:tcPr>
            <w:tcW w:type="dxa" w:w="2600"/>
            <w:tcMar>
              <w:top w:type="dxa" w:w="60"/>
              <w:left w:type="dxa" w:w="100"/>
              <w:bottom w:type="dxa" w:w="60"/>
              <w:right w:type="dxa" w:w="100"/>
            </w:tcMar>
          </w:tcPr>
          <w:p>
            <w:pPr>
              <w:spacing w:after="0" w:line="250"/>
            </w:pPr>
            <w:r>
              <w:rPr>
                <w:b/>
                <w:bCs/>
                <w:sz w:val="19"/>
                <w:szCs w:val="19"/>
              </w:rPr>
              <w:t xml:space="preserve">Timestamp sample</w:t>
            </w:r>
          </w:p>
        </w:tc>
        <w:tc>
          <w:tcPr>
            <w:tcW w:type="dxa" w:w="6426"/>
            <w:tcMar>
              <w:top w:type="dxa" w:w="60"/>
              <w:left w:type="dxa" w:w="100"/>
              <w:bottom w:type="dxa" w:w="60"/>
              <w:right w:type="dxa" w:w="100"/>
            </w:tcMar>
          </w:tcPr>
          <w:p>
            <w:pPr>
              <w:spacing w:after="0" w:line="250"/>
            </w:pPr>
            <w:r>
              <w:rPr>
                <w:sz w:val="19"/>
                <w:szCs w:val="19"/>
              </w:rPr>
              <w:t xml:space="preserve">2026-07-06T01:51:10Z   — timezone designator: Yes (trailing Z)</w:t>
            </w:r>
          </w:p>
        </w:tc>
      </w:tr>
      <w:tr>
        <w:tc>
          <w:tcPr>
            <w:tcW w:type="dxa" w:w="2600"/>
            <w:tcMar>
              <w:top w:type="dxa" w:w="60"/>
              <w:left w:type="dxa" w:w="100"/>
              <w:bottom w:type="dxa" w:w="60"/>
              <w:right w:type="dxa" w:w="100"/>
            </w:tcMar>
          </w:tcPr>
          <w:p>
            <w:pPr>
              <w:spacing w:after="0" w:line="250"/>
            </w:pPr>
            <w:r>
              <w:rPr>
                <w:b/>
                <w:bCs/>
                <w:sz w:val="19"/>
                <w:szCs w:val="19"/>
              </w:rPr>
              <w:t xml:space="preserve">$select</w:t>
            </w:r>
          </w:p>
        </w:tc>
        <w:tc>
          <w:tcPr>
            <w:tcW w:type="dxa" w:w="6426"/>
            <w:tcMar>
              <w:top w:type="dxa" w:w="60"/>
              <w:left w:type="dxa" w:w="100"/>
              <w:bottom w:type="dxa" w:w="60"/>
              <w:right w:type="dxa" w:w="100"/>
            </w:tcMar>
          </w:tcPr>
          <w:p>
            <w:pPr>
              <w:spacing w:after="0" w:line="250"/>
            </w:pPr>
            <w:r>
              <w:rPr>
                <w:sz w:val="19"/>
                <w:szCs w:val="19"/>
              </w:rPr>
              <w:t xml:space="preserve">14 fields — all EDMX properties (see Appendix A)</w:t>
            </w:r>
          </w:p>
        </w:tc>
      </w:tr>
      <w:tr>
        <w:tc>
          <w:tcPr>
            <w:tcW w:type="dxa" w:w="2600"/>
            <w:tcMar>
              <w:top w:type="dxa" w:w="60"/>
              <w:left w:type="dxa" w:w="100"/>
              <w:bottom w:type="dxa" w:w="60"/>
              <w:right w:type="dxa" w:w="100"/>
            </w:tcMar>
          </w:tcPr>
          <w:p>
            <w:pPr>
              <w:spacing w:after="0" w:line="250"/>
            </w:pPr>
            <w:r>
              <w:rPr>
                <w:b/>
                <w:bCs/>
                <w:sz w:val="19"/>
                <w:szCs w:val="19"/>
              </w:rPr>
              <w:t xml:space="preserve">Page size</w:t>
            </w:r>
          </w:p>
        </w:tc>
        <w:tc>
          <w:tcPr>
            <w:tcW w:type="dxa" w:w="6426"/>
            <w:tcMar>
              <w:top w:type="dxa" w:w="60"/>
              <w:left w:type="dxa" w:w="100"/>
              <w:bottom w:type="dxa" w:w="60"/>
              <w:right w:type="dxa" w:w="100"/>
            </w:tcMar>
          </w:tcPr>
          <w:p>
            <w:pPr>
              <w:spacing w:after="0" w:line="250"/>
            </w:pPr>
            <w:r>
              <w:rPr>
                <w:sz w:val="19"/>
                <w:szCs w:val="19"/>
              </w:rPr>
              <w:t xml:space="preserve">Adapter default</w:t>
            </w:r>
          </w:p>
        </w:tc>
      </w:tr>
      <w:tr>
        <w:tc>
          <w:tcPr>
            <w:tcW w:type="dxa" w:w="2600"/>
            <w:tcMar>
              <w:top w:type="dxa" w:w="60"/>
              <w:left w:type="dxa" w:w="100"/>
              <w:bottom w:type="dxa" w:w="60"/>
              <w:right w:type="dxa" w:w="100"/>
            </w:tcMar>
          </w:tcPr>
          <w:p>
            <w:pPr>
              <w:spacing w:after="0" w:line="250"/>
            </w:pPr>
            <w:r>
              <w:rPr>
                <w:b/>
                <w:bCs/>
                <w:sz w:val="19"/>
                <w:szCs w:val="19"/>
              </w:rPr>
              <w:t xml:space="preserve">Endpoint</w:t>
            </w:r>
          </w:p>
        </w:tc>
        <w:tc>
          <w:tcPr>
            <w:tcW w:type="dxa" w:w="6426"/>
            <w:tcMar>
              <w:top w:type="dxa" w:w="60"/>
              <w:left w:type="dxa" w:w="100"/>
              <w:bottom w:type="dxa" w:w="60"/>
              <w:right w:type="dxa" w:w="100"/>
            </w:tcMar>
          </w:tcPr>
          <w:p>
            <w:pPr>
              <w:spacing w:after="0" w:line="250"/>
            </w:pPr>
            <w:r>
              <w:rPr>
                <w:sz w:val="19"/>
                <w:szCs w:val="19"/>
              </w:rPr>
              <w:t xml:space="preserve">/extract/readaccesslog</w:t>
            </w:r>
          </w:p>
        </w:tc>
      </w:tr>
      <w:tr>
        <w:tc>
          <w:tcPr>
            <w:tcW w:type="dxa" w:w="2600"/>
            <w:tcMar>
              <w:top w:type="dxa" w:w="60"/>
              <w:left w:type="dxa" w:w="100"/>
              <w:bottom w:type="dxa" w:w="60"/>
              <w:right w:type="dxa" w:w="100"/>
            </w:tcMar>
          </w:tcPr>
          <w:p>
            <w:pPr>
              <w:spacing w:after="0" w:line="250"/>
            </w:pPr>
            <w:r>
              <w:rPr>
                <w:b/>
                <w:bCs/>
                <w:sz w:val="19"/>
                <w:szCs w:val="19"/>
              </w:rPr>
              <w:t xml:space="preserve">Data Store / entry</w:t>
            </w:r>
          </w:p>
        </w:tc>
        <w:tc>
          <w:tcPr>
            <w:tcW w:type="dxa" w:w="6426"/>
            <w:tcMar>
              <w:top w:type="dxa" w:w="60"/>
              <w:left w:type="dxa" w:w="100"/>
              <w:bottom w:type="dxa" w:w="60"/>
              <w:right w:type="dxa" w:w="100"/>
            </w:tcMar>
          </w:tcPr>
          <w:p>
            <w:pPr>
              <w:spacing w:after="0" w:line="250"/>
            </w:pPr>
            <w:r>
              <w:rPr>
                <w:sz w:val="19"/>
                <w:szCs w:val="19"/>
              </w:rPr>
              <w:t xml:space="preserve">READ_ACCESS_DELTA / LastRun</w:t>
            </w:r>
          </w:p>
        </w:tc>
      </w:tr>
      <w:tr>
        <w:tc>
          <w:tcPr>
            <w:tcW w:type="dxa" w:w="2600"/>
            <w:tcMar>
              <w:top w:type="dxa" w:w="60"/>
              <w:left w:type="dxa" w:w="100"/>
              <w:bottom w:type="dxa" w:w="60"/>
              <w:right w:type="dxa" w:w="100"/>
            </w:tcMar>
          </w:tcPr>
          <w:p>
            <w:pPr>
              <w:spacing w:after="0" w:line="250"/>
            </w:pPr>
            <w:r>
              <w:rPr>
                <w:b/>
                <w:bCs/>
                <w:sz w:val="19"/>
                <w:szCs w:val="19"/>
              </w:rPr>
              <w:t xml:space="preserve">Splunk sourcetype</w:t>
            </w:r>
          </w:p>
        </w:tc>
        <w:tc>
          <w:tcPr>
            <w:tcW w:type="dxa" w:w="6426"/>
            <w:tcMar>
              <w:top w:type="dxa" w:w="60"/>
              <w:left w:type="dxa" w:w="100"/>
              <w:bottom w:type="dxa" w:w="60"/>
              <w:right w:type="dxa" w:w="100"/>
            </w:tcMar>
          </w:tcPr>
          <w:p>
            <w:pPr>
              <w:spacing w:after="0" w:line="250"/>
            </w:pPr>
            <w:r>
              <w:rPr>
                <w:sz w:val="19"/>
                <w:szCs w:val="19"/>
              </w:rPr>
              <w:t xml:space="preserve">sap:s4hana:cloud:access</w:t>
            </w:r>
          </w:p>
        </w:tc>
      </w:tr>
      <w:tr>
        <w:tc>
          <w:tcPr>
            <w:tcW w:type="dxa" w:w="2600"/>
            <w:tcMar>
              <w:top w:type="dxa" w:w="60"/>
              <w:left w:type="dxa" w:w="100"/>
              <w:bottom w:type="dxa" w:w="60"/>
              <w:right w:type="dxa" w:w="100"/>
            </w:tcMar>
          </w:tcPr>
          <w:p>
            <w:pPr>
              <w:spacing w:after="0" w:line="250"/>
            </w:pPr>
            <w:r>
              <w:rPr>
                <w:b/>
                <w:bCs/>
                <w:sz w:val="19"/>
                <w:szCs w:val="19"/>
              </w:rPr>
              <w:t xml:space="preserve">Splunk source</w:t>
            </w:r>
          </w:p>
        </w:tc>
        <w:tc>
          <w:tcPr>
            <w:tcW w:type="dxa" w:w="6426"/>
            <w:tcMar>
              <w:top w:type="dxa" w:w="60"/>
              <w:left w:type="dxa" w:w="100"/>
              <w:bottom w:type="dxa" w:w="60"/>
              <w:right w:type="dxa" w:w="100"/>
            </w:tcMar>
          </w:tcPr>
          <w:p>
            <w:pPr>
              <w:spacing w:after="0" w:line="250"/>
            </w:pPr>
            <w:r>
              <w:rPr>
                <w:sz w:val="19"/>
                <w:szCs w:val="19"/>
              </w:rPr>
              <w:t xml:space="preserve">sap:cpi:readaccesslog</w:t>
            </w:r>
          </w:p>
        </w:tc>
      </w:tr>
      <w:tr>
        <w:tc>
          <w:tcPr>
            <w:tcW w:type="dxa" w:w="2600"/>
            <w:tcMar>
              <w:top w:type="dxa" w:w="60"/>
              <w:left w:type="dxa" w:w="100"/>
              <w:bottom w:type="dxa" w:w="60"/>
              <w:right w:type="dxa" w:w="100"/>
            </w:tcMar>
          </w:tcPr>
          <w:p>
            <w:pPr>
              <w:spacing w:after="0" w:line="250"/>
            </w:pPr>
            <w:r>
              <w:rPr>
                <w:b/>
                <w:bCs/>
                <w:sz w:val="19"/>
                <w:szCs w:val="19"/>
              </w:rPr>
              <w:t xml:space="preserve">XML-to-JSON path</w:t>
            </w:r>
          </w:p>
        </w:tc>
        <w:tc>
          <w:tcPr>
            <w:tcW w:type="dxa" w:w="6426"/>
            <w:tcMar>
              <w:top w:type="dxa" w:w="60"/>
              <w:left w:type="dxa" w:w="100"/>
              <w:bottom w:type="dxa" w:w="60"/>
              <w:right w:type="dxa" w:w="100"/>
            </w:tcMar>
          </w:tcPr>
          <w:p>
            <w:pPr>
              <w:spacing w:after="0" w:line="250"/>
            </w:pPr>
            <w:r>
              <w:rPr>
                <w:sz w:val="19"/>
                <w:szCs w:val="19"/>
              </w:rPr>
              <w:t xml:space="preserve">ReadAccessLogRAW/ReadAccessLogRAWType</w:t>
            </w:r>
          </w:p>
        </w:tc>
      </w:tr>
      <w:tr>
        <w:tc>
          <w:tcPr>
            <w:tcW w:type="dxa" w:w="2600"/>
            <w:tcMar>
              <w:top w:type="dxa" w:w="60"/>
              <w:left w:type="dxa" w:w="100"/>
              <w:bottom w:type="dxa" w:w="60"/>
              <w:right w:type="dxa" w:w="100"/>
            </w:tcMar>
          </w:tcPr>
          <w:p>
            <w:pPr>
              <w:spacing w:after="0" w:line="250"/>
            </w:pPr>
            <w:r>
              <w:rPr>
                <w:b/>
                <w:bCs/>
                <w:sz w:val="19"/>
                <w:szCs w:val="19"/>
              </w:rPr>
              <w:t xml:space="preserve">Groovy flowstep versions</w:t>
            </w:r>
          </w:p>
        </w:tc>
        <w:tc>
          <w:tcPr>
            <w:tcW w:type="dxa" w:w="6426"/>
            <w:tcMar>
              <w:top w:type="dxa" w:w="60"/>
              <w:left w:type="dxa" w:w="100"/>
              <w:bottom w:type="dxa" w:w="60"/>
              <w:right w:type="dxa" w:w="100"/>
            </w:tcMar>
          </w:tcPr>
          <w:p>
            <w:pPr>
              <w:spacing w:after="0" w:line="250"/>
            </w:pPr>
            <w:r>
              <w:rPr>
                <w:sz w:val="19"/>
                <w:szCs w:val="19"/>
              </w:rPr>
              <w:t xml:space="preserve">v2 (all three)</w:t>
            </w:r>
          </w:p>
        </w:tc>
      </w:tr>
    </w:tbl>
    <w:p>
      <w:pPr>
        <w:spacing w:after="120"/>
      </w:pPr>
    </w:p>
    <w:p>
      <w:pPr>
        <w:spacing w:after="120" w:line="276"/>
      </w:pPr>
      <w:r>
        <w:rPr>
          <w:b/>
          <w:bCs/>
          <w:sz w:val="21"/>
          <w:szCs w:val="21"/>
        </w:rPr>
        <w:t xml:space="preserve">OData query:</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$filter=(LogTimestamp gt ${property.windowFrom} and LogTimestamp le ${property.runStartTime})</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&amp;$orderby=LogTimestamp asc</w:t>
      </w:r>
    </w:p>
    <w:p>
      <w:pPr>
        <w:spacing w:after="160"/>
      </w:pPr>
    </w:p>
    <w:p>
      <w:pPr>
        <w:pStyle w:val="Heading2"/>
        <w:spacing w:after="140" w:before="240"/>
      </w:pPr>
      <w:r>
        <w:t xml:space="preserve">10.3 IF-03 — Business User Changes</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600"/>
        <w:gridCol w:w="6426"/>
      </w:tblGrid>
      <w:tr>
        <w:tc>
          <w:tcPr>
            <w:tcW w:type="dxa" w:w="2600"/>
            <w:tcMar>
              <w:top w:type="dxa" w:w="60"/>
              <w:left w:type="dxa" w:w="100"/>
              <w:bottom w:type="dxa" w:w="60"/>
              <w:right w:type="dxa" w:w="100"/>
            </w:tcMar>
          </w:tcPr>
          <w:p>
            <w:pPr>
              <w:spacing w:after="0" w:line="250"/>
            </w:pPr>
            <w:r>
              <w:rPr>
                <w:b/>
                <w:bCs/>
                <w:sz w:val="19"/>
                <w:szCs w:val="19"/>
              </w:rPr>
              <w:t xml:space="preserve">CPI artifact</w:t>
            </w:r>
          </w:p>
        </w:tc>
        <w:tc>
          <w:tcPr>
            <w:tcW w:type="dxa" w:w="6426"/>
            <w:tcMar>
              <w:top w:type="dxa" w:w="60"/>
              <w:left w:type="dxa" w:w="100"/>
              <w:bottom w:type="dxa" w:w="60"/>
              <w:right w:type="dxa" w:w="100"/>
            </w:tcMar>
          </w:tcPr>
          <w:p>
            <w:pPr>
              <w:spacing w:after="0" w:line="250"/>
            </w:pPr>
            <w:r>
              <w:rPr>
                <w:sz w:val="19"/>
                <w:szCs w:val="19"/>
              </w:rPr>
              <w:t xml:space="preserve">YY1 Extract Business User Changes Log from S4HC</w:t>
            </w:r>
          </w:p>
        </w:tc>
      </w:tr>
      <w:tr>
        <w:tc>
          <w:tcPr>
            <w:tcW w:type="dxa" w:w="2600"/>
            <w:tcMar>
              <w:top w:type="dxa" w:w="60"/>
              <w:left w:type="dxa" w:w="100"/>
              <w:bottom w:type="dxa" w:w="60"/>
              <w:right w:type="dxa" w:w="100"/>
            </w:tcMar>
          </w:tcPr>
          <w:p>
            <w:pPr>
              <w:spacing w:after="0" w:line="250"/>
            </w:pPr>
            <w:r>
              <w:rPr>
                <w:b/>
                <w:bCs/>
                <w:sz w:val="19"/>
                <w:szCs w:val="19"/>
              </w:rPr>
              <w:t xml:space="preserve">Comm. scenario</w:t>
            </w:r>
          </w:p>
        </w:tc>
        <w:tc>
          <w:tcPr>
            <w:tcW w:type="dxa" w:w="6426"/>
            <w:tcMar>
              <w:top w:type="dxa" w:w="60"/>
              <w:left w:type="dxa" w:w="100"/>
              <w:bottom w:type="dxa" w:w="60"/>
              <w:right w:type="dxa" w:w="100"/>
            </w:tcMar>
          </w:tcPr>
          <w:p>
            <w:pPr>
              <w:spacing w:after="0" w:line="250"/>
            </w:pPr>
            <w:r>
              <w:rPr>
                <w:sz w:val="19"/>
                <w:szCs w:val="19"/>
              </w:rPr>
              <w:t xml:space="preserve">SAP_COM_0327</w:t>
            </w:r>
          </w:p>
        </w:tc>
      </w:tr>
      <w:tr>
        <w:tc>
          <w:tcPr>
            <w:tcW w:type="dxa" w:w="2600"/>
            <w:tcMar>
              <w:top w:type="dxa" w:w="60"/>
              <w:left w:type="dxa" w:w="100"/>
              <w:bottom w:type="dxa" w:w="60"/>
              <w:right w:type="dxa" w:w="100"/>
            </w:tcMar>
          </w:tcPr>
          <w:p>
            <w:pPr>
              <w:spacing w:after="0" w:line="250"/>
            </w:pPr>
            <w:r>
              <w:rPr>
                <w:b/>
                <w:bCs/>
                <w:sz w:val="19"/>
                <w:szCs w:val="19"/>
              </w:rPr>
              <w:t xml:space="preserve">Protocol</w:t>
            </w:r>
          </w:p>
        </w:tc>
        <w:tc>
          <w:tcPr>
            <w:tcW w:type="dxa" w:w="6426"/>
            <w:tcMar>
              <w:top w:type="dxa" w:w="60"/>
              <w:left w:type="dxa" w:w="100"/>
              <w:bottom w:type="dxa" w:w="60"/>
              <w:right w:type="dxa" w:w="100"/>
            </w:tcMar>
          </w:tcPr>
          <w:p>
            <w:pPr>
              <w:spacing w:after="0" w:line="250"/>
            </w:pPr>
            <w:r>
              <w:rPr>
                <w:sz w:val="19"/>
                <w:szCs w:val="19"/>
              </w:rPr>
              <w:t xml:space="preserve">OData V2</w:t>
            </w:r>
          </w:p>
        </w:tc>
      </w:tr>
      <w:tr>
        <w:tc>
          <w:tcPr>
            <w:tcW w:type="dxa" w:w="2600"/>
            <w:tcMar>
              <w:top w:type="dxa" w:w="60"/>
              <w:left w:type="dxa" w:w="100"/>
              <w:bottom w:type="dxa" w:w="60"/>
              <w:right w:type="dxa" w:w="100"/>
            </w:tcMar>
          </w:tcPr>
          <w:p>
            <w:pPr>
              <w:spacing w:after="0" w:line="250"/>
            </w:pPr>
            <w:r>
              <w:rPr>
                <w:b/>
                <w:bCs/>
                <w:sz w:val="19"/>
                <w:szCs w:val="19"/>
              </w:rPr>
              <w:t xml:space="preserve">Service address</w:t>
            </w:r>
          </w:p>
        </w:tc>
        <w:tc>
          <w:tcPr>
            <w:tcW w:type="dxa" w:w="6426"/>
            <w:tcMar>
              <w:top w:type="dxa" w:w="60"/>
              <w:left w:type="dxa" w:w="100"/>
              <w:bottom w:type="dxa" w:w="60"/>
              <w:right w:type="dxa" w:w="100"/>
            </w:tcMar>
          </w:tcPr>
          <w:p>
            <w:pPr>
              <w:spacing w:after="0" w:line="250"/>
            </w:pPr>
            <w:r>
              <w:rPr>
                <w:sz w:val="19"/>
                <w:szCs w:val="19"/>
              </w:rPr>
              <w:t xml:space="preserve">https://my435863-api.s4hana.cloud.sap/sap/opu/odata/sap/APS_IAM_API_BUSER_CDOC</w:t>
            </w:r>
          </w:p>
        </w:tc>
      </w:tr>
      <w:tr>
        <w:tc>
          <w:tcPr>
            <w:tcW w:type="dxa" w:w="2600"/>
            <w:tcMar>
              <w:top w:type="dxa" w:w="60"/>
              <w:left w:type="dxa" w:w="100"/>
              <w:bottom w:type="dxa" w:w="60"/>
              <w:right w:type="dxa" w:w="100"/>
            </w:tcMar>
          </w:tcPr>
          <w:p>
            <w:pPr>
              <w:spacing w:after="0" w:line="250"/>
            </w:pPr>
            <w:r>
              <w:rPr>
                <w:b/>
                <w:bCs/>
                <w:sz w:val="19"/>
                <w:szCs w:val="19"/>
              </w:rPr>
              <w:t xml:space="preserve">Entity set</w:t>
            </w:r>
          </w:p>
        </w:tc>
        <w:tc>
          <w:tcPr>
            <w:tcW w:type="dxa" w:w="6426"/>
            <w:tcMar>
              <w:top w:type="dxa" w:w="60"/>
              <w:left w:type="dxa" w:w="100"/>
              <w:bottom w:type="dxa" w:w="60"/>
              <w:right w:type="dxa" w:w="100"/>
            </w:tcMar>
          </w:tcPr>
          <w:p>
            <w:pPr>
              <w:spacing w:after="0" w:line="250"/>
            </w:pPr>
            <w:r>
              <w:rPr>
                <w:sz w:val="19"/>
                <w:szCs w:val="19"/>
              </w:rPr>
              <w:t xml:space="preserve">BusinessUserChanges</w:t>
            </w:r>
          </w:p>
        </w:tc>
      </w:tr>
      <w:tr>
        <w:tc>
          <w:tcPr>
            <w:tcW w:type="dxa" w:w="2600"/>
            <w:tcMar>
              <w:top w:type="dxa" w:w="60"/>
              <w:left w:type="dxa" w:w="100"/>
              <w:bottom w:type="dxa" w:w="60"/>
              <w:right w:type="dxa" w:w="100"/>
            </w:tcMar>
          </w:tcPr>
          <w:p>
            <w:pPr>
              <w:spacing w:after="0" w:line="250"/>
            </w:pPr>
            <w:r>
              <w:rPr>
                <w:b/>
                <w:bCs/>
                <w:sz w:val="19"/>
                <w:szCs w:val="19"/>
              </w:rPr>
              <w:t xml:space="preserve">Receiver participant</w:t>
            </w:r>
          </w:p>
        </w:tc>
        <w:tc>
          <w:tcPr>
            <w:tcW w:type="dxa" w:w="6426"/>
            <w:tcMar>
              <w:top w:type="dxa" w:w="60"/>
              <w:left w:type="dxa" w:w="100"/>
              <w:bottom w:type="dxa" w:w="60"/>
              <w:right w:type="dxa" w:w="100"/>
            </w:tcMar>
          </w:tcPr>
          <w:p>
            <w:pPr>
              <w:spacing w:after="0" w:line="250"/>
            </w:pPr>
            <w:r>
              <w:rPr>
                <w:sz w:val="19"/>
                <w:szCs w:val="19"/>
              </w:rPr>
              <w:t xml:space="preserve">S4_BusinessUserChanges</w:t>
            </w:r>
          </w:p>
        </w:tc>
      </w:tr>
      <w:tr>
        <w:tc>
          <w:tcPr>
            <w:tcW w:type="dxa" w:w="2600"/>
            <w:tcMar>
              <w:top w:type="dxa" w:w="60"/>
              <w:left w:type="dxa" w:w="100"/>
              <w:bottom w:type="dxa" w:w="60"/>
              <w:right w:type="dxa" w:w="100"/>
            </w:tcMar>
          </w:tcPr>
          <w:p>
            <w:pPr>
              <w:spacing w:after="0" w:line="250"/>
            </w:pPr>
            <w:r>
              <w:rPr>
                <w:b/>
                <w:bCs/>
                <w:sz w:val="19"/>
                <w:szCs w:val="19"/>
              </w:rPr>
              <w:t xml:space="preserve">Timestamp field</w:t>
            </w:r>
          </w:p>
        </w:tc>
        <w:tc>
          <w:tcPr>
            <w:tcW w:type="dxa" w:w="6426"/>
            <w:tcMar>
              <w:top w:type="dxa" w:w="60"/>
              <w:left w:type="dxa" w:w="100"/>
              <w:bottom w:type="dxa" w:w="60"/>
              <w:right w:type="dxa" w:w="100"/>
            </w:tcMar>
          </w:tcPr>
          <w:p>
            <w:pPr>
              <w:spacing w:after="0" w:line="250"/>
            </w:pPr>
            <w:r>
              <w:rPr>
                <w:sz w:val="19"/>
                <w:szCs w:val="19"/>
              </w:rPr>
              <w:t xml:space="preserve">ChangedOn  (Edm.DateTimeOffset (Precision 7))</w:t>
            </w:r>
          </w:p>
        </w:tc>
      </w:tr>
      <w:tr>
        <w:tc>
          <w:tcPr>
            <w:tcW w:type="dxa" w:w="2600"/>
            <w:tcMar>
              <w:top w:type="dxa" w:w="60"/>
              <w:left w:type="dxa" w:w="100"/>
              <w:bottom w:type="dxa" w:w="60"/>
              <w:right w:type="dxa" w:w="100"/>
            </w:tcMar>
          </w:tcPr>
          <w:p>
            <w:pPr>
              <w:spacing w:after="0" w:line="250"/>
            </w:pPr>
            <w:r>
              <w:rPr>
                <w:b/>
                <w:bCs/>
                <w:sz w:val="19"/>
                <w:szCs w:val="19"/>
              </w:rPr>
              <w:t xml:space="preserve">Timestamp sample</w:t>
            </w:r>
          </w:p>
        </w:tc>
        <w:tc>
          <w:tcPr>
            <w:tcW w:type="dxa" w:w="6426"/>
            <w:tcMar>
              <w:top w:type="dxa" w:w="60"/>
              <w:left w:type="dxa" w:w="100"/>
              <w:bottom w:type="dxa" w:w="60"/>
              <w:right w:type="dxa" w:w="100"/>
            </w:tcMar>
          </w:tcPr>
          <w:p>
            <w:pPr>
              <w:spacing w:after="0" w:line="250"/>
            </w:pPr>
            <w:r>
              <w:rPr>
                <w:sz w:val="19"/>
                <w:szCs w:val="19"/>
              </w:rPr>
              <w:t xml:space="preserve">2026-02-16T13:31:08.000   — timezone designator: No — assumed UTC</w:t>
            </w:r>
          </w:p>
        </w:tc>
      </w:tr>
      <w:tr>
        <w:tc>
          <w:tcPr>
            <w:tcW w:type="dxa" w:w="2600"/>
            <w:tcMar>
              <w:top w:type="dxa" w:w="60"/>
              <w:left w:type="dxa" w:w="100"/>
              <w:bottom w:type="dxa" w:w="60"/>
              <w:right w:type="dxa" w:w="100"/>
            </w:tcMar>
          </w:tcPr>
          <w:p>
            <w:pPr>
              <w:spacing w:after="0" w:line="250"/>
            </w:pPr>
            <w:r>
              <w:rPr>
                <w:b/>
                <w:bCs/>
                <w:sz w:val="19"/>
                <w:szCs w:val="19"/>
              </w:rPr>
              <w:t xml:space="preserve">$select</w:t>
            </w:r>
          </w:p>
        </w:tc>
        <w:tc>
          <w:tcPr>
            <w:tcW w:type="dxa" w:w="6426"/>
            <w:tcMar>
              <w:top w:type="dxa" w:w="60"/>
              <w:left w:type="dxa" w:w="100"/>
              <w:bottom w:type="dxa" w:w="60"/>
              <w:right w:type="dxa" w:w="100"/>
            </w:tcMar>
          </w:tcPr>
          <w:p>
            <w:pPr>
              <w:spacing w:after="0" w:line="250"/>
            </w:pPr>
            <w:r>
              <w:rPr>
                <w:sz w:val="19"/>
                <w:szCs w:val="19"/>
              </w:rPr>
              <w:t xml:space="preserve">15 fields — all EDMX properties (see Appendix A)</w:t>
            </w:r>
          </w:p>
        </w:tc>
      </w:tr>
      <w:tr>
        <w:tc>
          <w:tcPr>
            <w:tcW w:type="dxa" w:w="2600"/>
            <w:tcMar>
              <w:top w:type="dxa" w:w="60"/>
              <w:left w:type="dxa" w:w="100"/>
              <w:bottom w:type="dxa" w:w="60"/>
              <w:right w:type="dxa" w:w="100"/>
            </w:tcMar>
          </w:tcPr>
          <w:p>
            <w:pPr>
              <w:spacing w:after="0" w:line="250"/>
            </w:pPr>
            <w:r>
              <w:rPr>
                <w:b/>
                <w:bCs/>
                <w:sz w:val="19"/>
                <w:szCs w:val="19"/>
              </w:rPr>
              <w:t xml:space="preserve">Page size</w:t>
            </w:r>
          </w:p>
        </w:tc>
        <w:tc>
          <w:tcPr>
            <w:tcW w:type="dxa" w:w="6426"/>
            <w:tcMar>
              <w:top w:type="dxa" w:w="60"/>
              <w:left w:type="dxa" w:w="100"/>
              <w:bottom w:type="dxa" w:w="60"/>
              <w:right w:type="dxa" w:w="100"/>
            </w:tcMar>
          </w:tcPr>
          <w:p>
            <w:pPr>
              <w:spacing w:after="0" w:line="250"/>
            </w:pPr>
            <w:r>
              <w:rPr>
                <w:sz w:val="19"/>
                <w:szCs w:val="19"/>
              </w:rPr>
              <w:t xml:space="preserve">1000 (odatapagesize)</w:t>
            </w:r>
          </w:p>
        </w:tc>
      </w:tr>
      <w:tr>
        <w:tc>
          <w:tcPr>
            <w:tcW w:type="dxa" w:w="2600"/>
            <w:tcMar>
              <w:top w:type="dxa" w:w="60"/>
              <w:left w:type="dxa" w:w="100"/>
              <w:bottom w:type="dxa" w:w="60"/>
              <w:right w:type="dxa" w:w="100"/>
            </w:tcMar>
          </w:tcPr>
          <w:p>
            <w:pPr>
              <w:spacing w:after="0" w:line="250"/>
            </w:pPr>
            <w:r>
              <w:rPr>
                <w:b/>
                <w:bCs/>
                <w:sz w:val="19"/>
                <w:szCs w:val="19"/>
              </w:rPr>
              <w:t xml:space="preserve">Endpoint</w:t>
            </w:r>
          </w:p>
        </w:tc>
        <w:tc>
          <w:tcPr>
            <w:tcW w:type="dxa" w:w="6426"/>
            <w:tcMar>
              <w:top w:type="dxa" w:w="60"/>
              <w:left w:type="dxa" w:w="100"/>
              <w:bottom w:type="dxa" w:w="60"/>
              <w:right w:type="dxa" w:w="100"/>
            </w:tcMar>
          </w:tcPr>
          <w:p>
            <w:pPr>
              <w:spacing w:after="0" w:line="250"/>
            </w:pPr>
            <w:r>
              <w:rPr>
                <w:sz w:val="19"/>
                <w:szCs w:val="19"/>
              </w:rPr>
              <w:t xml:space="preserve">/extract/businessuserchanges</w:t>
            </w:r>
          </w:p>
        </w:tc>
      </w:tr>
      <w:tr>
        <w:tc>
          <w:tcPr>
            <w:tcW w:type="dxa" w:w="2600"/>
            <w:tcMar>
              <w:top w:type="dxa" w:w="60"/>
              <w:left w:type="dxa" w:w="100"/>
              <w:bottom w:type="dxa" w:w="60"/>
              <w:right w:type="dxa" w:w="100"/>
            </w:tcMar>
          </w:tcPr>
          <w:p>
            <w:pPr>
              <w:spacing w:after="0" w:line="250"/>
            </w:pPr>
            <w:r>
              <w:rPr>
                <w:b/>
                <w:bCs/>
                <w:sz w:val="19"/>
                <w:szCs w:val="19"/>
              </w:rPr>
              <w:t xml:space="preserve">Data Store / entry</w:t>
            </w:r>
          </w:p>
        </w:tc>
        <w:tc>
          <w:tcPr>
            <w:tcW w:type="dxa" w:w="6426"/>
            <w:tcMar>
              <w:top w:type="dxa" w:w="60"/>
              <w:left w:type="dxa" w:w="100"/>
              <w:bottom w:type="dxa" w:w="60"/>
              <w:right w:type="dxa" w:w="100"/>
            </w:tcMar>
          </w:tcPr>
          <w:p>
            <w:pPr>
              <w:spacing w:after="0" w:line="250"/>
            </w:pPr>
            <w:r>
              <w:rPr>
                <w:sz w:val="19"/>
                <w:szCs w:val="19"/>
              </w:rPr>
              <w:t xml:space="preserve">BUS_USER_DELTA / LastRun</w:t>
            </w:r>
          </w:p>
        </w:tc>
      </w:tr>
      <w:tr>
        <w:tc>
          <w:tcPr>
            <w:tcW w:type="dxa" w:w="2600"/>
            <w:tcMar>
              <w:top w:type="dxa" w:w="60"/>
              <w:left w:type="dxa" w:w="100"/>
              <w:bottom w:type="dxa" w:w="60"/>
              <w:right w:type="dxa" w:w="100"/>
            </w:tcMar>
          </w:tcPr>
          <w:p>
            <w:pPr>
              <w:spacing w:after="0" w:line="250"/>
            </w:pPr>
            <w:r>
              <w:rPr>
                <w:b/>
                <w:bCs/>
                <w:sz w:val="19"/>
                <w:szCs w:val="19"/>
              </w:rPr>
              <w:t xml:space="preserve">Splunk sourcetype</w:t>
            </w:r>
          </w:p>
        </w:tc>
        <w:tc>
          <w:tcPr>
            <w:tcW w:type="dxa" w:w="6426"/>
            <w:tcMar>
              <w:top w:type="dxa" w:w="60"/>
              <w:left w:type="dxa" w:w="100"/>
              <w:bottom w:type="dxa" w:w="60"/>
              <w:right w:type="dxa" w:w="100"/>
            </w:tcMar>
          </w:tcPr>
          <w:p>
            <w:pPr>
              <w:spacing w:after="0" w:line="250"/>
            </w:pPr>
            <w:r>
              <w:rPr>
                <w:sz w:val="19"/>
                <w:szCs w:val="19"/>
              </w:rPr>
              <w:t xml:space="preserve">sap:s4hana:cloud:userchanges</w:t>
            </w:r>
          </w:p>
        </w:tc>
      </w:tr>
      <w:tr>
        <w:tc>
          <w:tcPr>
            <w:tcW w:type="dxa" w:w="2600"/>
            <w:tcMar>
              <w:top w:type="dxa" w:w="60"/>
              <w:left w:type="dxa" w:w="100"/>
              <w:bottom w:type="dxa" w:w="60"/>
              <w:right w:type="dxa" w:w="100"/>
            </w:tcMar>
          </w:tcPr>
          <w:p>
            <w:pPr>
              <w:spacing w:after="0" w:line="250"/>
            </w:pPr>
            <w:r>
              <w:rPr>
                <w:b/>
                <w:bCs/>
                <w:sz w:val="19"/>
                <w:szCs w:val="19"/>
              </w:rPr>
              <w:t xml:space="preserve">Splunk source</w:t>
            </w:r>
          </w:p>
        </w:tc>
        <w:tc>
          <w:tcPr>
            <w:tcW w:type="dxa" w:w="6426"/>
            <w:tcMar>
              <w:top w:type="dxa" w:w="60"/>
              <w:left w:type="dxa" w:w="100"/>
              <w:bottom w:type="dxa" w:w="60"/>
              <w:right w:type="dxa" w:w="100"/>
            </w:tcMar>
          </w:tcPr>
          <w:p>
            <w:pPr>
              <w:spacing w:after="0" w:line="250"/>
            </w:pPr>
            <w:r>
              <w:rPr>
                <w:sz w:val="19"/>
                <w:szCs w:val="19"/>
              </w:rPr>
              <w:t xml:space="preserve">sap:cpi:businessuserchangeslog</w:t>
            </w:r>
          </w:p>
        </w:tc>
      </w:tr>
      <w:tr>
        <w:tc>
          <w:tcPr>
            <w:tcW w:type="dxa" w:w="2600"/>
            <w:tcMar>
              <w:top w:type="dxa" w:w="60"/>
              <w:left w:type="dxa" w:w="100"/>
              <w:bottom w:type="dxa" w:w="60"/>
              <w:right w:type="dxa" w:w="100"/>
            </w:tcMar>
          </w:tcPr>
          <w:p>
            <w:pPr>
              <w:spacing w:after="0" w:line="250"/>
            </w:pPr>
            <w:r>
              <w:rPr>
                <w:b/>
                <w:bCs/>
                <w:sz w:val="19"/>
                <w:szCs w:val="19"/>
              </w:rPr>
              <w:t xml:space="preserve">XML-to-JSON path</w:t>
            </w:r>
          </w:p>
        </w:tc>
        <w:tc>
          <w:tcPr>
            <w:tcW w:type="dxa" w:w="6426"/>
            <w:tcMar>
              <w:top w:type="dxa" w:w="60"/>
              <w:left w:type="dxa" w:w="100"/>
              <w:bottom w:type="dxa" w:w="60"/>
              <w:right w:type="dxa" w:w="100"/>
            </w:tcMar>
          </w:tcPr>
          <w:p>
            <w:pPr>
              <w:spacing w:after="0" w:line="250"/>
            </w:pPr>
            <w:r>
              <w:rPr>
                <w:sz w:val="19"/>
                <w:szCs w:val="19"/>
              </w:rPr>
              <w:t xml:space="preserve">BusinessUserChanges/BusinessUserChangesType</w:t>
            </w:r>
          </w:p>
        </w:tc>
      </w:tr>
      <w:tr>
        <w:tc>
          <w:tcPr>
            <w:tcW w:type="dxa" w:w="2600"/>
            <w:tcMar>
              <w:top w:type="dxa" w:w="60"/>
              <w:left w:type="dxa" w:w="100"/>
              <w:bottom w:type="dxa" w:w="60"/>
              <w:right w:type="dxa" w:w="100"/>
            </w:tcMar>
          </w:tcPr>
          <w:p>
            <w:pPr>
              <w:spacing w:after="0" w:line="250"/>
            </w:pPr>
            <w:r>
              <w:rPr>
                <w:b/>
                <w:bCs/>
                <w:sz w:val="19"/>
                <w:szCs w:val="19"/>
              </w:rPr>
              <w:t xml:space="preserve">Groovy flowstep versions</w:t>
            </w:r>
          </w:p>
        </w:tc>
        <w:tc>
          <w:tcPr>
            <w:tcW w:type="dxa" w:w="6426"/>
            <w:tcMar>
              <w:top w:type="dxa" w:w="60"/>
              <w:left w:type="dxa" w:w="100"/>
              <w:bottom w:type="dxa" w:w="60"/>
              <w:right w:type="dxa" w:w="100"/>
            </w:tcMar>
          </w:tcPr>
          <w:p>
            <w:pPr>
              <w:spacing w:after="0" w:line="250"/>
            </w:pPr>
            <w:r>
              <w:rPr>
                <w:sz w:val="19"/>
                <w:szCs w:val="19"/>
              </w:rPr>
              <w:t xml:space="preserve">v2 (map, resolve) / v1 (handleError)</w:t>
            </w:r>
          </w:p>
        </w:tc>
      </w:tr>
    </w:tbl>
    <w:p>
      <w:pPr>
        <w:spacing w:after="120"/>
      </w:pPr>
    </w:p>
    <w:p>
      <w:pPr>
        <w:spacing w:after="120" w:line="276"/>
      </w:pPr>
      <w:r>
        <w:rPr>
          <w:b/>
          <w:bCs/>
          <w:sz w:val="21"/>
          <w:szCs w:val="21"/>
        </w:rPr>
        <w:t xml:space="preserve">OData query:</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$filter=(ChangedOn gt datetimeoffset'${property.windowFrom}' and ChangedOn le datetimeoffset'${property.runStartTime}')</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&amp;$orderby=ChangedOn asc</w:t>
      </w:r>
    </w:p>
    <w:p>
      <w:pPr>
        <w:spacing w:after="160"/>
      </w:pPr>
    </w:p>
    <w:p>
      <w:pPr>
        <w:pStyle w:val="Heading2"/>
        <w:spacing w:after="140" w:before="240"/>
      </w:pPr>
      <w:r>
        <w:t xml:space="preserve">10.4 IF-04 — Business Role Changes</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600"/>
        <w:gridCol w:w="6426"/>
      </w:tblGrid>
      <w:tr>
        <w:tc>
          <w:tcPr>
            <w:tcW w:type="dxa" w:w="2600"/>
            <w:tcMar>
              <w:top w:type="dxa" w:w="60"/>
              <w:left w:type="dxa" w:w="100"/>
              <w:bottom w:type="dxa" w:w="60"/>
              <w:right w:type="dxa" w:w="100"/>
            </w:tcMar>
          </w:tcPr>
          <w:p>
            <w:pPr>
              <w:spacing w:after="0" w:line="250"/>
            </w:pPr>
            <w:r>
              <w:rPr>
                <w:b/>
                <w:bCs/>
                <w:sz w:val="19"/>
                <w:szCs w:val="19"/>
              </w:rPr>
              <w:t xml:space="preserve">CPI artifact</w:t>
            </w:r>
          </w:p>
        </w:tc>
        <w:tc>
          <w:tcPr>
            <w:tcW w:type="dxa" w:w="6426"/>
            <w:tcMar>
              <w:top w:type="dxa" w:w="60"/>
              <w:left w:type="dxa" w:w="100"/>
              <w:bottom w:type="dxa" w:w="60"/>
              <w:right w:type="dxa" w:w="100"/>
            </w:tcMar>
          </w:tcPr>
          <w:p>
            <w:pPr>
              <w:spacing w:after="0" w:line="250"/>
            </w:pPr>
            <w:r>
              <w:rPr>
                <w:sz w:val="19"/>
                <w:szCs w:val="19"/>
              </w:rPr>
              <w:t xml:space="preserve">YY1 Extract Business Role Changes Log from S4HC</w:t>
            </w:r>
          </w:p>
        </w:tc>
      </w:tr>
      <w:tr>
        <w:tc>
          <w:tcPr>
            <w:tcW w:type="dxa" w:w="2600"/>
            <w:tcMar>
              <w:top w:type="dxa" w:w="60"/>
              <w:left w:type="dxa" w:w="100"/>
              <w:bottom w:type="dxa" w:w="60"/>
              <w:right w:type="dxa" w:w="100"/>
            </w:tcMar>
          </w:tcPr>
          <w:p>
            <w:pPr>
              <w:spacing w:after="0" w:line="250"/>
            </w:pPr>
            <w:r>
              <w:rPr>
                <w:b/>
                <w:bCs/>
                <w:sz w:val="19"/>
                <w:szCs w:val="19"/>
              </w:rPr>
              <w:t xml:space="preserve">Comm. scenario</w:t>
            </w:r>
          </w:p>
        </w:tc>
        <w:tc>
          <w:tcPr>
            <w:tcW w:type="dxa" w:w="6426"/>
            <w:tcMar>
              <w:top w:type="dxa" w:w="60"/>
              <w:left w:type="dxa" w:w="100"/>
              <w:bottom w:type="dxa" w:w="60"/>
              <w:right w:type="dxa" w:w="100"/>
            </w:tcMar>
          </w:tcPr>
          <w:p>
            <w:pPr>
              <w:spacing w:after="0" w:line="250"/>
            </w:pPr>
            <w:r>
              <w:rPr>
                <w:sz w:val="19"/>
                <w:szCs w:val="19"/>
              </w:rPr>
              <w:t xml:space="preserve">SAP_COM_0366</w:t>
            </w:r>
          </w:p>
        </w:tc>
      </w:tr>
      <w:tr>
        <w:tc>
          <w:tcPr>
            <w:tcW w:type="dxa" w:w="2600"/>
            <w:tcMar>
              <w:top w:type="dxa" w:w="60"/>
              <w:left w:type="dxa" w:w="100"/>
              <w:bottom w:type="dxa" w:w="60"/>
              <w:right w:type="dxa" w:w="100"/>
            </w:tcMar>
          </w:tcPr>
          <w:p>
            <w:pPr>
              <w:spacing w:after="0" w:line="250"/>
            </w:pPr>
            <w:r>
              <w:rPr>
                <w:b/>
                <w:bCs/>
                <w:sz w:val="19"/>
                <w:szCs w:val="19"/>
              </w:rPr>
              <w:t xml:space="preserve">Protocol</w:t>
            </w:r>
          </w:p>
        </w:tc>
        <w:tc>
          <w:tcPr>
            <w:tcW w:type="dxa" w:w="6426"/>
            <w:tcMar>
              <w:top w:type="dxa" w:w="60"/>
              <w:left w:type="dxa" w:w="100"/>
              <w:bottom w:type="dxa" w:w="60"/>
              <w:right w:type="dxa" w:w="100"/>
            </w:tcMar>
          </w:tcPr>
          <w:p>
            <w:pPr>
              <w:spacing w:after="0" w:line="250"/>
            </w:pPr>
            <w:r>
              <w:rPr>
                <w:sz w:val="19"/>
                <w:szCs w:val="19"/>
              </w:rPr>
              <w:t xml:space="preserve">OData V2</w:t>
            </w:r>
          </w:p>
        </w:tc>
      </w:tr>
      <w:tr>
        <w:tc>
          <w:tcPr>
            <w:tcW w:type="dxa" w:w="2600"/>
            <w:tcMar>
              <w:top w:type="dxa" w:w="60"/>
              <w:left w:type="dxa" w:w="100"/>
              <w:bottom w:type="dxa" w:w="60"/>
              <w:right w:type="dxa" w:w="100"/>
            </w:tcMar>
          </w:tcPr>
          <w:p>
            <w:pPr>
              <w:spacing w:after="0" w:line="250"/>
            </w:pPr>
            <w:r>
              <w:rPr>
                <w:b/>
                <w:bCs/>
                <w:sz w:val="19"/>
                <w:szCs w:val="19"/>
              </w:rPr>
              <w:t xml:space="preserve">Service address</w:t>
            </w:r>
          </w:p>
        </w:tc>
        <w:tc>
          <w:tcPr>
            <w:tcW w:type="dxa" w:w="6426"/>
            <w:tcMar>
              <w:top w:type="dxa" w:w="60"/>
              <w:left w:type="dxa" w:w="100"/>
              <w:bottom w:type="dxa" w:w="60"/>
              <w:right w:type="dxa" w:w="100"/>
            </w:tcMar>
          </w:tcPr>
          <w:p>
            <w:pPr>
              <w:spacing w:after="0" w:line="250"/>
            </w:pPr>
            <w:r>
              <w:rPr>
                <w:sz w:val="19"/>
                <w:szCs w:val="19"/>
              </w:rPr>
              <w:t xml:space="preserve">https://my435863-api.s4hana.cloud.sap/sap/opu/odata/sap/APS_IAM_API_BROLE_CDOC</w:t>
            </w:r>
          </w:p>
        </w:tc>
      </w:tr>
      <w:tr>
        <w:tc>
          <w:tcPr>
            <w:tcW w:type="dxa" w:w="2600"/>
            <w:tcMar>
              <w:top w:type="dxa" w:w="60"/>
              <w:left w:type="dxa" w:w="100"/>
              <w:bottom w:type="dxa" w:w="60"/>
              <w:right w:type="dxa" w:w="100"/>
            </w:tcMar>
          </w:tcPr>
          <w:p>
            <w:pPr>
              <w:spacing w:after="0" w:line="250"/>
            </w:pPr>
            <w:r>
              <w:rPr>
                <w:b/>
                <w:bCs/>
                <w:sz w:val="19"/>
                <w:szCs w:val="19"/>
              </w:rPr>
              <w:t xml:space="preserve">Entity set</w:t>
            </w:r>
          </w:p>
        </w:tc>
        <w:tc>
          <w:tcPr>
            <w:tcW w:type="dxa" w:w="6426"/>
            <w:tcMar>
              <w:top w:type="dxa" w:w="60"/>
              <w:left w:type="dxa" w:w="100"/>
              <w:bottom w:type="dxa" w:w="60"/>
              <w:right w:type="dxa" w:w="100"/>
            </w:tcMar>
          </w:tcPr>
          <w:p>
            <w:pPr>
              <w:spacing w:after="0" w:line="250"/>
            </w:pPr>
            <w:r>
              <w:rPr>
                <w:sz w:val="19"/>
                <w:szCs w:val="19"/>
              </w:rPr>
              <w:t xml:space="preserve">BusinessRoleChanges</w:t>
            </w:r>
          </w:p>
        </w:tc>
      </w:tr>
      <w:tr>
        <w:tc>
          <w:tcPr>
            <w:tcW w:type="dxa" w:w="2600"/>
            <w:tcMar>
              <w:top w:type="dxa" w:w="60"/>
              <w:left w:type="dxa" w:w="100"/>
              <w:bottom w:type="dxa" w:w="60"/>
              <w:right w:type="dxa" w:w="100"/>
            </w:tcMar>
          </w:tcPr>
          <w:p>
            <w:pPr>
              <w:spacing w:after="0" w:line="250"/>
            </w:pPr>
            <w:r>
              <w:rPr>
                <w:b/>
                <w:bCs/>
                <w:sz w:val="19"/>
                <w:szCs w:val="19"/>
              </w:rPr>
              <w:t xml:space="preserve">Receiver participant</w:t>
            </w:r>
          </w:p>
        </w:tc>
        <w:tc>
          <w:tcPr>
            <w:tcW w:type="dxa" w:w="6426"/>
            <w:tcMar>
              <w:top w:type="dxa" w:w="60"/>
              <w:left w:type="dxa" w:w="100"/>
              <w:bottom w:type="dxa" w:w="60"/>
              <w:right w:type="dxa" w:w="100"/>
            </w:tcMar>
          </w:tcPr>
          <w:p>
            <w:pPr>
              <w:spacing w:after="0" w:line="250"/>
            </w:pPr>
            <w:r>
              <w:rPr>
                <w:sz w:val="19"/>
                <w:szCs w:val="19"/>
              </w:rPr>
              <w:t xml:space="preserve">S4_BusinessRoleChanges</w:t>
            </w:r>
          </w:p>
        </w:tc>
      </w:tr>
      <w:tr>
        <w:tc>
          <w:tcPr>
            <w:tcW w:type="dxa" w:w="2600"/>
            <w:tcMar>
              <w:top w:type="dxa" w:w="60"/>
              <w:left w:type="dxa" w:w="100"/>
              <w:bottom w:type="dxa" w:w="60"/>
              <w:right w:type="dxa" w:w="100"/>
            </w:tcMar>
          </w:tcPr>
          <w:p>
            <w:pPr>
              <w:spacing w:after="0" w:line="250"/>
            </w:pPr>
            <w:r>
              <w:rPr>
                <w:b/>
                <w:bCs/>
                <w:sz w:val="19"/>
                <w:szCs w:val="19"/>
              </w:rPr>
              <w:t xml:space="preserve">Timestamp field</w:t>
            </w:r>
          </w:p>
        </w:tc>
        <w:tc>
          <w:tcPr>
            <w:tcW w:type="dxa" w:w="6426"/>
            <w:tcMar>
              <w:top w:type="dxa" w:w="60"/>
              <w:left w:type="dxa" w:w="100"/>
              <w:bottom w:type="dxa" w:w="60"/>
              <w:right w:type="dxa" w:w="100"/>
            </w:tcMar>
          </w:tcPr>
          <w:p>
            <w:pPr>
              <w:spacing w:after="0" w:line="250"/>
            </w:pPr>
            <w:r>
              <w:rPr>
                <w:sz w:val="19"/>
                <w:szCs w:val="19"/>
              </w:rPr>
              <w:t xml:space="preserve">ChangedOn  (Edm.DateTimeOffset (Precision 7))</w:t>
            </w:r>
          </w:p>
        </w:tc>
      </w:tr>
      <w:tr>
        <w:tc>
          <w:tcPr>
            <w:tcW w:type="dxa" w:w="2600"/>
            <w:tcMar>
              <w:top w:type="dxa" w:w="60"/>
              <w:left w:type="dxa" w:w="100"/>
              <w:bottom w:type="dxa" w:w="60"/>
              <w:right w:type="dxa" w:w="100"/>
            </w:tcMar>
          </w:tcPr>
          <w:p>
            <w:pPr>
              <w:spacing w:after="0" w:line="250"/>
            </w:pPr>
            <w:r>
              <w:rPr>
                <w:b/>
                <w:bCs/>
                <w:sz w:val="19"/>
                <w:szCs w:val="19"/>
              </w:rPr>
              <w:t xml:space="preserve">Timestamp sample</w:t>
            </w:r>
          </w:p>
        </w:tc>
        <w:tc>
          <w:tcPr>
            <w:tcW w:type="dxa" w:w="6426"/>
            <w:tcMar>
              <w:top w:type="dxa" w:w="60"/>
              <w:left w:type="dxa" w:w="100"/>
              <w:bottom w:type="dxa" w:w="60"/>
              <w:right w:type="dxa" w:w="100"/>
            </w:tcMar>
          </w:tcPr>
          <w:p>
            <w:pPr>
              <w:spacing w:after="0" w:line="250"/>
            </w:pPr>
            <w:r>
              <w:rPr>
                <w:sz w:val="19"/>
                <w:szCs w:val="19"/>
              </w:rPr>
              <w:t xml:space="preserve">2026-06-25T00:08:54.000   — timezone designator: No — assumed UTC</w:t>
            </w:r>
          </w:p>
        </w:tc>
      </w:tr>
      <w:tr>
        <w:tc>
          <w:tcPr>
            <w:tcW w:type="dxa" w:w="2600"/>
            <w:tcMar>
              <w:top w:type="dxa" w:w="60"/>
              <w:left w:type="dxa" w:w="100"/>
              <w:bottom w:type="dxa" w:w="60"/>
              <w:right w:type="dxa" w:w="100"/>
            </w:tcMar>
          </w:tcPr>
          <w:p>
            <w:pPr>
              <w:spacing w:after="0" w:line="250"/>
            </w:pPr>
            <w:r>
              <w:rPr>
                <w:b/>
                <w:bCs/>
                <w:sz w:val="19"/>
                <w:szCs w:val="19"/>
              </w:rPr>
              <w:t xml:space="preserve">$select</w:t>
            </w:r>
          </w:p>
        </w:tc>
        <w:tc>
          <w:tcPr>
            <w:tcW w:type="dxa" w:w="6426"/>
            <w:tcMar>
              <w:top w:type="dxa" w:w="60"/>
              <w:left w:type="dxa" w:w="100"/>
              <w:bottom w:type="dxa" w:w="60"/>
              <w:right w:type="dxa" w:w="100"/>
            </w:tcMar>
          </w:tcPr>
          <w:p>
            <w:pPr>
              <w:spacing w:after="0" w:line="250"/>
            </w:pPr>
            <w:r>
              <w:rPr>
                <w:sz w:val="19"/>
                <w:szCs w:val="19"/>
              </w:rPr>
              <w:t xml:space="preserve">12 fields — all EDMX properties (see Appendix A)</w:t>
            </w:r>
          </w:p>
        </w:tc>
      </w:tr>
      <w:tr>
        <w:tc>
          <w:tcPr>
            <w:tcW w:type="dxa" w:w="2600"/>
            <w:tcMar>
              <w:top w:type="dxa" w:w="60"/>
              <w:left w:type="dxa" w:w="100"/>
              <w:bottom w:type="dxa" w:w="60"/>
              <w:right w:type="dxa" w:w="100"/>
            </w:tcMar>
          </w:tcPr>
          <w:p>
            <w:pPr>
              <w:spacing w:after="0" w:line="250"/>
            </w:pPr>
            <w:r>
              <w:rPr>
                <w:b/>
                <w:bCs/>
                <w:sz w:val="19"/>
                <w:szCs w:val="19"/>
              </w:rPr>
              <w:t xml:space="preserve">Page size</w:t>
            </w:r>
          </w:p>
        </w:tc>
        <w:tc>
          <w:tcPr>
            <w:tcW w:type="dxa" w:w="6426"/>
            <w:tcMar>
              <w:top w:type="dxa" w:w="60"/>
              <w:left w:type="dxa" w:w="100"/>
              <w:bottom w:type="dxa" w:w="60"/>
              <w:right w:type="dxa" w:w="100"/>
            </w:tcMar>
          </w:tcPr>
          <w:p>
            <w:pPr>
              <w:spacing w:after="0" w:line="250"/>
            </w:pPr>
            <w:r>
              <w:rPr>
                <w:sz w:val="19"/>
                <w:szCs w:val="19"/>
              </w:rPr>
              <w:t xml:space="preserve">1000 (odatapagesize)</w:t>
            </w:r>
          </w:p>
        </w:tc>
      </w:tr>
      <w:tr>
        <w:tc>
          <w:tcPr>
            <w:tcW w:type="dxa" w:w="2600"/>
            <w:tcMar>
              <w:top w:type="dxa" w:w="60"/>
              <w:left w:type="dxa" w:w="100"/>
              <w:bottom w:type="dxa" w:w="60"/>
              <w:right w:type="dxa" w:w="100"/>
            </w:tcMar>
          </w:tcPr>
          <w:p>
            <w:pPr>
              <w:spacing w:after="0" w:line="250"/>
            </w:pPr>
            <w:r>
              <w:rPr>
                <w:b/>
                <w:bCs/>
                <w:sz w:val="19"/>
                <w:szCs w:val="19"/>
              </w:rPr>
              <w:t xml:space="preserve">Endpoint</w:t>
            </w:r>
          </w:p>
        </w:tc>
        <w:tc>
          <w:tcPr>
            <w:tcW w:type="dxa" w:w="6426"/>
            <w:tcMar>
              <w:top w:type="dxa" w:w="60"/>
              <w:left w:type="dxa" w:w="100"/>
              <w:bottom w:type="dxa" w:w="60"/>
              <w:right w:type="dxa" w:w="100"/>
            </w:tcMar>
          </w:tcPr>
          <w:p>
            <w:pPr>
              <w:spacing w:after="0" w:line="250"/>
            </w:pPr>
            <w:r>
              <w:rPr>
                <w:sz w:val="19"/>
                <w:szCs w:val="19"/>
              </w:rPr>
              <w:t xml:space="preserve">/extract/businessrolechanges</w:t>
            </w:r>
          </w:p>
        </w:tc>
      </w:tr>
      <w:tr>
        <w:tc>
          <w:tcPr>
            <w:tcW w:type="dxa" w:w="2600"/>
            <w:tcMar>
              <w:top w:type="dxa" w:w="60"/>
              <w:left w:type="dxa" w:w="100"/>
              <w:bottom w:type="dxa" w:w="60"/>
              <w:right w:type="dxa" w:w="100"/>
            </w:tcMar>
          </w:tcPr>
          <w:p>
            <w:pPr>
              <w:spacing w:after="0" w:line="250"/>
            </w:pPr>
            <w:r>
              <w:rPr>
                <w:b/>
                <w:bCs/>
                <w:sz w:val="19"/>
                <w:szCs w:val="19"/>
              </w:rPr>
              <w:t xml:space="preserve">Data Store / entry</w:t>
            </w:r>
          </w:p>
        </w:tc>
        <w:tc>
          <w:tcPr>
            <w:tcW w:type="dxa" w:w="6426"/>
            <w:tcMar>
              <w:top w:type="dxa" w:w="60"/>
              <w:left w:type="dxa" w:w="100"/>
              <w:bottom w:type="dxa" w:w="60"/>
              <w:right w:type="dxa" w:w="100"/>
            </w:tcMar>
          </w:tcPr>
          <w:p>
            <w:pPr>
              <w:spacing w:after="0" w:line="250"/>
            </w:pPr>
            <w:r>
              <w:rPr>
                <w:sz w:val="19"/>
                <w:szCs w:val="19"/>
              </w:rPr>
              <w:t xml:space="preserve">BUS_ROLE_DELTA / LastRun</w:t>
            </w:r>
          </w:p>
        </w:tc>
      </w:tr>
      <w:tr>
        <w:tc>
          <w:tcPr>
            <w:tcW w:type="dxa" w:w="2600"/>
            <w:tcMar>
              <w:top w:type="dxa" w:w="60"/>
              <w:left w:type="dxa" w:w="100"/>
              <w:bottom w:type="dxa" w:w="60"/>
              <w:right w:type="dxa" w:w="100"/>
            </w:tcMar>
          </w:tcPr>
          <w:p>
            <w:pPr>
              <w:spacing w:after="0" w:line="250"/>
            </w:pPr>
            <w:r>
              <w:rPr>
                <w:b/>
                <w:bCs/>
                <w:sz w:val="19"/>
                <w:szCs w:val="19"/>
              </w:rPr>
              <w:t xml:space="preserve">Splunk sourcetype</w:t>
            </w:r>
          </w:p>
        </w:tc>
        <w:tc>
          <w:tcPr>
            <w:tcW w:type="dxa" w:w="6426"/>
            <w:tcMar>
              <w:top w:type="dxa" w:w="60"/>
              <w:left w:type="dxa" w:w="100"/>
              <w:bottom w:type="dxa" w:w="60"/>
              <w:right w:type="dxa" w:w="100"/>
            </w:tcMar>
          </w:tcPr>
          <w:p>
            <w:pPr>
              <w:spacing w:after="0" w:line="250"/>
            </w:pPr>
            <w:r>
              <w:rPr>
                <w:sz w:val="19"/>
                <w:szCs w:val="19"/>
              </w:rPr>
              <w:t xml:space="preserve">sap:s4hana:cloud:rolechanges</w:t>
            </w:r>
          </w:p>
        </w:tc>
      </w:tr>
      <w:tr>
        <w:tc>
          <w:tcPr>
            <w:tcW w:type="dxa" w:w="2600"/>
            <w:tcMar>
              <w:top w:type="dxa" w:w="60"/>
              <w:left w:type="dxa" w:w="100"/>
              <w:bottom w:type="dxa" w:w="60"/>
              <w:right w:type="dxa" w:w="100"/>
            </w:tcMar>
          </w:tcPr>
          <w:p>
            <w:pPr>
              <w:spacing w:after="0" w:line="250"/>
            </w:pPr>
            <w:r>
              <w:rPr>
                <w:b/>
                <w:bCs/>
                <w:sz w:val="19"/>
                <w:szCs w:val="19"/>
              </w:rPr>
              <w:t xml:space="preserve">Splunk source</w:t>
            </w:r>
          </w:p>
        </w:tc>
        <w:tc>
          <w:tcPr>
            <w:tcW w:type="dxa" w:w="6426"/>
            <w:tcMar>
              <w:top w:type="dxa" w:w="60"/>
              <w:left w:type="dxa" w:w="100"/>
              <w:bottom w:type="dxa" w:w="60"/>
              <w:right w:type="dxa" w:w="100"/>
            </w:tcMar>
          </w:tcPr>
          <w:p>
            <w:pPr>
              <w:spacing w:after="0" w:line="250"/>
            </w:pPr>
            <w:r>
              <w:rPr>
                <w:sz w:val="19"/>
                <w:szCs w:val="19"/>
              </w:rPr>
              <w:t xml:space="preserve">sap:cpi:businessrolechangeslog</w:t>
            </w:r>
          </w:p>
        </w:tc>
      </w:tr>
      <w:tr>
        <w:tc>
          <w:tcPr>
            <w:tcW w:type="dxa" w:w="2600"/>
            <w:tcMar>
              <w:top w:type="dxa" w:w="60"/>
              <w:left w:type="dxa" w:w="100"/>
              <w:bottom w:type="dxa" w:w="60"/>
              <w:right w:type="dxa" w:w="100"/>
            </w:tcMar>
          </w:tcPr>
          <w:p>
            <w:pPr>
              <w:spacing w:after="0" w:line="250"/>
            </w:pPr>
            <w:r>
              <w:rPr>
                <w:b/>
                <w:bCs/>
                <w:sz w:val="19"/>
                <w:szCs w:val="19"/>
              </w:rPr>
              <w:t xml:space="preserve">XML-to-JSON path</w:t>
            </w:r>
          </w:p>
        </w:tc>
        <w:tc>
          <w:tcPr>
            <w:tcW w:type="dxa" w:w="6426"/>
            <w:tcMar>
              <w:top w:type="dxa" w:w="60"/>
              <w:left w:type="dxa" w:w="100"/>
              <w:bottom w:type="dxa" w:w="60"/>
              <w:right w:type="dxa" w:w="100"/>
            </w:tcMar>
          </w:tcPr>
          <w:p>
            <w:pPr>
              <w:spacing w:after="0" w:line="250"/>
            </w:pPr>
            <w:r>
              <w:rPr>
                <w:sz w:val="19"/>
                <w:szCs w:val="19"/>
              </w:rPr>
              <w:t xml:space="preserve">BusinessRoleChanges/BusinessRoleChangesType</w:t>
            </w:r>
          </w:p>
        </w:tc>
      </w:tr>
      <w:tr>
        <w:tc>
          <w:tcPr>
            <w:tcW w:type="dxa" w:w="2600"/>
            <w:tcMar>
              <w:top w:type="dxa" w:w="60"/>
              <w:left w:type="dxa" w:w="100"/>
              <w:bottom w:type="dxa" w:w="60"/>
              <w:right w:type="dxa" w:w="100"/>
            </w:tcMar>
          </w:tcPr>
          <w:p>
            <w:pPr>
              <w:spacing w:after="0" w:line="250"/>
            </w:pPr>
            <w:r>
              <w:rPr>
                <w:b/>
                <w:bCs/>
                <w:sz w:val="19"/>
                <w:szCs w:val="19"/>
              </w:rPr>
              <w:t xml:space="preserve">Groovy flowstep versions</w:t>
            </w:r>
          </w:p>
        </w:tc>
        <w:tc>
          <w:tcPr>
            <w:tcW w:type="dxa" w:w="6426"/>
            <w:tcMar>
              <w:top w:type="dxa" w:w="60"/>
              <w:left w:type="dxa" w:w="100"/>
              <w:bottom w:type="dxa" w:w="60"/>
              <w:right w:type="dxa" w:w="100"/>
            </w:tcMar>
          </w:tcPr>
          <w:p>
            <w:pPr>
              <w:spacing w:after="0" w:line="250"/>
            </w:pPr>
            <w:r>
              <w:rPr>
                <w:sz w:val="19"/>
                <w:szCs w:val="19"/>
              </w:rPr>
              <w:t xml:space="preserve">v1 (all three)</w:t>
            </w:r>
          </w:p>
        </w:tc>
      </w:tr>
    </w:tbl>
    <w:p>
      <w:pPr>
        <w:spacing w:after="120"/>
      </w:pPr>
    </w:p>
    <w:p>
      <w:pPr>
        <w:spacing w:after="120" w:line="276"/>
      </w:pPr>
      <w:r>
        <w:rPr>
          <w:b/>
          <w:bCs/>
          <w:sz w:val="21"/>
          <w:szCs w:val="21"/>
        </w:rPr>
        <w:t xml:space="preserve">OData query:</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$filter=(ChangedOn gt datetimeoffset'${property.windowFrom}' and ChangedOn le datetimeoffset'${property.runStartTime}')</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&amp;$orderby=ChangedOn asc</w:t>
      </w:r>
    </w:p>
    <w:p>
      <w:pPr>
        <w:spacing w:after="160"/>
      </w:pPr>
    </w:p>
    <w:p>
      <w:r>
        <w:br w:type="page"/>
      </w:r>
    </w:p>
    <w:p>
      <w:pPr>
        <w:pStyle w:val="Heading1"/>
        <w:spacing w:after="140" w:before="320"/>
      </w:pPr>
      <w:r>
        <w:t xml:space="preserve">11. Groovy Script Specifications</w:t>
      </w:r>
    </w:p>
    <w:p>
      <w:pPr>
        <w:spacing w:after="120" w:line="276"/>
      </w:pPr>
      <w:r>
        <w:rPr>
          <w:sz w:val="21"/>
          <w:szCs w:val="21"/>
        </w:rPr>
        <w:t xml:space="preserve">Each interface carries three scripts. Note that SAP Groovy flowstep versions differ per artifact: version 2.x scripts declare package script.v2 and import com.sap.it.script.v2.api.Message and reside under script/v2/; version 1.x scripts import com.sap.gateway.ip.core.customdev.util.Message and reside under script/. A script's file API must match its flow-step version or the step fails at runtime.</w:t>
      </w:r>
    </w:p>
    <w:p>
      <w:pPr>
        <w:spacing w:after="140"/>
      </w:pP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200"/>
        <w:gridCol w:w="6826"/>
      </w:tblGrid>
      <w:tr>
        <w:tc>
          <w:tcPr>
            <w:tcW w:type="dxa" w:w="2200"/>
            <w:tcMar>
              <w:top w:type="dxa" w:w="60"/>
              <w:left w:type="dxa" w:w="100"/>
              <w:bottom w:type="dxa" w:w="60"/>
              <w:right w:type="dxa" w:w="100"/>
            </w:tcMar>
          </w:tcPr>
          <w:p>
            <w:pPr>
              <w:spacing w:after="0" w:line="250"/>
            </w:pPr>
            <w:r>
              <w:rPr>
                <w:b/>
                <w:bCs/>
                <w:sz w:val="19"/>
                <w:szCs w:val="19"/>
              </w:rPr>
              <w:t xml:space="preserve">resolveWindow.groovy</w:t>
            </w:r>
          </w:p>
        </w:tc>
        <w:tc>
          <w:tcPr>
            <w:tcW w:type="dxa" w:w="6826"/>
            <w:tcMar>
              <w:top w:type="dxa" w:w="60"/>
              <w:left w:type="dxa" w:w="100"/>
              <w:bottom w:type="dxa" w:w="60"/>
              <w:right w:type="dxa" w:w="100"/>
            </w:tcMar>
          </w:tcPr>
          <w:p>
            <w:pPr>
              <w:spacing w:after="0" w:line="250"/>
            </w:pPr>
            <w:r>
              <w:rPr>
                <w:sz w:val="19"/>
                <w:szCs w:val="19"/>
              </w:rPr>
              <w:t xml:space="preserve">Reads the Data Store Get result. Bootstraps the window on first run, applies the maxWindowMinutes cap, and sets windowFrom, runStartTime, firstRun, caughtUp, truncated, the acc accumulator and the envelope metadata properties.</w:t>
            </w:r>
          </w:p>
        </w:tc>
      </w:tr>
      <w:tr>
        <w:tc>
          <w:tcPr>
            <w:tcW w:type="dxa" w:w="2200"/>
            <w:tcMar>
              <w:top w:type="dxa" w:w="60"/>
              <w:left w:type="dxa" w:w="100"/>
              <w:bottom w:type="dxa" w:w="60"/>
              <w:right w:type="dxa" w:w="100"/>
            </w:tcMar>
          </w:tcPr>
          <w:p>
            <w:pPr>
              <w:spacing w:after="0" w:line="250"/>
            </w:pPr>
            <w:r>
              <w:rPr>
                <w:b/>
                <w:bCs/>
                <w:sz w:val="19"/>
                <w:szCs w:val="19"/>
              </w:rPr>
              <w:t xml:space="preserve">mapAndAccumulate.groovy</w:t>
            </w:r>
          </w:p>
        </w:tc>
        <w:tc>
          <w:tcPr>
            <w:tcW w:type="dxa" w:w="6826"/>
            <w:tcMar>
              <w:top w:type="dxa" w:w="60"/>
              <w:left w:type="dxa" w:w="100"/>
              <w:bottom w:type="dxa" w:w="60"/>
              <w:right w:type="dxa" w:w="100"/>
            </w:tcMar>
          </w:tcPr>
          <w:p>
            <w:pPr>
              <w:spacing w:after="0" w:line="250"/>
            </w:pPr>
            <w:r>
              <w:rPr>
                <w:sz w:val="19"/>
                <w:szCs w:val="19"/>
              </w:rPr>
              <w:t xml:space="preserve">Runs once per page inside the loop. Streams the page body via a Reader, extracts the record array, maps each record to a HEC envelope with a tolerant timestamp parse, and appends to the acc StringBuilder. Maintains totalCount and noTimeCount.</w:t>
            </w:r>
          </w:p>
        </w:tc>
      </w:tr>
      <w:tr>
        <w:tc>
          <w:tcPr>
            <w:tcW w:type="dxa" w:w="2200"/>
            <w:tcMar>
              <w:top w:type="dxa" w:w="60"/>
              <w:left w:type="dxa" w:w="100"/>
              <w:bottom w:type="dxa" w:w="60"/>
              <w:right w:type="dxa" w:w="100"/>
            </w:tcMar>
          </w:tcPr>
          <w:p>
            <w:pPr>
              <w:spacing w:after="0" w:line="250"/>
            </w:pPr>
            <w:r>
              <w:rPr>
                <w:b/>
                <w:bCs/>
                <w:sz w:val="19"/>
                <w:szCs w:val="19"/>
              </w:rPr>
              <w:t xml:space="preserve">handleError.groovy</w:t>
            </w:r>
          </w:p>
        </w:tc>
        <w:tc>
          <w:tcPr>
            <w:tcW w:type="dxa" w:w="6826"/>
            <w:tcMar>
              <w:top w:type="dxa" w:w="60"/>
              <w:left w:type="dxa" w:w="100"/>
              <w:bottom w:type="dxa" w:w="60"/>
              <w:right w:type="dxa" w:w="100"/>
            </w:tcMar>
          </w:tcPr>
          <w:p>
            <w:pPr>
              <w:spacing w:after="0" w:line="250"/>
            </w:pPr>
            <w:r>
              <w:rPr>
                <w:sz w:val="19"/>
                <w:szCs w:val="19"/>
              </w:rPr>
              <w:t xml:space="preserve">Runs in the Exception Subprocess. Builds a JSON error body, stamps window bounds and the MPL custom status SECAUDIT_FAILED, and sets HTTP 500.</w:t>
            </w:r>
          </w:p>
        </w:tc>
      </w:tr>
    </w:tbl>
    <w:p>
      <w:pPr>
        <w:pStyle w:val="Heading2"/>
        <w:spacing w:after="140" w:before="240"/>
      </w:pPr>
      <w:r>
        <w:t xml:space="preserve">11.1 Memory design</w:t>
      </w:r>
    </w:p>
    <w:p>
      <w:pPr>
        <w:spacing w:after="120" w:line="276"/>
      </w:pPr>
      <w:r>
        <w:rPr>
          <w:sz w:val="21"/>
          <w:szCs w:val="21"/>
        </w:rPr>
        <w:t xml:space="preserve">The accumulator is held as a StringBuilder in an exchange property rather than repeated string concatenation, avoiding quadratic copying as pages accumulate. This bounds the cost of buffering but does not bound the volume — the window cap in section 6.3 is the actual memory control.</w:t>
      </w:r>
    </w:p>
    <w:p>
      <w:r>
        <w:br w:type="page"/>
      </w:r>
    </w:p>
    <w:p>
      <w:pPr>
        <w:pStyle w:val="Heading1"/>
        <w:spacing w:after="140" w:before="320"/>
      </w:pPr>
      <w:r>
        <w:t xml:space="preserve">12. Error Handling and Recovery</w:t>
      </w:r>
    </w:p>
    <w:p>
      <w:pPr>
        <w:spacing w:after="120" w:line="276"/>
      </w:pPr>
      <w:r>
        <w:rPr>
          <w:sz w:val="21"/>
          <w:szCs w:val="21"/>
        </w:rPr>
        <w:t xml:space="preserve">Each interface contains an Exception Subprocess that catches any error raised in the main process, including errors propagated from the pagination sub-process.</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Error Start -&gt; Handle Error (Groovy) -&gt; Error End</w:t>
      </w:r>
    </w:p>
    <w:p>
      <w:pPr>
        <w:spacing w:after="120" w:line="276"/>
      </w:pPr>
      <w:r>
        <w:rPr>
          <w:sz w:val="21"/>
          <w:szCs w:val="21"/>
        </w:rPr>
        <w:t xml:space="preserve">On error the interface:</w:t>
      </w:r>
    </w:p>
    <w:p>
      <w:pPr>
        <w:pStyle w:val="ListParagraph"/>
        <w:numPr>
          <w:ilvl w:val="0"/>
          <w:numId w:val="2"/>
        </w:numPr>
        <w:spacing w:after="70" w:line="276"/>
      </w:pPr>
      <w:r>
        <w:rPr>
          <w:sz w:val="21"/>
          <w:szCs w:val="21"/>
        </w:rPr>
        <w:t xml:space="preserve">Returns HTTP 500 with a JSON error body naming the interface, the error text and the attempted window.</w:t>
      </w:r>
    </w:p>
    <w:p>
      <w:pPr>
        <w:pStyle w:val="ListParagraph"/>
        <w:numPr>
          <w:ilvl w:val="0"/>
          <w:numId w:val="2"/>
        </w:numPr>
        <w:spacing w:after="70" w:line="276"/>
      </w:pPr>
      <w:r>
        <w:rPr>
          <w:sz w:val="21"/>
          <w:szCs w:val="21"/>
        </w:rPr>
        <w:t xml:space="preserve">Sets the MPL custom status SECAUDIT_FAILED and stamps the window bounds as MPL custom headers.</w:t>
      </w:r>
    </w:p>
    <w:p>
      <w:pPr>
        <w:pStyle w:val="ListParagraph"/>
        <w:numPr>
          <w:ilvl w:val="0"/>
          <w:numId w:val="2"/>
        </w:numPr>
        <w:spacing w:after="70" w:line="276"/>
      </w:pPr>
      <w:r>
        <w:rPr>
          <w:sz w:val="21"/>
          <w:szCs w:val="21"/>
        </w:rPr>
        <w:t xml:space="preserve">Does NOT advance the high-water — the Save Last Run step lies only on the success path.</w:t>
      </w:r>
    </w:p>
    <w:p>
      <w:pPr>
        <w:pStyle w:val="Heading2"/>
        <w:spacing w:after="140" w:before="240"/>
      </w:pPr>
      <w:r>
        <w:t xml:space="preserve">12.1 Recovery semantics</w:t>
      </w:r>
    </w:p>
    <w:p>
      <w:pPr>
        <w:spacing w:after="120" w:line="276"/>
      </w:pPr>
      <w:r>
        <w:rPr>
          <w:sz w:val="21"/>
          <w:szCs w:val="21"/>
        </w:rPr>
        <w:t xml:space="preserve">Because the high-water is written only after a successful extraction loop, any failure leaves the previous value in place and the same window is re-extracted on the next invocation. No manual replay is required and no events are lost (satisfying BR-02 and BR-05). The cost is possible duplication, addressed by consumer-side deduplication (section 9.2).</w:t>
      </w:r>
    </w:p>
    <w:p>
      <w:pPr>
        <w:pStyle w:val="Heading2"/>
        <w:spacing w:after="140" w:before="240"/>
      </w:pPr>
      <w:r>
        <w:t xml:space="preserve">12.2 Residual risk</w:t>
      </w:r>
    </w:p>
    <w:p>
      <w:pPr>
        <w:spacing w:after="120" w:line="276"/>
      </w:pPr>
      <w:r>
        <w:rPr>
          <w:sz w:val="21"/>
          <w:szCs w:val="21"/>
        </w:rPr>
        <w:t xml:space="preserve">The high-water advances before the consumer confirms receipt of the reply. If the HTTP response is lost in transit after CPI has committed the high-water, that bounded window is not re-extracted automatically. Mitigation: the consumer persists X-Next-Since and can request an explicit replay; deduplication makes re-requests safe.</w:t>
      </w:r>
    </w:p>
    <w:p>
      <w:r>
        <w:br w:type="page"/>
      </w:r>
    </w:p>
    <w:p>
      <w:pPr>
        <w:pStyle w:val="Heading1"/>
        <w:spacing w:after="140" w:before="320"/>
      </w:pPr>
      <w:r>
        <w:t xml:space="preserve">13. Security</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600"/>
        <w:gridCol w:w="6426"/>
      </w:tblGrid>
      <w:tr>
        <w:tc>
          <w:tcPr>
            <w:tcW w:type="dxa" w:w="2600"/>
            <w:tcMar>
              <w:top w:type="dxa" w:w="60"/>
              <w:left w:type="dxa" w:w="100"/>
              <w:bottom w:type="dxa" w:w="60"/>
              <w:right w:type="dxa" w:w="100"/>
            </w:tcMar>
          </w:tcPr>
          <w:p>
            <w:pPr>
              <w:spacing w:after="0" w:line="250"/>
            </w:pPr>
            <w:r>
              <w:rPr>
                <w:b/>
                <w:bCs/>
                <w:sz w:val="19"/>
                <w:szCs w:val="19"/>
              </w:rPr>
              <w:t xml:space="preserve">Inbound (consumer to CPI)</w:t>
            </w:r>
          </w:p>
        </w:tc>
        <w:tc>
          <w:tcPr>
            <w:tcW w:type="dxa" w:w="6426"/>
            <w:tcMar>
              <w:top w:type="dxa" w:w="60"/>
              <w:left w:type="dxa" w:w="100"/>
              <w:bottom w:type="dxa" w:w="60"/>
              <w:right w:type="dxa" w:w="100"/>
            </w:tcMar>
          </w:tcPr>
          <w:p>
            <w:pPr>
              <w:spacing w:after="0" w:line="250"/>
            </w:pPr>
            <w:r>
              <w:rPr>
                <w:sz w:val="19"/>
                <w:szCs w:val="19"/>
              </w:rPr>
              <w:t xml:space="preserve">HTTPS with role-based authorisation. Currently the standard role ESBMessaging.send; a dedicated custom role scoped to these four endpoints is recommended for production.</w:t>
            </w:r>
          </w:p>
        </w:tc>
      </w:tr>
      <w:tr>
        <w:tc>
          <w:tcPr>
            <w:tcW w:type="dxa" w:w="2600"/>
            <w:tcMar>
              <w:top w:type="dxa" w:w="60"/>
              <w:left w:type="dxa" w:w="100"/>
              <w:bottom w:type="dxa" w:w="60"/>
              <w:right w:type="dxa" w:w="100"/>
            </w:tcMar>
          </w:tcPr>
          <w:p>
            <w:pPr>
              <w:spacing w:after="0" w:line="250"/>
            </w:pPr>
            <w:r>
              <w:rPr>
                <w:b/>
                <w:bCs/>
                <w:sz w:val="19"/>
                <w:szCs w:val="19"/>
              </w:rPr>
              <w:t xml:space="preserve">Outbound (CPI to S/4HANA)</w:t>
            </w:r>
          </w:p>
        </w:tc>
        <w:tc>
          <w:tcPr>
            <w:tcW w:type="dxa" w:w="6426"/>
            <w:tcMar>
              <w:top w:type="dxa" w:w="60"/>
              <w:left w:type="dxa" w:w="100"/>
              <w:bottom w:type="dxa" w:w="60"/>
              <w:right w:type="dxa" w:w="100"/>
            </w:tcMar>
          </w:tcPr>
          <w:p>
            <w:pPr>
              <w:spacing w:after="0" w:line="250"/>
            </w:pPr>
            <w:r>
              <w:rPr>
                <w:sz w:val="19"/>
                <w:szCs w:val="19"/>
              </w:rPr>
              <w:t xml:space="preserve">Basic authentication using the deployed credential alias S4HC_AUDIT_DEV. Certificate-based authentication is recommended for production.</w:t>
            </w:r>
          </w:p>
        </w:tc>
      </w:tr>
      <w:tr>
        <w:tc>
          <w:tcPr>
            <w:tcW w:type="dxa" w:w="2600"/>
            <w:tcMar>
              <w:top w:type="dxa" w:w="60"/>
              <w:left w:type="dxa" w:w="100"/>
              <w:bottom w:type="dxa" w:w="60"/>
              <w:right w:type="dxa" w:w="100"/>
            </w:tcMar>
          </w:tcPr>
          <w:p>
            <w:pPr>
              <w:spacing w:after="0" w:line="250"/>
            </w:pPr>
            <w:r>
              <w:rPr>
                <w:b/>
                <w:bCs/>
                <w:sz w:val="19"/>
                <w:szCs w:val="19"/>
              </w:rPr>
              <w:t xml:space="preserve">Credential storage</w:t>
            </w:r>
          </w:p>
        </w:tc>
        <w:tc>
          <w:tcPr>
            <w:tcW w:type="dxa" w:w="6426"/>
            <w:tcMar>
              <w:top w:type="dxa" w:w="60"/>
              <w:left w:type="dxa" w:w="100"/>
              <w:bottom w:type="dxa" w:w="60"/>
              <w:right w:type="dxa" w:w="100"/>
            </w:tcMar>
          </w:tcPr>
          <w:p>
            <w:pPr>
              <w:spacing w:after="0" w:line="250"/>
            </w:pPr>
            <w:r>
              <w:rPr>
                <w:sz w:val="19"/>
                <w:szCs w:val="19"/>
              </w:rPr>
              <w:t xml:space="preserve">All credentials are deployed CPI Security Material referenced by alias. No secret is stored in the iFlow body, in parameters.prop, or in source control.</w:t>
            </w:r>
          </w:p>
        </w:tc>
      </w:tr>
      <w:tr>
        <w:tc>
          <w:tcPr>
            <w:tcW w:type="dxa" w:w="2600"/>
            <w:tcMar>
              <w:top w:type="dxa" w:w="60"/>
              <w:left w:type="dxa" w:w="100"/>
              <w:bottom w:type="dxa" w:w="60"/>
              <w:right w:type="dxa" w:w="100"/>
            </w:tcMar>
          </w:tcPr>
          <w:p>
            <w:pPr>
              <w:spacing w:after="0" w:line="250"/>
            </w:pPr>
            <w:r>
              <w:rPr>
                <w:b/>
                <w:bCs/>
                <w:sz w:val="19"/>
                <w:szCs w:val="19"/>
              </w:rPr>
              <w:t xml:space="preserve">Transport</w:t>
            </w:r>
          </w:p>
        </w:tc>
        <w:tc>
          <w:tcPr>
            <w:tcW w:type="dxa" w:w="6426"/>
            <w:tcMar>
              <w:top w:type="dxa" w:w="60"/>
              <w:left w:type="dxa" w:w="100"/>
              <w:bottom w:type="dxa" w:w="60"/>
              <w:right w:type="dxa" w:w="100"/>
            </w:tcMar>
          </w:tcPr>
          <w:p>
            <w:pPr>
              <w:spacing w:after="0" w:line="250"/>
            </w:pPr>
            <w:r>
              <w:rPr>
                <w:sz w:val="19"/>
                <w:szCs w:val="19"/>
              </w:rPr>
              <w:t xml:space="preserve">TLS on all hops.</w:t>
            </w:r>
          </w:p>
        </w:tc>
      </w:tr>
      <w:tr>
        <w:tc>
          <w:tcPr>
            <w:tcW w:type="dxa" w:w="2600"/>
            <w:tcMar>
              <w:top w:type="dxa" w:w="60"/>
              <w:left w:type="dxa" w:w="100"/>
              <w:bottom w:type="dxa" w:w="60"/>
              <w:right w:type="dxa" w:w="100"/>
            </w:tcMar>
          </w:tcPr>
          <w:p>
            <w:pPr>
              <w:spacing w:after="0" w:line="250"/>
            </w:pPr>
            <w:r>
              <w:rPr>
                <w:b/>
                <w:bCs/>
                <w:sz w:val="19"/>
                <w:szCs w:val="19"/>
              </w:rPr>
              <w:t xml:space="preserve">Data sensitivity</w:t>
            </w:r>
          </w:p>
        </w:tc>
        <w:tc>
          <w:tcPr>
            <w:tcW w:type="dxa" w:w="6426"/>
            <w:tcMar>
              <w:top w:type="dxa" w:w="60"/>
              <w:left w:type="dxa" w:w="100"/>
              <w:bottom w:type="dxa" w:w="60"/>
              <w:right w:type="dxa" w:w="100"/>
            </w:tcMar>
          </w:tcPr>
          <w:p>
            <w:pPr>
              <w:spacing w:after="0" w:line="250"/>
            </w:pPr>
            <w:r>
              <w:rPr>
                <w:sz w:val="19"/>
                <w:szCs w:val="19"/>
              </w:rPr>
              <w:t xml:space="preserve">Read Access Log records access to personal data. A restricted Splunk index and a documented retention position agreed with the data protection officer are required.</w:t>
            </w:r>
          </w:p>
        </w:tc>
      </w:tr>
    </w:tbl>
    <w:p>
      <w:r>
        <w:br w:type="page"/>
      </w:r>
    </w:p>
    <w:p>
      <w:pPr>
        <w:pStyle w:val="Heading1"/>
        <w:spacing w:after="140" w:before="320"/>
      </w:pPr>
      <w:r>
        <w:t xml:space="preserve">14. Non-Functional Requirements</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1050"/>
        <w:gridCol w:w="6726"/>
        <w:gridCol w:w="1250"/>
      </w:tblGrid>
      <w:tr>
        <w:trPr>
          <w:tblHeader/>
        </w:trPr>
        <w:tc>
          <w:tcPr>
            <w:tcW w:type="dxa" w:w="1050"/>
            <w:shd w:fill="D9E2F3" w:color="auto" w:val="clear"/>
            <w:tcMar>
              <w:top w:type="dxa" w:w="60"/>
              <w:left w:type="dxa" w:w="100"/>
              <w:bottom w:type="dxa" w:w="60"/>
              <w:right w:type="dxa" w:w="100"/>
            </w:tcMar>
          </w:tcPr>
          <w:p>
            <w:pPr>
              <w:spacing w:after="0" w:line="250"/>
            </w:pPr>
            <w:r>
              <w:rPr>
                <w:b/>
                <w:bCs/>
                <w:sz w:val="19"/>
                <w:szCs w:val="19"/>
              </w:rPr>
              <w:t xml:space="preserve">ID</w:t>
            </w:r>
          </w:p>
        </w:tc>
        <w:tc>
          <w:tcPr>
            <w:tcW w:type="dxa" w:w="6726"/>
            <w:shd w:fill="D9E2F3" w:color="auto" w:val="clear"/>
            <w:tcMar>
              <w:top w:type="dxa" w:w="60"/>
              <w:left w:type="dxa" w:w="100"/>
              <w:bottom w:type="dxa" w:w="60"/>
              <w:right w:type="dxa" w:w="100"/>
            </w:tcMar>
          </w:tcPr>
          <w:p>
            <w:pPr>
              <w:spacing w:after="0" w:line="250"/>
            </w:pPr>
            <w:r>
              <w:rPr>
                <w:b/>
                <w:bCs/>
                <w:sz w:val="19"/>
                <w:szCs w:val="19"/>
              </w:rPr>
              <w:t xml:space="preserve">Requirement</w:t>
            </w:r>
          </w:p>
        </w:tc>
        <w:tc>
          <w:tcPr>
            <w:tcW w:type="dxa" w:w="1250"/>
            <w:shd w:fill="D9E2F3" w:color="auto" w:val="clear"/>
            <w:tcMar>
              <w:top w:type="dxa" w:w="60"/>
              <w:left w:type="dxa" w:w="100"/>
              <w:bottom w:type="dxa" w:w="60"/>
              <w:right w:type="dxa" w:w="100"/>
            </w:tcMar>
          </w:tcPr>
          <w:p>
            <w:pPr>
              <w:spacing w:after="0" w:line="250"/>
            </w:pPr>
            <w:r>
              <w:rPr>
                <w:b/>
                <w:bCs/>
                <w:sz w:val="19"/>
                <w:szCs w:val="19"/>
              </w:rPr>
              <w:t xml:space="preserve">Target</w:t>
            </w:r>
          </w:p>
        </w:tc>
      </w:tr>
      <w:tr>
        <w:tc>
          <w:tcPr>
            <w:tcW w:type="dxa" w:w="1050"/>
            <w:tcMar>
              <w:top w:type="dxa" w:w="60"/>
              <w:left w:type="dxa" w:w="100"/>
              <w:bottom w:type="dxa" w:w="60"/>
              <w:right w:type="dxa" w:w="100"/>
            </w:tcMar>
          </w:tcPr>
          <w:p>
            <w:pPr>
              <w:spacing w:after="0" w:line="250"/>
            </w:pPr>
            <w:r>
              <w:rPr>
                <w:sz w:val="19"/>
                <w:szCs w:val="19"/>
              </w:rPr>
              <w:t xml:space="preserve">NFR-01</w:t>
            </w:r>
          </w:p>
        </w:tc>
        <w:tc>
          <w:tcPr>
            <w:tcW w:type="dxa" w:w="6726"/>
            <w:tcMar>
              <w:top w:type="dxa" w:w="60"/>
              <w:left w:type="dxa" w:w="100"/>
              <w:bottom w:type="dxa" w:w="60"/>
              <w:right w:type="dxa" w:w="100"/>
            </w:tcMar>
          </w:tcPr>
          <w:p>
            <w:pPr>
              <w:spacing w:after="0" w:line="250"/>
            </w:pPr>
            <w:r>
              <w:rPr>
                <w:sz w:val="19"/>
                <w:szCs w:val="19"/>
              </w:rPr>
              <w:t xml:space="preserve">Maximum data volume extracted per invocation</w:t>
            </w:r>
          </w:p>
        </w:tc>
        <w:tc>
          <w:tcPr>
            <w:tcW w:type="dxa" w:w="1250"/>
            <w:tcMar>
              <w:top w:type="dxa" w:w="60"/>
              <w:left w:type="dxa" w:w="100"/>
              <w:bottom w:type="dxa" w:w="60"/>
              <w:right w:type="dxa" w:w="100"/>
            </w:tcMar>
          </w:tcPr>
          <w:p>
            <w:pPr>
              <w:spacing w:after="0" w:line="250"/>
            </w:pPr>
            <w:r>
              <w:rPr>
                <w:sz w:val="19"/>
                <w:szCs w:val="19"/>
              </w:rPr>
              <w:t xml:space="preserve">maxWindowMinutes (60 min default)</w:t>
            </w:r>
          </w:p>
        </w:tc>
      </w:tr>
      <w:tr>
        <w:tc>
          <w:tcPr>
            <w:tcW w:type="dxa" w:w="1050"/>
            <w:tcMar>
              <w:top w:type="dxa" w:w="60"/>
              <w:left w:type="dxa" w:w="100"/>
              <w:bottom w:type="dxa" w:w="60"/>
              <w:right w:type="dxa" w:w="100"/>
            </w:tcMar>
          </w:tcPr>
          <w:p>
            <w:pPr>
              <w:spacing w:after="0" w:line="250"/>
            </w:pPr>
            <w:r>
              <w:rPr>
                <w:sz w:val="19"/>
                <w:szCs w:val="19"/>
              </w:rPr>
              <w:t xml:space="preserve">NFR-02</w:t>
            </w:r>
          </w:p>
        </w:tc>
        <w:tc>
          <w:tcPr>
            <w:tcW w:type="dxa" w:w="6726"/>
            <w:tcMar>
              <w:top w:type="dxa" w:w="60"/>
              <w:left w:type="dxa" w:w="100"/>
              <w:bottom w:type="dxa" w:w="60"/>
              <w:right w:type="dxa" w:w="100"/>
            </w:tcMar>
          </w:tcPr>
          <w:p>
            <w:pPr>
              <w:spacing w:after="0" w:line="250"/>
            </w:pPr>
            <w:r>
              <w:rPr>
                <w:sz w:val="19"/>
                <w:szCs w:val="19"/>
              </w:rPr>
              <w:t xml:space="preserve">Maximum pages per invocation</w:t>
            </w:r>
          </w:p>
        </w:tc>
        <w:tc>
          <w:tcPr>
            <w:tcW w:type="dxa" w:w="1250"/>
            <w:tcMar>
              <w:top w:type="dxa" w:w="60"/>
              <w:left w:type="dxa" w:w="100"/>
              <w:bottom w:type="dxa" w:w="60"/>
              <w:right w:type="dxa" w:w="100"/>
            </w:tcMar>
          </w:tcPr>
          <w:p>
            <w:pPr>
              <w:spacing w:after="0" w:line="250"/>
            </w:pPr>
            <w:r>
              <w:rPr>
                <w:sz w:val="19"/>
                <w:szCs w:val="19"/>
              </w:rPr>
              <w:t xml:space="preserve">10000</w:t>
            </w:r>
          </w:p>
        </w:tc>
      </w:tr>
      <w:tr>
        <w:tc>
          <w:tcPr>
            <w:tcW w:type="dxa" w:w="1050"/>
            <w:tcMar>
              <w:top w:type="dxa" w:w="60"/>
              <w:left w:type="dxa" w:w="100"/>
              <w:bottom w:type="dxa" w:w="60"/>
              <w:right w:type="dxa" w:w="100"/>
            </w:tcMar>
          </w:tcPr>
          <w:p>
            <w:pPr>
              <w:spacing w:after="0" w:line="250"/>
            </w:pPr>
            <w:r>
              <w:rPr>
                <w:sz w:val="19"/>
                <w:szCs w:val="19"/>
              </w:rPr>
              <w:t xml:space="preserve">NFR-03</w:t>
            </w:r>
          </w:p>
        </w:tc>
        <w:tc>
          <w:tcPr>
            <w:tcW w:type="dxa" w:w="6726"/>
            <w:tcMar>
              <w:top w:type="dxa" w:w="60"/>
              <w:left w:type="dxa" w:w="100"/>
              <w:bottom w:type="dxa" w:w="60"/>
              <w:right w:type="dxa" w:w="100"/>
            </w:tcMar>
          </w:tcPr>
          <w:p>
            <w:pPr>
              <w:spacing w:after="0" w:line="250"/>
            </w:pPr>
            <w:r>
              <w:rPr>
                <w:sz w:val="19"/>
                <w:szCs w:val="19"/>
              </w:rPr>
              <w:t xml:space="preserve">Extraction latency (event occurrence to availability)</w:t>
            </w:r>
          </w:p>
        </w:tc>
        <w:tc>
          <w:tcPr>
            <w:tcW w:type="dxa" w:w="1250"/>
            <w:tcMar>
              <w:top w:type="dxa" w:w="60"/>
              <w:left w:type="dxa" w:w="100"/>
              <w:bottom w:type="dxa" w:w="60"/>
              <w:right w:type="dxa" w:w="100"/>
            </w:tcMar>
          </w:tcPr>
          <w:p>
            <w:pPr>
              <w:spacing w:after="0" w:line="250"/>
            </w:pPr>
            <w:r>
              <w:rPr>
                <w:sz w:val="19"/>
                <w:szCs w:val="19"/>
              </w:rPr>
              <w:t xml:space="preserve">Consumer cadence + run time</w:t>
            </w:r>
          </w:p>
        </w:tc>
      </w:tr>
      <w:tr>
        <w:tc>
          <w:tcPr>
            <w:tcW w:type="dxa" w:w="1050"/>
            <w:tcMar>
              <w:top w:type="dxa" w:w="60"/>
              <w:left w:type="dxa" w:w="100"/>
              <w:bottom w:type="dxa" w:w="60"/>
              <w:right w:type="dxa" w:w="100"/>
            </w:tcMar>
          </w:tcPr>
          <w:p>
            <w:pPr>
              <w:spacing w:after="0" w:line="250"/>
            </w:pPr>
            <w:r>
              <w:rPr>
                <w:sz w:val="19"/>
                <w:szCs w:val="19"/>
              </w:rPr>
              <w:t xml:space="preserve">NFR-04</w:t>
            </w:r>
          </w:p>
        </w:tc>
        <w:tc>
          <w:tcPr>
            <w:tcW w:type="dxa" w:w="6726"/>
            <w:tcMar>
              <w:top w:type="dxa" w:w="60"/>
              <w:left w:type="dxa" w:w="100"/>
              <w:bottom w:type="dxa" w:w="60"/>
              <w:right w:type="dxa" w:w="100"/>
            </w:tcMar>
          </w:tcPr>
          <w:p>
            <w:pPr>
              <w:spacing w:after="0" w:line="250"/>
            </w:pPr>
            <w:r>
              <w:rPr>
                <w:sz w:val="19"/>
                <w:szCs w:val="19"/>
              </w:rPr>
              <w:t xml:space="preserve">Backlog recovery</w:t>
            </w:r>
          </w:p>
        </w:tc>
        <w:tc>
          <w:tcPr>
            <w:tcW w:type="dxa" w:w="1250"/>
            <w:tcMar>
              <w:top w:type="dxa" w:w="60"/>
              <w:left w:type="dxa" w:w="100"/>
              <w:bottom w:type="dxa" w:w="60"/>
              <w:right w:type="dxa" w:w="100"/>
            </w:tcMar>
          </w:tcPr>
          <w:p>
            <w:pPr>
              <w:spacing w:after="0" w:line="250"/>
            </w:pPr>
            <w:r>
              <w:rPr>
                <w:sz w:val="19"/>
                <w:szCs w:val="19"/>
              </w:rPr>
              <w:t xml:space="preserve">Automatic, bounded, without manual intervention</w:t>
            </w:r>
          </w:p>
        </w:tc>
      </w:tr>
      <w:tr>
        <w:tc>
          <w:tcPr>
            <w:tcW w:type="dxa" w:w="1050"/>
            <w:tcMar>
              <w:top w:type="dxa" w:w="60"/>
              <w:left w:type="dxa" w:w="100"/>
              <w:bottom w:type="dxa" w:w="60"/>
              <w:right w:type="dxa" w:w="100"/>
            </w:tcMar>
          </w:tcPr>
          <w:p>
            <w:pPr>
              <w:spacing w:after="0" w:line="250"/>
            </w:pPr>
            <w:r>
              <w:rPr>
                <w:sz w:val="19"/>
                <w:szCs w:val="19"/>
              </w:rPr>
              <w:t xml:space="preserve">NFR-05</w:t>
            </w:r>
          </w:p>
        </w:tc>
        <w:tc>
          <w:tcPr>
            <w:tcW w:type="dxa" w:w="6726"/>
            <w:tcMar>
              <w:top w:type="dxa" w:w="60"/>
              <w:left w:type="dxa" w:w="100"/>
              <w:bottom w:type="dxa" w:w="60"/>
              <w:right w:type="dxa" w:w="100"/>
            </w:tcMar>
          </w:tcPr>
          <w:p>
            <w:pPr>
              <w:spacing w:after="0" w:line="250"/>
            </w:pPr>
            <w:r>
              <w:rPr>
                <w:sz w:val="19"/>
                <w:szCs w:val="19"/>
              </w:rPr>
              <w:t xml:space="preserve">Interface isolation — one interface failing must not affect the others</w:t>
            </w:r>
          </w:p>
        </w:tc>
        <w:tc>
          <w:tcPr>
            <w:tcW w:type="dxa" w:w="1250"/>
            <w:tcMar>
              <w:top w:type="dxa" w:w="60"/>
              <w:left w:type="dxa" w:w="100"/>
              <w:bottom w:type="dxa" w:w="60"/>
              <w:right w:type="dxa" w:w="100"/>
            </w:tcMar>
          </w:tcPr>
          <w:p>
            <w:pPr>
              <w:spacing w:after="0" w:line="250"/>
            </w:pPr>
            <w:r>
              <w:rPr>
                <w:sz w:val="19"/>
                <w:szCs w:val="19"/>
              </w:rPr>
              <w:t xml:space="preserve">Separate artifact, endpoint and Data Store per log type</w:t>
            </w:r>
          </w:p>
        </w:tc>
      </w:tr>
      <w:tr>
        <w:tc>
          <w:tcPr>
            <w:tcW w:type="dxa" w:w="1050"/>
            <w:tcMar>
              <w:top w:type="dxa" w:w="60"/>
              <w:left w:type="dxa" w:w="100"/>
              <w:bottom w:type="dxa" w:w="60"/>
              <w:right w:type="dxa" w:w="100"/>
            </w:tcMar>
          </w:tcPr>
          <w:p>
            <w:pPr>
              <w:spacing w:after="0" w:line="250"/>
            </w:pPr>
            <w:r>
              <w:rPr>
                <w:sz w:val="19"/>
                <w:szCs w:val="19"/>
              </w:rPr>
              <w:t xml:space="preserve">NFR-06</w:t>
            </w:r>
          </w:p>
        </w:tc>
        <w:tc>
          <w:tcPr>
            <w:tcW w:type="dxa" w:w="6726"/>
            <w:tcMar>
              <w:top w:type="dxa" w:w="60"/>
              <w:left w:type="dxa" w:w="100"/>
              <w:bottom w:type="dxa" w:w="60"/>
              <w:right w:type="dxa" w:w="100"/>
            </w:tcMar>
          </w:tcPr>
          <w:p>
            <w:pPr>
              <w:spacing w:after="0" w:line="250"/>
            </w:pPr>
            <w:r>
              <w:rPr>
                <w:sz w:val="19"/>
                <w:szCs w:val="19"/>
              </w:rPr>
              <w:t xml:space="preserve">Observability</w:t>
            </w:r>
          </w:p>
        </w:tc>
        <w:tc>
          <w:tcPr>
            <w:tcW w:type="dxa" w:w="1250"/>
            <w:tcMar>
              <w:top w:type="dxa" w:w="60"/>
              <w:left w:type="dxa" w:w="100"/>
              <w:bottom w:type="dxa" w:w="60"/>
              <w:right w:type="dxa" w:w="100"/>
            </w:tcMar>
          </w:tcPr>
          <w:p>
            <w:pPr>
              <w:spacing w:after="0" w:line="250"/>
            </w:pPr>
            <w:r>
              <w:rPr>
                <w:sz w:val="19"/>
                <w:szCs w:val="19"/>
              </w:rPr>
              <w:t xml:space="preserve">MPL status, custom status on failure, X- headers on every reply</w:t>
            </w:r>
          </w:p>
        </w:tc>
      </w:tr>
      <w:tr>
        <w:tc>
          <w:tcPr>
            <w:tcW w:type="dxa" w:w="1050"/>
            <w:tcMar>
              <w:top w:type="dxa" w:w="60"/>
              <w:left w:type="dxa" w:w="100"/>
              <w:bottom w:type="dxa" w:w="60"/>
              <w:right w:type="dxa" w:w="100"/>
            </w:tcMar>
          </w:tcPr>
          <w:p>
            <w:pPr>
              <w:spacing w:after="0" w:line="250"/>
            </w:pPr>
            <w:r>
              <w:rPr>
                <w:sz w:val="19"/>
                <w:szCs w:val="19"/>
              </w:rPr>
              <w:t xml:space="preserve">NFR-07</w:t>
            </w:r>
          </w:p>
        </w:tc>
        <w:tc>
          <w:tcPr>
            <w:tcW w:type="dxa" w:w="6726"/>
            <w:tcMar>
              <w:top w:type="dxa" w:w="60"/>
              <w:left w:type="dxa" w:w="100"/>
              <w:bottom w:type="dxa" w:w="60"/>
              <w:right w:type="dxa" w:w="100"/>
            </w:tcMar>
          </w:tcPr>
          <w:p>
            <w:pPr>
              <w:spacing w:after="0" w:line="250"/>
            </w:pPr>
            <w:r>
              <w:rPr>
                <w:sz w:val="19"/>
                <w:szCs w:val="19"/>
              </w:rPr>
              <w:t xml:space="preserve">Maintainability — identical design across log types</w:t>
            </w:r>
          </w:p>
        </w:tc>
        <w:tc>
          <w:tcPr>
            <w:tcW w:type="dxa" w:w="1250"/>
            <w:tcMar>
              <w:top w:type="dxa" w:w="60"/>
              <w:left w:type="dxa" w:w="100"/>
              <w:bottom w:type="dxa" w:w="60"/>
              <w:right w:type="dxa" w:w="100"/>
            </w:tcMar>
          </w:tcPr>
          <w:p>
            <w:pPr>
              <w:spacing w:after="0" w:line="250"/>
            </w:pPr>
            <w:r>
              <w:rPr>
                <w:sz w:val="19"/>
                <w:szCs w:val="19"/>
              </w:rPr>
              <w:t xml:space="preserve">17-step structure common to all four</w:t>
            </w:r>
          </w:p>
        </w:tc>
      </w:tr>
    </w:tbl>
    <w:p>
      <w:pPr>
        <w:pStyle w:val="Heading2"/>
        <w:spacing w:after="140" w:before="240"/>
      </w:pPr>
      <w:r>
        <w:t xml:space="preserve">14.1 Isolation</w:t>
      </w:r>
    </w:p>
    <w:p>
      <w:pPr>
        <w:spacing w:after="120" w:line="276"/>
      </w:pPr>
      <w:r>
        <w:rPr>
          <w:sz w:val="21"/>
          <w:szCs w:val="21"/>
        </w:rPr>
        <w:t xml:space="preserve">Each interface uses its own endpoint path, Data Store name and bundle symbolic name, all verified unique across the four artifacts. No shared mutable state exists between interfaces.</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1900"/>
        <w:gridCol w:w="2500"/>
        <w:gridCol w:w="2200"/>
        <w:gridCol w:w="2426"/>
      </w:tblGrid>
      <w:tr>
        <w:trPr>
          <w:tblHeader/>
        </w:trPr>
        <w:tc>
          <w:tcPr>
            <w:tcW w:type="dxa" w:w="1900"/>
            <w:shd w:fill="D9E2F3" w:color="auto" w:val="clear"/>
            <w:tcMar>
              <w:top w:type="dxa" w:w="60"/>
              <w:left w:type="dxa" w:w="100"/>
              <w:bottom w:type="dxa" w:w="60"/>
              <w:right w:type="dxa" w:w="100"/>
            </w:tcMar>
          </w:tcPr>
          <w:p>
            <w:pPr>
              <w:spacing w:after="0" w:line="250"/>
            </w:pPr>
            <w:r>
              <w:rPr>
                <w:b/>
                <w:bCs/>
                <w:sz w:val="19"/>
                <w:szCs w:val="19"/>
              </w:rPr>
              <w:t xml:space="preserve">Interface</w:t>
            </w:r>
          </w:p>
        </w:tc>
        <w:tc>
          <w:tcPr>
            <w:tcW w:type="dxa" w:w="2500"/>
            <w:shd w:fill="D9E2F3" w:color="auto" w:val="clear"/>
            <w:tcMar>
              <w:top w:type="dxa" w:w="60"/>
              <w:left w:type="dxa" w:w="100"/>
              <w:bottom w:type="dxa" w:w="60"/>
              <w:right w:type="dxa" w:w="100"/>
            </w:tcMar>
          </w:tcPr>
          <w:p>
            <w:pPr>
              <w:spacing w:after="0" w:line="250"/>
            </w:pPr>
            <w:r>
              <w:rPr>
                <w:b/>
                <w:bCs/>
                <w:sz w:val="19"/>
                <w:szCs w:val="19"/>
              </w:rPr>
              <w:t xml:space="preserve">Endpoint</w:t>
            </w:r>
          </w:p>
        </w:tc>
        <w:tc>
          <w:tcPr>
            <w:tcW w:type="dxa" w:w="2200"/>
            <w:shd w:fill="D9E2F3" w:color="auto" w:val="clear"/>
            <w:tcMar>
              <w:top w:type="dxa" w:w="60"/>
              <w:left w:type="dxa" w:w="100"/>
              <w:bottom w:type="dxa" w:w="60"/>
              <w:right w:type="dxa" w:w="100"/>
            </w:tcMar>
          </w:tcPr>
          <w:p>
            <w:pPr>
              <w:spacing w:after="0" w:line="250"/>
            </w:pPr>
            <w:r>
              <w:rPr>
                <w:b/>
                <w:bCs/>
                <w:sz w:val="19"/>
                <w:szCs w:val="19"/>
              </w:rPr>
              <w:t xml:space="preserve">Data Store</w:t>
            </w:r>
          </w:p>
        </w:tc>
        <w:tc>
          <w:tcPr>
            <w:tcW w:type="dxa" w:w="2426"/>
            <w:shd w:fill="D9E2F3" w:color="auto" w:val="clear"/>
            <w:tcMar>
              <w:top w:type="dxa" w:w="60"/>
              <w:left w:type="dxa" w:w="100"/>
              <w:bottom w:type="dxa" w:w="60"/>
              <w:right w:type="dxa" w:w="100"/>
            </w:tcMar>
          </w:tcPr>
          <w:p>
            <w:pPr>
              <w:spacing w:after="0" w:line="250"/>
            </w:pPr>
            <w:r>
              <w:rPr>
                <w:b/>
                <w:bCs/>
                <w:sz w:val="19"/>
                <w:szCs w:val="19"/>
              </w:rPr>
              <w:t xml:space="preserve">Store entry</w:t>
            </w:r>
          </w:p>
        </w:tc>
      </w:tr>
      <w:tr>
        <w:tc>
          <w:tcPr>
            <w:tcW w:type="dxa" w:w="1900"/>
            <w:tcMar>
              <w:top w:type="dxa" w:w="60"/>
              <w:left w:type="dxa" w:w="100"/>
              <w:bottom w:type="dxa" w:w="60"/>
              <w:right w:type="dxa" w:w="100"/>
            </w:tcMar>
          </w:tcPr>
          <w:p>
            <w:pPr>
              <w:spacing w:after="0" w:line="250"/>
            </w:pPr>
            <w:r>
              <w:rPr>
                <w:sz w:val="19"/>
                <w:szCs w:val="19"/>
              </w:rPr>
              <w:t xml:space="preserve">IF-01 Security</w:t>
            </w:r>
          </w:p>
        </w:tc>
        <w:tc>
          <w:tcPr>
            <w:tcW w:type="dxa" w:w="2500"/>
            <w:tcMar>
              <w:top w:type="dxa" w:w="60"/>
              <w:left w:type="dxa" w:w="100"/>
              <w:bottom w:type="dxa" w:w="60"/>
              <w:right w:type="dxa" w:w="100"/>
            </w:tcMar>
          </w:tcPr>
          <w:p>
            <w:pPr>
              <w:spacing w:after="0" w:line="250"/>
            </w:pPr>
            <w:r>
              <w:rPr>
                <w:rFonts w:ascii="Consolas" w:cs="Consolas" w:eastAsia="Consolas" w:hAnsi="Consolas"/>
                <w:sz w:val="19"/>
                <w:szCs w:val="19"/>
              </w:rPr>
              <w:t xml:space="preserve">/extract/secauditlog</w:t>
            </w:r>
          </w:p>
        </w:tc>
        <w:tc>
          <w:tcPr>
            <w:tcW w:type="dxa" w:w="2200"/>
            <w:tcMar>
              <w:top w:type="dxa" w:w="60"/>
              <w:left w:type="dxa" w:w="100"/>
              <w:bottom w:type="dxa" w:w="60"/>
              <w:right w:type="dxa" w:w="100"/>
            </w:tcMar>
          </w:tcPr>
          <w:p>
            <w:pPr>
              <w:spacing w:after="0" w:line="250"/>
            </w:pPr>
            <w:r>
              <w:rPr>
                <w:rFonts w:ascii="Consolas" w:cs="Consolas" w:eastAsia="Consolas" w:hAnsi="Consolas"/>
                <w:sz w:val="19"/>
                <w:szCs w:val="19"/>
              </w:rPr>
              <w:t xml:space="preserve">SEC_AUDIT_DELTA</w:t>
            </w:r>
          </w:p>
        </w:tc>
        <w:tc>
          <w:tcPr>
            <w:tcW w:type="dxa" w:w="2426"/>
            <w:tcMar>
              <w:top w:type="dxa" w:w="60"/>
              <w:left w:type="dxa" w:w="100"/>
              <w:bottom w:type="dxa" w:w="60"/>
              <w:right w:type="dxa" w:w="100"/>
            </w:tcMar>
          </w:tcPr>
          <w:p>
            <w:pPr>
              <w:spacing w:after="0" w:line="250"/>
            </w:pPr>
            <w:r>
              <w:rPr>
                <w:rFonts w:ascii="Consolas" w:cs="Consolas" w:eastAsia="Consolas" w:hAnsi="Consolas"/>
                <w:sz w:val="19"/>
                <w:szCs w:val="19"/>
              </w:rPr>
              <w:t xml:space="preserve">LastRun</w:t>
            </w:r>
          </w:p>
        </w:tc>
      </w:tr>
      <w:tr>
        <w:tc>
          <w:tcPr>
            <w:tcW w:type="dxa" w:w="1900"/>
            <w:tcMar>
              <w:top w:type="dxa" w:w="60"/>
              <w:left w:type="dxa" w:w="100"/>
              <w:bottom w:type="dxa" w:w="60"/>
              <w:right w:type="dxa" w:w="100"/>
            </w:tcMar>
          </w:tcPr>
          <w:p>
            <w:pPr>
              <w:spacing w:after="0" w:line="250"/>
            </w:pPr>
            <w:r>
              <w:rPr>
                <w:sz w:val="19"/>
                <w:szCs w:val="19"/>
              </w:rPr>
              <w:t xml:space="preserve">IF-02 Read</w:t>
            </w:r>
          </w:p>
        </w:tc>
        <w:tc>
          <w:tcPr>
            <w:tcW w:type="dxa" w:w="2500"/>
            <w:tcMar>
              <w:top w:type="dxa" w:w="60"/>
              <w:left w:type="dxa" w:w="100"/>
              <w:bottom w:type="dxa" w:w="60"/>
              <w:right w:type="dxa" w:w="100"/>
            </w:tcMar>
          </w:tcPr>
          <w:p>
            <w:pPr>
              <w:spacing w:after="0" w:line="250"/>
            </w:pPr>
            <w:r>
              <w:rPr>
                <w:rFonts w:ascii="Consolas" w:cs="Consolas" w:eastAsia="Consolas" w:hAnsi="Consolas"/>
                <w:sz w:val="19"/>
                <w:szCs w:val="19"/>
              </w:rPr>
              <w:t xml:space="preserve">/extract/readaccesslog</w:t>
            </w:r>
          </w:p>
        </w:tc>
        <w:tc>
          <w:tcPr>
            <w:tcW w:type="dxa" w:w="2200"/>
            <w:tcMar>
              <w:top w:type="dxa" w:w="60"/>
              <w:left w:type="dxa" w:w="100"/>
              <w:bottom w:type="dxa" w:w="60"/>
              <w:right w:type="dxa" w:w="100"/>
            </w:tcMar>
          </w:tcPr>
          <w:p>
            <w:pPr>
              <w:spacing w:after="0" w:line="250"/>
            </w:pPr>
            <w:r>
              <w:rPr>
                <w:rFonts w:ascii="Consolas" w:cs="Consolas" w:eastAsia="Consolas" w:hAnsi="Consolas"/>
                <w:sz w:val="19"/>
                <w:szCs w:val="19"/>
              </w:rPr>
              <w:t xml:space="preserve">READ_ACCESS_DELTA</w:t>
            </w:r>
          </w:p>
        </w:tc>
        <w:tc>
          <w:tcPr>
            <w:tcW w:type="dxa" w:w="2426"/>
            <w:tcMar>
              <w:top w:type="dxa" w:w="60"/>
              <w:left w:type="dxa" w:w="100"/>
              <w:bottom w:type="dxa" w:w="60"/>
              <w:right w:type="dxa" w:w="100"/>
            </w:tcMar>
          </w:tcPr>
          <w:p>
            <w:pPr>
              <w:spacing w:after="0" w:line="250"/>
            </w:pPr>
            <w:r>
              <w:rPr>
                <w:rFonts w:ascii="Consolas" w:cs="Consolas" w:eastAsia="Consolas" w:hAnsi="Consolas"/>
                <w:sz w:val="19"/>
                <w:szCs w:val="19"/>
              </w:rPr>
              <w:t xml:space="preserve">LastRun</w:t>
            </w:r>
          </w:p>
        </w:tc>
      </w:tr>
      <w:tr>
        <w:tc>
          <w:tcPr>
            <w:tcW w:type="dxa" w:w="1900"/>
            <w:tcMar>
              <w:top w:type="dxa" w:w="60"/>
              <w:left w:type="dxa" w:w="100"/>
              <w:bottom w:type="dxa" w:w="60"/>
              <w:right w:type="dxa" w:w="100"/>
            </w:tcMar>
          </w:tcPr>
          <w:p>
            <w:pPr>
              <w:spacing w:after="0" w:line="250"/>
            </w:pPr>
            <w:r>
              <w:rPr>
                <w:sz w:val="19"/>
                <w:szCs w:val="19"/>
              </w:rPr>
              <w:t xml:space="preserve">IF-03 Business</w:t>
            </w:r>
          </w:p>
        </w:tc>
        <w:tc>
          <w:tcPr>
            <w:tcW w:type="dxa" w:w="2500"/>
            <w:tcMar>
              <w:top w:type="dxa" w:w="60"/>
              <w:left w:type="dxa" w:w="100"/>
              <w:bottom w:type="dxa" w:w="60"/>
              <w:right w:type="dxa" w:w="100"/>
            </w:tcMar>
          </w:tcPr>
          <w:p>
            <w:pPr>
              <w:spacing w:after="0" w:line="250"/>
            </w:pPr>
            <w:r>
              <w:rPr>
                <w:rFonts w:ascii="Consolas" w:cs="Consolas" w:eastAsia="Consolas" w:hAnsi="Consolas"/>
                <w:sz w:val="19"/>
                <w:szCs w:val="19"/>
              </w:rPr>
              <w:t xml:space="preserve">/extract/businessuserchanges</w:t>
            </w:r>
          </w:p>
        </w:tc>
        <w:tc>
          <w:tcPr>
            <w:tcW w:type="dxa" w:w="2200"/>
            <w:tcMar>
              <w:top w:type="dxa" w:w="60"/>
              <w:left w:type="dxa" w:w="100"/>
              <w:bottom w:type="dxa" w:w="60"/>
              <w:right w:type="dxa" w:w="100"/>
            </w:tcMar>
          </w:tcPr>
          <w:p>
            <w:pPr>
              <w:spacing w:after="0" w:line="250"/>
            </w:pPr>
            <w:r>
              <w:rPr>
                <w:rFonts w:ascii="Consolas" w:cs="Consolas" w:eastAsia="Consolas" w:hAnsi="Consolas"/>
                <w:sz w:val="19"/>
                <w:szCs w:val="19"/>
              </w:rPr>
              <w:t xml:space="preserve">BUS_USER_DELTA</w:t>
            </w:r>
          </w:p>
        </w:tc>
        <w:tc>
          <w:tcPr>
            <w:tcW w:type="dxa" w:w="2426"/>
            <w:tcMar>
              <w:top w:type="dxa" w:w="60"/>
              <w:left w:type="dxa" w:w="100"/>
              <w:bottom w:type="dxa" w:w="60"/>
              <w:right w:type="dxa" w:w="100"/>
            </w:tcMar>
          </w:tcPr>
          <w:p>
            <w:pPr>
              <w:spacing w:after="0" w:line="250"/>
            </w:pPr>
            <w:r>
              <w:rPr>
                <w:rFonts w:ascii="Consolas" w:cs="Consolas" w:eastAsia="Consolas" w:hAnsi="Consolas"/>
                <w:sz w:val="19"/>
                <w:szCs w:val="19"/>
              </w:rPr>
              <w:t xml:space="preserve">LastRun</w:t>
            </w:r>
          </w:p>
        </w:tc>
      </w:tr>
      <w:tr>
        <w:tc>
          <w:tcPr>
            <w:tcW w:type="dxa" w:w="1900"/>
            <w:tcMar>
              <w:top w:type="dxa" w:w="60"/>
              <w:left w:type="dxa" w:w="100"/>
              <w:bottom w:type="dxa" w:w="60"/>
              <w:right w:type="dxa" w:w="100"/>
            </w:tcMar>
          </w:tcPr>
          <w:p>
            <w:pPr>
              <w:spacing w:after="0" w:line="250"/>
            </w:pPr>
            <w:r>
              <w:rPr>
                <w:sz w:val="19"/>
                <w:szCs w:val="19"/>
              </w:rPr>
              <w:t xml:space="preserve">IF-04 Business</w:t>
            </w:r>
          </w:p>
        </w:tc>
        <w:tc>
          <w:tcPr>
            <w:tcW w:type="dxa" w:w="2500"/>
            <w:tcMar>
              <w:top w:type="dxa" w:w="60"/>
              <w:left w:type="dxa" w:w="100"/>
              <w:bottom w:type="dxa" w:w="60"/>
              <w:right w:type="dxa" w:w="100"/>
            </w:tcMar>
          </w:tcPr>
          <w:p>
            <w:pPr>
              <w:spacing w:after="0" w:line="250"/>
            </w:pPr>
            <w:r>
              <w:rPr>
                <w:rFonts w:ascii="Consolas" w:cs="Consolas" w:eastAsia="Consolas" w:hAnsi="Consolas"/>
                <w:sz w:val="19"/>
                <w:szCs w:val="19"/>
              </w:rPr>
              <w:t xml:space="preserve">/extract/businessrolechanges</w:t>
            </w:r>
          </w:p>
        </w:tc>
        <w:tc>
          <w:tcPr>
            <w:tcW w:type="dxa" w:w="2200"/>
            <w:tcMar>
              <w:top w:type="dxa" w:w="60"/>
              <w:left w:type="dxa" w:w="100"/>
              <w:bottom w:type="dxa" w:w="60"/>
              <w:right w:type="dxa" w:w="100"/>
            </w:tcMar>
          </w:tcPr>
          <w:p>
            <w:pPr>
              <w:spacing w:after="0" w:line="250"/>
            </w:pPr>
            <w:r>
              <w:rPr>
                <w:rFonts w:ascii="Consolas" w:cs="Consolas" w:eastAsia="Consolas" w:hAnsi="Consolas"/>
                <w:sz w:val="19"/>
                <w:szCs w:val="19"/>
              </w:rPr>
              <w:t xml:space="preserve">BUS_ROLE_DELTA</w:t>
            </w:r>
          </w:p>
        </w:tc>
        <w:tc>
          <w:tcPr>
            <w:tcW w:type="dxa" w:w="2426"/>
            <w:tcMar>
              <w:top w:type="dxa" w:w="60"/>
              <w:left w:type="dxa" w:w="100"/>
              <w:bottom w:type="dxa" w:w="60"/>
              <w:right w:type="dxa" w:w="100"/>
            </w:tcMar>
          </w:tcPr>
          <w:p>
            <w:pPr>
              <w:spacing w:after="0" w:line="250"/>
            </w:pPr>
            <w:r>
              <w:rPr>
                <w:rFonts w:ascii="Consolas" w:cs="Consolas" w:eastAsia="Consolas" w:hAnsi="Consolas"/>
                <w:sz w:val="19"/>
                <w:szCs w:val="19"/>
              </w:rPr>
              <w:t xml:space="preserve">LastRun</w:t>
            </w:r>
          </w:p>
        </w:tc>
      </w:tr>
    </w:tbl>
    <w:p>
      <w:r>
        <w:br w:type="page"/>
      </w:r>
    </w:p>
    <w:p>
      <w:pPr>
        <w:pStyle w:val="Heading1"/>
        <w:spacing w:after="140" w:before="320"/>
      </w:pPr>
      <w:r>
        <w:t xml:space="preserve">15. Deployment</w:t>
      </w:r>
    </w:p>
    <w:p>
      <w:pPr>
        <w:pStyle w:val="Heading2"/>
        <w:spacing w:after="140" w:before="240"/>
      </w:pPr>
      <w:r>
        <w:t xml:space="preserve">15.1 Prerequisites</w:t>
      </w:r>
    </w:p>
    <w:p>
      <w:pPr>
        <w:pStyle w:val="ListParagraph"/>
        <w:numPr>
          <w:ilvl w:val="0"/>
          <w:numId w:val="2"/>
        </w:numPr>
        <w:spacing w:after="70" w:line="276"/>
      </w:pPr>
      <w:r>
        <w:rPr>
          <w:sz w:val="21"/>
          <w:szCs w:val="21"/>
        </w:rPr>
        <w:t xml:space="preserve">S/4HANA Cloud communication arrangements active for SAP_COM_0750, SAP_COM_0915, SAP_COM_0327 and SAP_COM_0366, with a common communication user.</w:t>
      </w:r>
    </w:p>
    <w:p>
      <w:pPr>
        <w:pStyle w:val="ListParagraph"/>
        <w:numPr>
          <w:ilvl w:val="0"/>
          <w:numId w:val="2"/>
        </w:numPr>
        <w:spacing w:after="70" w:line="276"/>
      </w:pPr>
      <w:r>
        <w:rPr>
          <w:sz w:val="21"/>
          <w:szCs w:val="21"/>
        </w:rPr>
        <w:t xml:space="preserve">CPI Security Material credential alias S4HC_AUDIT_DEV deployed with that user.</w:t>
      </w:r>
    </w:p>
    <w:p>
      <w:pPr>
        <w:pStyle w:val="ListParagraph"/>
        <w:numPr>
          <w:ilvl w:val="0"/>
          <w:numId w:val="2"/>
        </w:numPr>
        <w:spacing w:after="70" w:line="276"/>
      </w:pPr>
      <w:r>
        <w:rPr>
          <w:sz w:val="21"/>
          <w:szCs w:val="21"/>
        </w:rPr>
        <w:t xml:space="preserve">Read Access Logging configured in S/4HANA for the fields in scope (IF-02 only).</w:t>
      </w:r>
    </w:p>
    <w:p>
      <w:pPr>
        <w:pStyle w:val="ListParagraph"/>
        <w:numPr>
          <w:ilvl w:val="0"/>
          <w:numId w:val="2"/>
        </w:numPr>
        <w:spacing w:after="70" w:line="276"/>
      </w:pPr>
      <w:r>
        <w:rPr>
          <w:sz w:val="21"/>
          <w:szCs w:val="21"/>
        </w:rPr>
        <w:t xml:space="preserve">Consumer credentials granted the sender role for the four endpoints.</w:t>
      </w:r>
    </w:p>
    <w:p>
      <w:pPr>
        <w:pStyle w:val="Heading2"/>
        <w:spacing w:after="140" w:before="240"/>
      </w:pPr>
      <w:r>
        <w:t xml:space="preserve">15.2 Deployment steps</w:t>
      </w:r>
    </w:p>
    <w:p>
      <w:pPr>
        <w:pStyle w:val="ListParagraph"/>
        <w:numPr>
          <w:ilvl w:val="0"/>
          <w:numId w:val="2"/>
        </w:numPr>
        <w:spacing w:after="70" w:line="276"/>
      </w:pPr>
      <w:r>
        <w:rPr>
          <w:sz w:val="21"/>
          <w:szCs w:val="21"/>
        </w:rPr>
        <w:t xml:space="preserve">1. Import each artifact ZIP into the target CPI package.</w:t>
      </w:r>
    </w:p>
    <w:p>
      <w:pPr>
        <w:pStyle w:val="ListParagraph"/>
        <w:numPr>
          <w:ilvl w:val="0"/>
          <w:numId w:val="2"/>
        </w:numPr>
        <w:spacing w:after="70" w:line="276"/>
      </w:pPr>
      <w:r>
        <w:rPr>
          <w:sz w:val="21"/>
          <w:szCs w:val="21"/>
        </w:rPr>
        <w:t xml:space="preserve">2. Confirm the OData channel opens with the correct protocol version (V4 for IF-01/IF-02, V2 for IF-03/IF-04).</w:t>
      </w:r>
    </w:p>
    <w:p>
      <w:pPr>
        <w:pStyle w:val="ListParagraph"/>
        <w:numPr>
          <w:ilvl w:val="0"/>
          <w:numId w:val="2"/>
        </w:numPr>
        <w:spacing w:after="70" w:line="276"/>
      </w:pPr>
      <w:r>
        <w:rPr>
          <w:sz w:val="21"/>
          <w:szCs w:val="21"/>
        </w:rPr>
        <w:t xml:space="preserve">3. Verify the receiver participant name matches the loop-condition property (section 7).</w:t>
      </w:r>
    </w:p>
    <w:p>
      <w:pPr>
        <w:pStyle w:val="ListParagraph"/>
        <w:numPr>
          <w:ilvl w:val="0"/>
          <w:numId w:val="2"/>
        </w:numPr>
        <w:spacing w:after="70" w:line="276"/>
      </w:pPr>
      <w:r>
        <w:rPr>
          <w:sz w:val="21"/>
          <w:szCs w:val="21"/>
        </w:rPr>
        <w:t xml:space="preserve">4. Deploy each artifact and record its runtime endpoint URL.</w:t>
      </w:r>
    </w:p>
    <w:p>
      <w:pPr>
        <w:pStyle w:val="ListParagraph"/>
        <w:numPr>
          <w:ilvl w:val="0"/>
          <w:numId w:val="2"/>
        </w:numPr>
        <w:spacing w:after="70" w:line="276"/>
      </w:pPr>
      <w:r>
        <w:rPr>
          <w:sz w:val="21"/>
          <w:szCs w:val="21"/>
        </w:rPr>
        <w:t xml:space="preserve">5. Invoke each endpoint once to create the Data Store and establish the first high-water.</w:t>
      </w:r>
    </w:p>
    <w:p>
      <w:pPr>
        <w:pStyle w:val="ListParagraph"/>
        <w:numPr>
          <w:ilvl w:val="0"/>
          <w:numId w:val="2"/>
        </w:numPr>
        <w:spacing w:after="70" w:line="276"/>
      </w:pPr>
      <w:r>
        <w:rPr>
          <w:sz w:val="21"/>
          <w:szCs w:val="21"/>
        </w:rPr>
        <w:t xml:space="preserve">6. Configure the consumer with the four endpoints and its cadence.</w:t>
      </w:r>
    </w:p>
    <w:p>
      <w:pPr>
        <w:spacing w:after="120" w:line="276"/>
      </w:pPr>
      <w:r>
        <w:rPr>
          <w:i/>
          <w:iCs/>
          <w:sz w:val="21"/>
          <w:szCs w:val="21"/>
        </w:rPr>
        <w:t xml:space="preserve">The Data Store is created automatically on the first successful write; no manual provisioning is required.</w:t>
      </w:r>
    </w:p>
    <w:p>
      <w:pPr>
        <w:pStyle w:val="Heading2"/>
        <w:spacing w:after="140" w:before="240"/>
      </w:pPr>
      <w:r>
        <w:t xml:space="preserve">15.3 Artifact contents</w:t>
      </w:r>
    </w:p>
    <w:p>
      <w:pPr>
        <w:spacing w:after="120" w:line="276"/>
      </w:pPr>
      <w:r>
        <w:rPr>
          <w:sz w:val="21"/>
          <w:szCs w:val="21"/>
        </w:rPr>
        <w:t xml:space="preserve">Each ZIP contains the iFlow definition, the three Groovy scripts, the service EDMX (so the OData channel resolves offline), the entity XSD, the flow diagram and a README.</w:t>
      </w:r>
    </w:p>
    <w:p>
      <w:r>
        <w:br w:type="page"/>
      </w:r>
    </w:p>
    <w:p>
      <w:pPr>
        <w:pStyle w:val="Heading1"/>
        <w:spacing w:after="140" w:before="320"/>
      </w:pPr>
      <w:r>
        <w:t xml:space="preserve">16. Test Cases and Acceptance Criteria</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1000"/>
        <w:gridCol w:w="5426"/>
        <w:gridCol w:w="2600"/>
      </w:tblGrid>
      <w:tr>
        <w:trPr>
          <w:tblHeader/>
        </w:trPr>
        <w:tc>
          <w:tcPr>
            <w:tcW w:type="dxa" w:w="1000"/>
            <w:shd w:fill="D9E2F3" w:color="auto" w:val="clear"/>
            <w:tcMar>
              <w:top w:type="dxa" w:w="60"/>
              <w:left w:type="dxa" w:w="100"/>
              <w:bottom w:type="dxa" w:w="60"/>
              <w:right w:type="dxa" w:w="100"/>
            </w:tcMar>
          </w:tcPr>
          <w:p>
            <w:pPr>
              <w:spacing w:after="0" w:line="250"/>
            </w:pPr>
            <w:r>
              <w:rPr>
                <w:b/>
                <w:bCs/>
                <w:sz w:val="19"/>
                <w:szCs w:val="19"/>
              </w:rPr>
              <w:t xml:space="preserve">ID</w:t>
            </w:r>
          </w:p>
        </w:tc>
        <w:tc>
          <w:tcPr>
            <w:tcW w:type="dxa" w:w="5426"/>
            <w:shd w:fill="D9E2F3" w:color="auto" w:val="clear"/>
            <w:tcMar>
              <w:top w:type="dxa" w:w="60"/>
              <w:left w:type="dxa" w:w="100"/>
              <w:bottom w:type="dxa" w:w="60"/>
              <w:right w:type="dxa" w:w="100"/>
            </w:tcMar>
          </w:tcPr>
          <w:p>
            <w:pPr>
              <w:spacing w:after="0" w:line="250"/>
            </w:pPr>
            <w:r>
              <w:rPr>
                <w:b/>
                <w:bCs/>
                <w:sz w:val="19"/>
                <w:szCs w:val="19"/>
              </w:rPr>
              <w:t xml:space="preserve">Test case</w:t>
            </w:r>
          </w:p>
        </w:tc>
        <w:tc>
          <w:tcPr>
            <w:tcW w:type="dxa" w:w="2600"/>
            <w:shd w:fill="D9E2F3" w:color="auto" w:val="clear"/>
            <w:tcMar>
              <w:top w:type="dxa" w:w="60"/>
              <w:left w:type="dxa" w:w="100"/>
              <w:bottom w:type="dxa" w:w="60"/>
              <w:right w:type="dxa" w:w="100"/>
            </w:tcMar>
          </w:tcPr>
          <w:p>
            <w:pPr>
              <w:spacing w:after="0" w:line="250"/>
            </w:pPr>
            <w:r>
              <w:rPr>
                <w:b/>
                <w:bCs/>
                <w:sz w:val="19"/>
                <w:szCs w:val="19"/>
              </w:rPr>
              <w:t xml:space="preserve">Expected result</w:t>
            </w:r>
          </w:p>
        </w:tc>
      </w:tr>
      <w:tr>
        <w:tc>
          <w:tcPr>
            <w:tcW w:type="dxa" w:w="1000"/>
            <w:tcMar>
              <w:top w:type="dxa" w:w="60"/>
              <w:left w:type="dxa" w:w="100"/>
              <w:bottom w:type="dxa" w:w="60"/>
              <w:right w:type="dxa" w:w="100"/>
            </w:tcMar>
          </w:tcPr>
          <w:p>
            <w:pPr>
              <w:spacing w:after="0" w:line="250"/>
            </w:pPr>
            <w:r>
              <w:rPr>
                <w:sz w:val="19"/>
                <w:szCs w:val="19"/>
              </w:rPr>
              <w:t xml:space="preserve">TC-01</w:t>
            </w:r>
          </w:p>
        </w:tc>
        <w:tc>
          <w:tcPr>
            <w:tcW w:type="dxa" w:w="5426"/>
            <w:tcMar>
              <w:top w:type="dxa" w:w="60"/>
              <w:left w:type="dxa" w:w="100"/>
              <w:bottom w:type="dxa" w:w="60"/>
              <w:right w:type="dxa" w:w="100"/>
            </w:tcMar>
          </w:tcPr>
          <w:p>
            <w:pPr>
              <w:spacing w:after="0" w:line="250"/>
            </w:pPr>
            <w:r>
              <w:rPr>
                <w:sz w:val="19"/>
                <w:szCs w:val="19"/>
              </w:rPr>
              <w:t xml:space="preserve">First invocation against an empty Data Store</w:t>
            </w:r>
          </w:p>
        </w:tc>
        <w:tc>
          <w:tcPr>
            <w:tcW w:type="dxa" w:w="2600"/>
            <w:tcMar>
              <w:top w:type="dxa" w:w="60"/>
              <w:left w:type="dxa" w:w="100"/>
              <w:bottom w:type="dxa" w:w="60"/>
              <w:right w:type="dxa" w:w="100"/>
            </w:tcMar>
          </w:tcPr>
          <w:p>
            <w:pPr>
              <w:spacing w:after="0" w:line="250"/>
            </w:pPr>
            <w:r>
              <w:rPr>
                <w:sz w:val="19"/>
                <w:szCs w:val="19"/>
              </w:rPr>
              <w:t xml:space="preserve">HTTP 200; X-First-Run true; window covers the last 15 minutes; high-water created</w:t>
            </w:r>
          </w:p>
        </w:tc>
      </w:tr>
      <w:tr>
        <w:tc>
          <w:tcPr>
            <w:tcW w:type="dxa" w:w="1000"/>
            <w:tcMar>
              <w:top w:type="dxa" w:w="60"/>
              <w:left w:type="dxa" w:w="100"/>
              <w:bottom w:type="dxa" w:w="60"/>
              <w:right w:type="dxa" w:w="100"/>
            </w:tcMar>
          </w:tcPr>
          <w:p>
            <w:pPr>
              <w:spacing w:after="0" w:line="250"/>
            </w:pPr>
            <w:r>
              <w:rPr>
                <w:sz w:val="19"/>
                <w:szCs w:val="19"/>
              </w:rPr>
              <w:t xml:space="preserve">TC-02</w:t>
            </w:r>
          </w:p>
        </w:tc>
        <w:tc>
          <w:tcPr>
            <w:tcW w:type="dxa" w:w="5426"/>
            <w:tcMar>
              <w:top w:type="dxa" w:w="60"/>
              <w:left w:type="dxa" w:w="100"/>
              <w:bottom w:type="dxa" w:w="60"/>
              <w:right w:type="dxa" w:w="100"/>
            </w:tcMar>
          </w:tcPr>
          <w:p>
            <w:pPr>
              <w:spacing w:after="0" w:line="250"/>
            </w:pPr>
            <w:r>
              <w:rPr>
                <w:sz w:val="19"/>
                <w:szCs w:val="19"/>
              </w:rPr>
              <w:t xml:space="preserve">Second invocation with no new events</w:t>
            </w:r>
          </w:p>
        </w:tc>
        <w:tc>
          <w:tcPr>
            <w:tcW w:type="dxa" w:w="2600"/>
            <w:tcMar>
              <w:top w:type="dxa" w:w="60"/>
              <w:left w:type="dxa" w:w="100"/>
              <w:bottom w:type="dxa" w:w="60"/>
              <w:right w:type="dxa" w:w="100"/>
            </w:tcMar>
          </w:tcPr>
          <w:p>
            <w:pPr>
              <w:spacing w:after="0" w:line="250"/>
            </w:pPr>
            <w:r>
              <w:rPr>
                <w:sz w:val="19"/>
                <w:szCs w:val="19"/>
              </w:rPr>
              <w:t xml:space="preserve">HTTP 200; X-Total-Count 0; empty body; high-water advances</w:t>
            </w:r>
          </w:p>
        </w:tc>
      </w:tr>
      <w:tr>
        <w:tc>
          <w:tcPr>
            <w:tcW w:type="dxa" w:w="1000"/>
            <w:tcMar>
              <w:top w:type="dxa" w:w="60"/>
              <w:left w:type="dxa" w:w="100"/>
              <w:bottom w:type="dxa" w:w="60"/>
              <w:right w:type="dxa" w:w="100"/>
            </w:tcMar>
          </w:tcPr>
          <w:p>
            <w:pPr>
              <w:spacing w:after="0" w:line="250"/>
            </w:pPr>
            <w:r>
              <w:rPr>
                <w:sz w:val="19"/>
                <w:szCs w:val="19"/>
              </w:rPr>
              <w:t xml:space="preserve">TC-03</w:t>
            </w:r>
          </w:p>
        </w:tc>
        <w:tc>
          <w:tcPr>
            <w:tcW w:type="dxa" w:w="5426"/>
            <w:tcMar>
              <w:top w:type="dxa" w:w="60"/>
              <w:left w:type="dxa" w:w="100"/>
              <w:bottom w:type="dxa" w:w="60"/>
              <w:right w:type="dxa" w:w="100"/>
            </w:tcMar>
          </w:tcPr>
          <w:p>
            <w:pPr>
              <w:spacing w:after="0" w:line="250"/>
            </w:pPr>
            <w:r>
              <w:rPr>
                <w:sz w:val="19"/>
                <w:szCs w:val="19"/>
              </w:rPr>
              <w:t xml:space="preserve">Window containing more records than one page</w:t>
            </w:r>
          </w:p>
        </w:tc>
        <w:tc>
          <w:tcPr>
            <w:tcW w:type="dxa" w:w="2600"/>
            <w:tcMar>
              <w:top w:type="dxa" w:w="60"/>
              <w:left w:type="dxa" w:w="100"/>
              <w:bottom w:type="dxa" w:w="60"/>
              <w:right w:type="dxa" w:w="100"/>
            </w:tcMar>
          </w:tcPr>
          <w:p>
            <w:pPr>
              <w:spacing w:after="0" w:line="250"/>
            </w:pPr>
            <w:r>
              <w:rPr>
                <w:sz w:val="19"/>
                <w:szCs w:val="19"/>
              </w:rPr>
              <w:t xml:space="preserve">All pages returned; count matches the source system</w:t>
            </w:r>
          </w:p>
        </w:tc>
      </w:tr>
      <w:tr>
        <w:tc>
          <w:tcPr>
            <w:tcW w:type="dxa" w:w="1000"/>
            <w:tcMar>
              <w:top w:type="dxa" w:w="60"/>
              <w:left w:type="dxa" w:w="100"/>
              <w:bottom w:type="dxa" w:w="60"/>
              <w:right w:type="dxa" w:w="100"/>
            </w:tcMar>
          </w:tcPr>
          <w:p>
            <w:pPr>
              <w:spacing w:after="0" w:line="250"/>
            </w:pPr>
            <w:r>
              <w:rPr>
                <w:sz w:val="19"/>
                <w:szCs w:val="19"/>
              </w:rPr>
              <w:t xml:space="preserve">TC-04</w:t>
            </w:r>
          </w:p>
        </w:tc>
        <w:tc>
          <w:tcPr>
            <w:tcW w:type="dxa" w:w="5426"/>
            <w:tcMar>
              <w:top w:type="dxa" w:w="60"/>
              <w:left w:type="dxa" w:w="100"/>
              <w:bottom w:type="dxa" w:w="60"/>
              <w:right w:type="dxa" w:w="100"/>
            </w:tcMar>
          </w:tcPr>
          <w:p>
            <w:pPr>
              <w:spacing w:after="0" w:line="250"/>
            </w:pPr>
            <w:r>
              <w:rPr>
                <w:sz w:val="19"/>
                <w:szCs w:val="19"/>
              </w:rPr>
              <w:t xml:space="preserve">Interface not invoked for five hours, then invoked</w:t>
            </w:r>
          </w:p>
        </w:tc>
        <w:tc>
          <w:tcPr>
            <w:tcW w:type="dxa" w:w="2600"/>
            <w:tcMar>
              <w:top w:type="dxa" w:w="60"/>
              <w:left w:type="dxa" w:w="100"/>
              <w:bottom w:type="dxa" w:w="60"/>
              <w:right w:type="dxa" w:w="100"/>
            </w:tcMar>
          </w:tcPr>
          <w:p>
            <w:pPr>
              <w:spacing w:after="0" w:line="250"/>
            </w:pPr>
            <w:r>
              <w:rPr>
                <w:sz w:val="19"/>
                <w:szCs w:val="19"/>
              </w:rPr>
              <w:t xml:space="preserve">Each call returns at most one hour of data with X-Caught-Up false, until the backlog is drained and X-Caught-Up returns true</w:t>
            </w:r>
          </w:p>
        </w:tc>
      </w:tr>
      <w:tr>
        <w:tc>
          <w:tcPr>
            <w:tcW w:type="dxa" w:w="1000"/>
            <w:tcMar>
              <w:top w:type="dxa" w:w="60"/>
              <w:left w:type="dxa" w:w="100"/>
              <w:bottom w:type="dxa" w:w="60"/>
              <w:right w:type="dxa" w:w="100"/>
            </w:tcMar>
          </w:tcPr>
          <w:p>
            <w:pPr>
              <w:spacing w:after="0" w:line="250"/>
            </w:pPr>
            <w:r>
              <w:rPr>
                <w:sz w:val="19"/>
                <w:szCs w:val="19"/>
              </w:rPr>
              <w:t xml:space="preserve">TC-05</w:t>
            </w:r>
          </w:p>
        </w:tc>
        <w:tc>
          <w:tcPr>
            <w:tcW w:type="dxa" w:w="5426"/>
            <w:tcMar>
              <w:top w:type="dxa" w:w="60"/>
              <w:left w:type="dxa" w:w="100"/>
              <w:bottom w:type="dxa" w:w="60"/>
              <w:right w:type="dxa" w:w="100"/>
            </w:tcMar>
          </w:tcPr>
          <w:p>
            <w:pPr>
              <w:spacing w:after="0" w:line="250"/>
            </w:pPr>
            <w:r>
              <w:rPr>
                <w:sz w:val="19"/>
                <w:szCs w:val="19"/>
              </w:rPr>
              <w:t xml:space="preserve">S/4HANA unreachable (invalid credential or host)</w:t>
            </w:r>
          </w:p>
        </w:tc>
        <w:tc>
          <w:tcPr>
            <w:tcW w:type="dxa" w:w="2600"/>
            <w:tcMar>
              <w:top w:type="dxa" w:w="60"/>
              <w:left w:type="dxa" w:w="100"/>
              <w:bottom w:type="dxa" w:w="60"/>
              <w:right w:type="dxa" w:w="100"/>
            </w:tcMar>
          </w:tcPr>
          <w:p>
            <w:pPr>
              <w:spacing w:after="0" w:line="250"/>
            </w:pPr>
            <w:r>
              <w:rPr>
                <w:sz w:val="19"/>
                <w:szCs w:val="19"/>
              </w:rPr>
              <w:t xml:space="preserve">HTTP 500 with JSON error body; MPL status SECAUDIT_FAILED; high-water unchanged</w:t>
            </w:r>
          </w:p>
        </w:tc>
      </w:tr>
      <w:tr>
        <w:tc>
          <w:tcPr>
            <w:tcW w:type="dxa" w:w="1000"/>
            <w:tcMar>
              <w:top w:type="dxa" w:w="60"/>
              <w:left w:type="dxa" w:w="100"/>
              <w:bottom w:type="dxa" w:w="60"/>
              <w:right w:type="dxa" w:w="100"/>
            </w:tcMar>
          </w:tcPr>
          <w:p>
            <w:pPr>
              <w:spacing w:after="0" w:line="250"/>
            </w:pPr>
            <w:r>
              <w:rPr>
                <w:sz w:val="19"/>
                <w:szCs w:val="19"/>
              </w:rPr>
              <w:t xml:space="preserve">TC-06</w:t>
            </w:r>
          </w:p>
        </w:tc>
        <w:tc>
          <w:tcPr>
            <w:tcW w:type="dxa" w:w="5426"/>
            <w:tcMar>
              <w:top w:type="dxa" w:w="60"/>
              <w:left w:type="dxa" w:w="100"/>
              <w:bottom w:type="dxa" w:w="60"/>
              <w:right w:type="dxa" w:w="100"/>
            </w:tcMar>
          </w:tcPr>
          <w:p>
            <w:pPr>
              <w:spacing w:after="0" w:line="250"/>
            </w:pPr>
            <w:r>
              <w:rPr>
                <w:sz w:val="19"/>
                <w:szCs w:val="19"/>
              </w:rPr>
              <w:t xml:space="preserve">Re-invoke after the TC-05 failure</w:t>
            </w:r>
          </w:p>
        </w:tc>
        <w:tc>
          <w:tcPr>
            <w:tcW w:type="dxa" w:w="2600"/>
            <w:tcMar>
              <w:top w:type="dxa" w:w="60"/>
              <w:left w:type="dxa" w:w="100"/>
              <w:bottom w:type="dxa" w:w="60"/>
              <w:right w:type="dxa" w:w="100"/>
            </w:tcMar>
          </w:tcPr>
          <w:p>
            <w:pPr>
              <w:spacing w:after="0" w:line="250"/>
            </w:pPr>
            <w:r>
              <w:rPr>
                <w:sz w:val="19"/>
                <w:szCs w:val="19"/>
              </w:rPr>
              <w:t xml:space="preserve">The same window is re-extracted; no events lost</w:t>
            </w:r>
          </w:p>
        </w:tc>
      </w:tr>
      <w:tr>
        <w:tc>
          <w:tcPr>
            <w:tcW w:type="dxa" w:w="1000"/>
            <w:tcMar>
              <w:top w:type="dxa" w:w="60"/>
              <w:left w:type="dxa" w:w="100"/>
              <w:bottom w:type="dxa" w:w="60"/>
              <w:right w:type="dxa" w:w="100"/>
            </w:tcMar>
          </w:tcPr>
          <w:p>
            <w:pPr>
              <w:spacing w:after="0" w:line="250"/>
            </w:pPr>
            <w:r>
              <w:rPr>
                <w:sz w:val="19"/>
                <w:szCs w:val="19"/>
              </w:rPr>
              <w:t xml:space="preserve">TC-07</w:t>
            </w:r>
          </w:p>
        </w:tc>
        <w:tc>
          <w:tcPr>
            <w:tcW w:type="dxa" w:w="5426"/>
            <w:tcMar>
              <w:top w:type="dxa" w:w="60"/>
              <w:left w:type="dxa" w:w="100"/>
              <w:bottom w:type="dxa" w:w="60"/>
              <w:right w:type="dxa" w:w="100"/>
            </w:tcMar>
          </w:tcPr>
          <w:p>
            <w:pPr>
              <w:spacing w:after="0" w:line="250"/>
            </w:pPr>
            <w:r>
              <w:rPr>
                <w:sz w:val="19"/>
                <w:szCs w:val="19"/>
              </w:rPr>
              <w:t xml:space="preserve">Inspect the time field for IF-03 and IF-04 events</w:t>
            </w:r>
          </w:p>
        </w:tc>
        <w:tc>
          <w:tcPr>
            <w:tcW w:type="dxa" w:w="2600"/>
            <w:tcMar>
              <w:top w:type="dxa" w:w="60"/>
              <w:left w:type="dxa" w:w="100"/>
              <w:bottom w:type="dxa" w:w="60"/>
              <w:right w:type="dxa" w:w="100"/>
            </w:tcMar>
          </w:tcPr>
          <w:p>
            <w:pPr>
              <w:spacing w:after="0" w:line="250"/>
            </w:pPr>
            <w:r>
              <w:rPr>
                <w:sz w:val="19"/>
                <w:szCs w:val="19"/>
              </w:rPr>
              <w:t xml:space="preserve">Event time reflects ChangedOn, not ingestion time; noTimeCount is zero</w:t>
            </w:r>
          </w:p>
        </w:tc>
      </w:tr>
      <w:tr>
        <w:tc>
          <w:tcPr>
            <w:tcW w:type="dxa" w:w="1000"/>
            <w:tcMar>
              <w:top w:type="dxa" w:w="60"/>
              <w:left w:type="dxa" w:w="100"/>
              <w:bottom w:type="dxa" w:w="60"/>
              <w:right w:type="dxa" w:w="100"/>
            </w:tcMar>
          </w:tcPr>
          <w:p>
            <w:pPr>
              <w:spacing w:after="0" w:line="250"/>
            </w:pPr>
            <w:r>
              <w:rPr>
                <w:sz w:val="19"/>
                <w:szCs w:val="19"/>
              </w:rPr>
              <w:t xml:space="preserve">TC-08</w:t>
            </w:r>
          </w:p>
        </w:tc>
        <w:tc>
          <w:tcPr>
            <w:tcW w:type="dxa" w:w="5426"/>
            <w:tcMar>
              <w:top w:type="dxa" w:w="60"/>
              <w:left w:type="dxa" w:w="100"/>
              <w:bottom w:type="dxa" w:w="60"/>
              <w:right w:type="dxa" w:w="100"/>
            </w:tcMar>
          </w:tcPr>
          <w:p>
            <w:pPr>
              <w:spacing w:after="0" w:line="250"/>
            </w:pPr>
            <w:r>
              <w:rPr>
                <w:sz w:val="19"/>
                <w:szCs w:val="19"/>
              </w:rPr>
              <w:t xml:space="preserve">Inspect the time field for IF-01 and IF-02 events</w:t>
            </w:r>
          </w:p>
        </w:tc>
        <w:tc>
          <w:tcPr>
            <w:tcW w:type="dxa" w:w="2600"/>
            <w:tcMar>
              <w:top w:type="dxa" w:w="60"/>
              <w:left w:type="dxa" w:w="100"/>
              <w:bottom w:type="dxa" w:w="60"/>
              <w:right w:type="dxa" w:w="100"/>
            </w:tcMar>
          </w:tcPr>
          <w:p>
            <w:pPr>
              <w:spacing w:after="0" w:line="250"/>
            </w:pPr>
            <w:r>
              <w:rPr>
                <w:sz w:val="19"/>
                <w:szCs w:val="19"/>
              </w:rPr>
              <w:t xml:space="preserve">Event time reflects the source timestamp to sub-second precision</w:t>
            </w:r>
          </w:p>
        </w:tc>
      </w:tr>
      <w:tr>
        <w:tc>
          <w:tcPr>
            <w:tcW w:type="dxa" w:w="1000"/>
            <w:tcMar>
              <w:top w:type="dxa" w:w="60"/>
              <w:left w:type="dxa" w:w="100"/>
              <w:bottom w:type="dxa" w:w="60"/>
              <w:right w:type="dxa" w:w="100"/>
            </w:tcMar>
          </w:tcPr>
          <w:p>
            <w:pPr>
              <w:spacing w:after="0" w:line="250"/>
            </w:pPr>
            <w:r>
              <w:rPr>
                <w:sz w:val="19"/>
                <w:szCs w:val="19"/>
              </w:rPr>
              <w:t xml:space="preserve">TC-09</w:t>
            </w:r>
          </w:p>
        </w:tc>
        <w:tc>
          <w:tcPr>
            <w:tcW w:type="dxa" w:w="5426"/>
            <w:tcMar>
              <w:top w:type="dxa" w:w="60"/>
              <w:left w:type="dxa" w:w="100"/>
              <w:bottom w:type="dxa" w:w="60"/>
              <w:right w:type="dxa" w:w="100"/>
            </w:tcMar>
          </w:tcPr>
          <w:p>
            <w:pPr>
              <w:spacing w:after="0" w:line="250"/>
            </w:pPr>
            <w:r>
              <w:rPr>
                <w:sz w:val="19"/>
                <w:szCs w:val="19"/>
              </w:rPr>
              <w:t xml:space="preserve">Compare boundary records across two consecutive runs</w:t>
            </w:r>
          </w:p>
        </w:tc>
        <w:tc>
          <w:tcPr>
            <w:tcW w:type="dxa" w:w="2600"/>
            <w:tcMar>
              <w:top w:type="dxa" w:w="60"/>
              <w:left w:type="dxa" w:w="100"/>
              <w:bottom w:type="dxa" w:w="60"/>
              <w:right w:type="dxa" w:w="100"/>
            </w:tcMar>
          </w:tcPr>
          <w:p>
            <w:pPr>
              <w:spacing w:after="0" w:line="250"/>
            </w:pPr>
            <w:r>
              <w:rPr>
                <w:sz w:val="19"/>
                <w:szCs w:val="19"/>
              </w:rPr>
              <w:t xml:space="preserve">No record appears in both windows (strict gt lower bound)</w:t>
            </w:r>
          </w:p>
        </w:tc>
      </w:tr>
      <w:tr>
        <w:tc>
          <w:tcPr>
            <w:tcW w:type="dxa" w:w="1000"/>
            <w:tcMar>
              <w:top w:type="dxa" w:w="60"/>
              <w:left w:type="dxa" w:w="100"/>
              <w:bottom w:type="dxa" w:w="60"/>
              <w:right w:type="dxa" w:w="100"/>
            </w:tcMar>
          </w:tcPr>
          <w:p>
            <w:pPr>
              <w:spacing w:after="0" w:line="250"/>
            </w:pPr>
            <w:r>
              <w:rPr>
                <w:sz w:val="19"/>
                <w:szCs w:val="19"/>
              </w:rPr>
              <w:t xml:space="preserve">TC-10</w:t>
            </w:r>
          </w:p>
        </w:tc>
        <w:tc>
          <w:tcPr>
            <w:tcW w:type="dxa" w:w="5426"/>
            <w:tcMar>
              <w:top w:type="dxa" w:w="60"/>
              <w:left w:type="dxa" w:w="100"/>
              <w:bottom w:type="dxa" w:w="60"/>
              <w:right w:type="dxa" w:w="100"/>
            </w:tcMar>
          </w:tcPr>
          <w:p>
            <w:pPr>
              <w:spacing w:after="0" w:line="250"/>
            </w:pPr>
            <w:r>
              <w:rPr>
                <w:sz w:val="19"/>
                <w:szCs w:val="19"/>
              </w:rPr>
              <w:t xml:space="preserve">Deduplication on re-extraction after a forced failure</w:t>
            </w:r>
          </w:p>
        </w:tc>
        <w:tc>
          <w:tcPr>
            <w:tcW w:type="dxa" w:w="2600"/>
            <w:tcMar>
              <w:top w:type="dxa" w:w="60"/>
              <w:left w:type="dxa" w:w="100"/>
              <w:bottom w:type="dxa" w:w="60"/>
              <w:right w:type="dxa" w:w="100"/>
            </w:tcMar>
          </w:tcPr>
          <w:p>
            <w:pPr>
              <w:spacing w:after="0" w:line="250"/>
            </w:pPr>
            <w:r>
              <w:rPr>
                <w:sz w:val="19"/>
                <w:szCs w:val="19"/>
              </w:rPr>
              <w:t xml:space="preserve">No duplicates remain in Splunk after dedup on the documented key</w:t>
            </w:r>
          </w:p>
        </w:tc>
      </w:tr>
      <w:tr>
        <w:tc>
          <w:tcPr>
            <w:tcW w:type="dxa" w:w="1000"/>
            <w:tcMar>
              <w:top w:type="dxa" w:w="60"/>
              <w:left w:type="dxa" w:w="100"/>
              <w:bottom w:type="dxa" w:w="60"/>
              <w:right w:type="dxa" w:w="100"/>
            </w:tcMar>
          </w:tcPr>
          <w:p>
            <w:pPr>
              <w:spacing w:after="0" w:line="250"/>
            </w:pPr>
            <w:r>
              <w:rPr>
                <w:sz w:val="19"/>
                <w:szCs w:val="19"/>
              </w:rPr>
              <w:t xml:space="preserve">TC-11</w:t>
            </w:r>
          </w:p>
        </w:tc>
        <w:tc>
          <w:tcPr>
            <w:tcW w:type="dxa" w:w="5426"/>
            <w:tcMar>
              <w:top w:type="dxa" w:w="60"/>
              <w:left w:type="dxa" w:w="100"/>
              <w:bottom w:type="dxa" w:w="60"/>
              <w:right w:type="dxa" w:w="100"/>
            </w:tcMar>
          </w:tcPr>
          <w:p>
            <w:pPr>
              <w:spacing w:after="0" w:line="250"/>
            </w:pPr>
            <w:r>
              <w:rPr>
                <w:sz w:val="19"/>
                <w:szCs w:val="19"/>
              </w:rPr>
              <w:t xml:space="preserve">Run all four interfaces concurrently</w:t>
            </w:r>
          </w:p>
        </w:tc>
        <w:tc>
          <w:tcPr>
            <w:tcW w:type="dxa" w:w="2600"/>
            <w:tcMar>
              <w:top w:type="dxa" w:w="60"/>
              <w:left w:type="dxa" w:w="100"/>
              <w:bottom w:type="dxa" w:w="60"/>
              <w:right w:type="dxa" w:w="100"/>
            </w:tcMar>
          </w:tcPr>
          <w:p>
            <w:pPr>
              <w:spacing w:after="0" w:line="250"/>
            </w:pPr>
            <w:r>
              <w:rPr>
                <w:sz w:val="19"/>
                <w:szCs w:val="19"/>
              </w:rPr>
              <w:t xml:space="preserve">No cross-interference; each maintains its own high-water</w:t>
            </w:r>
          </w:p>
        </w:tc>
      </w:tr>
      <w:tr>
        <w:tc>
          <w:tcPr>
            <w:tcW w:type="dxa" w:w="1000"/>
            <w:tcMar>
              <w:top w:type="dxa" w:w="60"/>
              <w:left w:type="dxa" w:w="100"/>
              <w:bottom w:type="dxa" w:w="60"/>
              <w:right w:type="dxa" w:w="100"/>
            </w:tcMar>
          </w:tcPr>
          <w:p>
            <w:pPr>
              <w:spacing w:after="0" w:line="250"/>
            </w:pPr>
            <w:r>
              <w:rPr>
                <w:sz w:val="19"/>
                <w:szCs w:val="19"/>
              </w:rPr>
              <w:t xml:space="preserve">TC-12</w:t>
            </w:r>
          </w:p>
        </w:tc>
        <w:tc>
          <w:tcPr>
            <w:tcW w:type="dxa" w:w="5426"/>
            <w:tcMar>
              <w:top w:type="dxa" w:w="60"/>
              <w:left w:type="dxa" w:w="100"/>
              <w:bottom w:type="dxa" w:w="60"/>
              <w:right w:type="dxa" w:w="100"/>
            </w:tcMar>
          </w:tcPr>
          <w:p>
            <w:pPr>
              <w:spacing w:after="0" w:line="250"/>
            </w:pPr>
            <w:r>
              <w:rPr>
                <w:sz w:val="19"/>
                <w:szCs w:val="19"/>
              </w:rPr>
              <w:t xml:space="preserve">Verify no secrets in the deployed artifacts</w:t>
            </w:r>
          </w:p>
        </w:tc>
        <w:tc>
          <w:tcPr>
            <w:tcW w:type="dxa" w:w="2600"/>
            <w:tcMar>
              <w:top w:type="dxa" w:w="60"/>
              <w:left w:type="dxa" w:w="100"/>
              <w:bottom w:type="dxa" w:w="60"/>
              <w:right w:type="dxa" w:w="100"/>
            </w:tcMar>
          </w:tcPr>
          <w:p>
            <w:pPr>
              <w:spacing w:after="0" w:line="250"/>
            </w:pPr>
            <w:r>
              <w:rPr>
                <w:sz w:val="19"/>
                <w:szCs w:val="19"/>
              </w:rPr>
              <w:t xml:space="preserve">Credentials referenced only by alias</w:t>
            </w:r>
          </w:p>
        </w:tc>
      </w:tr>
    </w:tbl>
    <w:p>
      <w:r>
        <w:br w:type="page"/>
      </w:r>
    </w:p>
    <w:p>
      <w:pPr>
        <w:pStyle w:val="Heading1"/>
        <w:spacing w:after="140" w:before="320"/>
      </w:pPr>
      <w:r>
        <w:t xml:space="preserve">17. Operations and Monitoring</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2600"/>
        <w:gridCol w:w="6426"/>
      </w:tblGrid>
      <w:tr>
        <w:tc>
          <w:tcPr>
            <w:tcW w:type="dxa" w:w="2600"/>
            <w:tcMar>
              <w:top w:type="dxa" w:w="60"/>
              <w:left w:type="dxa" w:w="100"/>
              <w:bottom w:type="dxa" w:w="60"/>
              <w:right w:type="dxa" w:w="100"/>
            </w:tcMar>
          </w:tcPr>
          <w:p>
            <w:pPr>
              <w:spacing w:after="0" w:line="250"/>
            </w:pPr>
            <w:r>
              <w:rPr>
                <w:b/>
                <w:bCs/>
                <w:sz w:val="19"/>
                <w:szCs w:val="19"/>
              </w:rPr>
              <w:t xml:space="preserve">Health signal</w:t>
            </w:r>
          </w:p>
        </w:tc>
        <w:tc>
          <w:tcPr>
            <w:tcW w:type="dxa" w:w="6426"/>
            <w:tcMar>
              <w:top w:type="dxa" w:w="60"/>
              <w:left w:type="dxa" w:w="100"/>
              <w:bottom w:type="dxa" w:w="60"/>
              <w:right w:type="dxa" w:w="100"/>
            </w:tcMar>
          </w:tcPr>
          <w:p>
            <w:pPr>
              <w:spacing w:after="0" w:line="250"/>
            </w:pPr>
            <w:r>
              <w:rPr>
                <w:sz w:val="19"/>
                <w:szCs w:val="19"/>
              </w:rPr>
              <w:t xml:space="preserve">A successful invocation returns HTTP 200 with X-Caught-Up true.</w:t>
            </w:r>
          </w:p>
        </w:tc>
      </w:tr>
      <w:tr>
        <w:tc>
          <w:tcPr>
            <w:tcW w:type="dxa" w:w="2600"/>
            <w:tcMar>
              <w:top w:type="dxa" w:w="60"/>
              <w:left w:type="dxa" w:w="100"/>
              <w:bottom w:type="dxa" w:w="60"/>
              <w:right w:type="dxa" w:w="100"/>
            </w:tcMar>
          </w:tcPr>
          <w:p>
            <w:pPr>
              <w:spacing w:after="0" w:line="250"/>
            </w:pPr>
            <w:r>
              <w:rPr>
                <w:b/>
                <w:bCs/>
                <w:sz w:val="19"/>
                <w:szCs w:val="19"/>
              </w:rPr>
              <w:t xml:space="preserve">Backlog signal</w:t>
            </w:r>
          </w:p>
        </w:tc>
        <w:tc>
          <w:tcPr>
            <w:tcW w:type="dxa" w:w="6426"/>
            <w:tcMar>
              <w:top w:type="dxa" w:w="60"/>
              <w:left w:type="dxa" w:w="100"/>
              <w:bottom w:type="dxa" w:w="60"/>
              <w:right w:type="dxa" w:w="100"/>
            </w:tcMar>
          </w:tcPr>
          <w:p>
            <w:pPr>
              <w:spacing w:after="0" w:line="250"/>
            </w:pPr>
            <w:r>
              <w:rPr>
                <w:sz w:val="19"/>
                <w:szCs w:val="19"/>
              </w:rPr>
              <w:t xml:space="preserve">Sustained X-Caught-Up false indicates the consumer cadence is not keeping pace with event volume, or a backlog is still draining.</w:t>
            </w:r>
          </w:p>
        </w:tc>
      </w:tr>
      <w:tr>
        <w:tc>
          <w:tcPr>
            <w:tcW w:type="dxa" w:w="2600"/>
            <w:tcMar>
              <w:top w:type="dxa" w:w="60"/>
              <w:left w:type="dxa" w:w="100"/>
              <w:bottom w:type="dxa" w:w="60"/>
              <w:right w:type="dxa" w:w="100"/>
            </w:tcMar>
          </w:tcPr>
          <w:p>
            <w:pPr>
              <w:spacing w:after="0" w:line="250"/>
            </w:pPr>
            <w:r>
              <w:rPr>
                <w:b/>
                <w:bCs/>
                <w:sz w:val="19"/>
                <w:szCs w:val="19"/>
              </w:rPr>
              <w:t xml:space="preserve">Failure signal</w:t>
            </w:r>
          </w:p>
        </w:tc>
        <w:tc>
          <w:tcPr>
            <w:tcW w:type="dxa" w:w="6426"/>
            <w:tcMar>
              <w:top w:type="dxa" w:w="60"/>
              <w:left w:type="dxa" w:w="100"/>
              <w:bottom w:type="dxa" w:w="60"/>
              <w:right w:type="dxa" w:w="100"/>
            </w:tcMar>
          </w:tcPr>
          <w:p>
            <w:pPr>
              <w:spacing w:after="0" w:line="250"/>
            </w:pPr>
            <w:r>
              <w:rPr>
                <w:sz w:val="19"/>
                <w:szCs w:val="19"/>
              </w:rPr>
              <w:t xml:space="preserve">HTTP 500 and MPL custom status SECAUDIT_FAILED.</w:t>
            </w:r>
          </w:p>
        </w:tc>
      </w:tr>
      <w:tr>
        <w:tc>
          <w:tcPr>
            <w:tcW w:type="dxa" w:w="2600"/>
            <w:tcMar>
              <w:top w:type="dxa" w:w="60"/>
              <w:left w:type="dxa" w:w="100"/>
              <w:bottom w:type="dxa" w:w="60"/>
              <w:right w:type="dxa" w:w="100"/>
            </w:tcMar>
          </w:tcPr>
          <w:p>
            <w:pPr>
              <w:spacing w:after="0" w:line="250"/>
            </w:pPr>
            <w:r>
              <w:rPr>
                <w:b/>
                <w:bCs/>
                <w:sz w:val="19"/>
                <w:szCs w:val="19"/>
              </w:rPr>
              <w:t xml:space="preserve">Data-quality signal</w:t>
            </w:r>
          </w:p>
        </w:tc>
        <w:tc>
          <w:tcPr>
            <w:tcW w:type="dxa" w:w="6426"/>
            <w:tcMar>
              <w:top w:type="dxa" w:w="60"/>
              <w:left w:type="dxa" w:w="100"/>
              <w:bottom w:type="dxa" w:w="60"/>
              <w:right w:type="dxa" w:w="100"/>
            </w:tcMar>
          </w:tcPr>
          <w:p>
            <w:pPr>
              <w:spacing w:after="0" w:line="250"/>
            </w:pPr>
            <w:r>
              <w:rPr>
                <w:sz w:val="19"/>
                <w:szCs w:val="19"/>
              </w:rPr>
              <w:t xml:space="preserve">A non-zero noTimeCount indicates a source timestamp format change.</w:t>
            </w:r>
          </w:p>
        </w:tc>
      </w:tr>
      <w:tr>
        <w:tc>
          <w:tcPr>
            <w:tcW w:type="dxa" w:w="2600"/>
            <w:tcMar>
              <w:top w:type="dxa" w:w="60"/>
              <w:left w:type="dxa" w:w="100"/>
              <w:bottom w:type="dxa" w:w="60"/>
              <w:right w:type="dxa" w:w="100"/>
            </w:tcMar>
          </w:tcPr>
          <w:p>
            <w:pPr>
              <w:spacing w:after="0" w:line="250"/>
            </w:pPr>
            <w:r>
              <w:rPr>
                <w:b/>
                <w:bCs/>
                <w:sz w:val="19"/>
                <w:szCs w:val="19"/>
              </w:rPr>
              <w:t xml:space="preserve">Recommended alert</w:t>
            </w:r>
          </w:p>
        </w:tc>
        <w:tc>
          <w:tcPr>
            <w:tcW w:type="dxa" w:w="6426"/>
            <w:tcMar>
              <w:top w:type="dxa" w:w="60"/>
              <w:left w:type="dxa" w:w="100"/>
              <w:bottom w:type="dxa" w:w="60"/>
              <w:right w:type="dxa" w:w="100"/>
            </w:tcMar>
          </w:tcPr>
          <w:p>
            <w:pPr>
              <w:spacing w:after="0" w:line="250"/>
            </w:pPr>
            <w:r>
              <w:rPr>
                <w:sz w:val="19"/>
                <w:szCs w:val="19"/>
              </w:rPr>
              <w:t xml:space="preserve">Alert if no events arrive from a given interface for an extended period, or on repeated HTTP 500s.</w:t>
            </w:r>
          </w:p>
        </w:tc>
      </w:tr>
      <w:tr>
        <w:tc>
          <w:tcPr>
            <w:tcW w:type="dxa" w:w="2600"/>
            <w:tcMar>
              <w:top w:type="dxa" w:w="60"/>
              <w:left w:type="dxa" w:w="100"/>
              <w:bottom w:type="dxa" w:w="60"/>
              <w:right w:type="dxa" w:w="100"/>
            </w:tcMar>
          </w:tcPr>
          <w:p>
            <w:pPr>
              <w:spacing w:after="0" w:line="250"/>
            </w:pPr>
            <w:r>
              <w:rPr>
                <w:b/>
                <w:bCs/>
                <w:sz w:val="19"/>
                <w:szCs w:val="19"/>
              </w:rPr>
              <w:t xml:space="preserve">High-water reset</w:t>
            </w:r>
          </w:p>
        </w:tc>
        <w:tc>
          <w:tcPr>
            <w:tcW w:type="dxa" w:w="6426"/>
            <w:tcMar>
              <w:top w:type="dxa" w:w="60"/>
              <w:left w:type="dxa" w:w="100"/>
              <w:bottom w:type="dxa" w:w="60"/>
              <w:right w:type="dxa" w:w="100"/>
            </w:tcMar>
          </w:tcPr>
          <w:p>
            <w:pPr>
              <w:spacing w:after="0" w:line="250"/>
            </w:pPr>
            <w:r>
              <w:rPr>
                <w:sz w:val="19"/>
                <w:szCs w:val="19"/>
              </w:rPr>
              <w:t xml:space="preserve">Deleting the LastRun Data Store entry causes the next run to bootstrap as a first run.</w:t>
            </w:r>
          </w:p>
        </w:tc>
      </w:tr>
    </w:tbl>
    <w:p>
      <w:r>
        <w:br w:type="page"/>
      </w:r>
    </w:p>
    <w:p>
      <w:pPr>
        <w:pStyle w:val="Heading1"/>
        <w:spacing w:after="140" w:before="320"/>
      </w:pPr>
      <w:r>
        <w:t xml:space="preserve">18. Assumptions, Constraints and Open Items</w:t>
      </w:r>
    </w:p>
    <w:p>
      <w:pPr>
        <w:pStyle w:val="Heading2"/>
        <w:spacing w:after="140" w:before="240"/>
      </w:pPr>
      <w:r>
        <w:t xml:space="preserve">18.1 Assumptions</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1000"/>
        <w:gridCol w:w="8026"/>
      </w:tblGrid>
      <w:tr>
        <w:trPr>
          <w:tblHeader/>
        </w:trPr>
        <w:tc>
          <w:tcPr>
            <w:tcW w:type="dxa" w:w="1000"/>
            <w:shd w:fill="D9E2F3" w:color="auto" w:val="clear"/>
            <w:tcMar>
              <w:top w:type="dxa" w:w="60"/>
              <w:left w:type="dxa" w:w="100"/>
              <w:bottom w:type="dxa" w:w="60"/>
              <w:right w:type="dxa" w:w="100"/>
            </w:tcMar>
          </w:tcPr>
          <w:p>
            <w:pPr>
              <w:spacing w:after="0" w:line="250"/>
            </w:pPr>
            <w:r>
              <w:rPr>
                <w:b/>
                <w:bCs/>
                <w:sz w:val="19"/>
                <w:szCs w:val="19"/>
              </w:rPr>
              <w:t xml:space="preserve">ID</w:t>
            </w:r>
          </w:p>
        </w:tc>
        <w:tc>
          <w:tcPr>
            <w:tcW w:type="dxa" w:w="8026"/>
            <w:shd w:fill="D9E2F3" w:color="auto" w:val="clear"/>
            <w:tcMar>
              <w:top w:type="dxa" w:w="60"/>
              <w:left w:type="dxa" w:w="100"/>
              <w:bottom w:type="dxa" w:w="60"/>
              <w:right w:type="dxa" w:w="100"/>
            </w:tcMar>
          </w:tcPr>
          <w:p>
            <w:pPr>
              <w:spacing w:after="0" w:line="250"/>
            </w:pPr>
            <w:r>
              <w:rPr>
                <w:b/>
                <w:bCs/>
                <w:sz w:val="19"/>
                <w:szCs w:val="19"/>
              </w:rPr>
              <w:t xml:space="preserve">Assumption</w:t>
            </w:r>
          </w:p>
        </w:tc>
      </w:tr>
      <w:tr>
        <w:tc>
          <w:tcPr>
            <w:tcW w:type="dxa" w:w="1000"/>
            <w:tcMar>
              <w:top w:type="dxa" w:w="60"/>
              <w:left w:type="dxa" w:w="100"/>
              <w:bottom w:type="dxa" w:w="60"/>
              <w:right w:type="dxa" w:w="100"/>
            </w:tcMar>
          </w:tcPr>
          <w:p>
            <w:pPr>
              <w:spacing w:after="0" w:line="250"/>
            </w:pPr>
            <w:r>
              <w:rPr>
                <w:sz w:val="19"/>
                <w:szCs w:val="19"/>
              </w:rPr>
              <w:t xml:space="preserve">AS-01</w:t>
            </w:r>
          </w:p>
        </w:tc>
        <w:tc>
          <w:tcPr>
            <w:tcW w:type="dxa" w:w="8026"/>
            <w:tcMar>
              <w:top w:type="dxa" w:w="60"/>
              <w:left w:type="dxa" w:w="100"/>
              <w:bottom w:type="dxa" w:w="60"/>
              <w:right w:type="dxa" w:w="100"/>
            </w:tcMar>
          </w:tcPr>
          <w:p>
            <w:pPr>
              <w:spacing w:after="0" w:line="250"/>
            </w:pPr>
            <w:r>
              <w:rPr>
                <w:sz w:val="19"/>
                <w:szCs w:val="19"/>
              </w:rPr>
              <w:t xml:space="preserve">ChangedOn values returned by the IAM change-document services (IF-03, IF-04) are UTC. They carry no timezone designator and are interpreted as UTC. If the source emits system-local time, event times will be offset and the interpretation must be adjusted.</w:t>
            </w:r>
          </w:p>
        </w:tc>
      </w:tr>
      <w:tr>
        <w:tc>
          <w:tcPr>
            <w:tcW w:type="dxa" w:w="1000"/>
            <w:tcMar>
              <w:top w:type="dxa" w:w="60"/>
              <w:left w:type="dxa" w:w="100"/>
              <w:bottom w:type="dxa" w:w="60"/>
              <w:right w:type="dxa" w:w="100"/>
            </w:tcMar>
          </w:tcPr>
          <w:p>
            <w:pPr>
              <w:spacing w:after="0" w:line="250"/>
            </w:pPr>
            <w:r>
              <w:rPr>
                <w:sz w:val="19"/>
                <w:szCs w:val="19"/>
              </w:rPr>
              <w:t xml:space="preserve">AS-02</w:t>
            </w:r>
          </w:p>
        </w:tc>
        <w:tc>
          <w:tcPr>
            <w:tcW w:type="dxa" w:w="8026"/>
            <w:tcMar>
              <w:top w:type="dxa" w:w="60"/>
              <w:left w:type="dxa" w:w="100"/>
              <w:bottom w:type="dxa" w:w="60"/>
              <w:right w:type="dxa" w:w="100"/>
            </w:tcMar>
          </w:tcPr>
          <w:p>
            <w:pPr>
              <w:spacing w:after="0" w:line="250"/>
            </w:pPr>
            <w:r>
              <w:rPr>
                <w:sz w:val="19"/>
                <w:szCs w:val="19"/>
              </w:rPr>
              <w:t xml:space="preserve">The consumer invokes each endpoint on a cadence at least as frequent as the operational latency target, and re-invokes promptly while X-Caught-Up is false.</w:t>
            </w:r>
          </w:p>
        </w:tc>
      </w:tr>
      <w:tr>
        <w:tc>
          <w:tcPr>
            <w:tcW w:type="dxa" w:w="1000"/>
            <w:tcMar>
              <w:top w:type="dxa" w:w="60"/>
              <w:left w:type="dxa" w:w="100"/>
              <w:bottom w:type="dxa" w:w="60"/>
              <w:right w:type="dxa" w:w="100"/>
            </w:tcMar>
          </w:tcPr>
          <w:p>
            <w:pPr>
              <w:spacing w:after="0" w:line="250"/>
            </w:pPr>
            <w:r>
              <w:rPr>
                <w:sz w:val="19"/>
                <w:szCs w:val="19"/>
              </w:rPr>
              <w:t xml:space="preserve">AS-03</w:t>
            </w:r>
          </w:p>
        </w:tc>
        <w:tc>
          <w:tcPr>
            <w:tcW w:type="dxa" w:w="8026"/>
            <w:tcMar>
              <w:top w:type="dxa" w:w="60"/>
              <w:left w:type="dxa" w:w="100"/>
              <w:bottom w:type="dxa" w:w="60"/>
              <w:right w:type="dxa" w:w="100"/>
            </w:tcMar>
          </w:tcPr>
          <w:p>
            <w:pPr>
              <w:spacing w:after="0" w:line="250"/>
            </w:pPr>
            <w:r>
              <w:rPr>
                <w:sz w:val="19"/>
                <w:szCs w:val="19"/>
              </w:rPr>
              <w:t xml:space="preserve">Splunk performs deduplication on the documented natural keys.</w:t>
            </w:r>
          </w:p>
        </w:tc>
      </w:tr>
      <w:tr>
        <w:tc>
          <w:tcPr>
            <w:tcW w:type="dxa" w:w="1000"/>
            <w:tcMar>
              <w:top w:type="dxa" w:w="60"/>
              <w:left w:type="dxa" w:w="100"/>
              <w:bottom w:type="dxa" w:w="60"/>
              <w:right w:type="dxa" w:w="100"/>
            </w:tcMar>
          </w:tcPr>
          <w:p>
            <w:pPr>
              <w:spacing w:after="0" w:line="250"/>
            </w:pPr>
            <w:r>
              <w:rPr>
                <w:sz w:val="19"/>
                <w:szCs w:val="19"/>
              </w:rPr>
              <w:t xml:space="preserve">AS-04</w:t>
            </w:r>
          </w:p>
        </w:tc>
        <w:tc>
          <w:tcPr>
            <w:tcW w:type="dxa" w:w="8026"/>
            <w:tcMar>
              <w:top w:type="dxa" w:w="60"/>
              <w:left w:type="dxa" w:w="100"/>
              <w:bottom w:type="dxa" w:w="60"/>
              <w:right w:type="dxa" w:w="100"/>
            </w:tcMar>
          </w:tcPr>
          <w:p>
            <w:pPr>
              <w:spacing w:after="0" w:line="250"/>
            </w:pPr>
            <w:r>
              <w:rPr>
                <w:sz w:val="19"/>
                <w:szCs w:val="19"/>
              </w:rPr>
              <w:t xml:space="preserve">Event volume per hour per interface fits within CPI MPL memory at the configured maxWindowMinutes.</w:t>
            </w:r>
          </w:p>
        </w:tc>
      </w:tr>
    </w:tbl>
    <w:p>
      <w:pPr>
        <w:pStyle w:val="Heading2"/>
        <w:spacing w:after="140" w:before="240"/>
      </w:pPr>
      <w:r>
        <w:t xml:space="preserve">18.2 Constraints</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1000"/>
        <w:gridCol w:w="8026"/>
      </w:tblGrid>
      <w:tr>
        <w:trPr>
          <w:tblHeader/>
        </w:trPr>
        <w:tc>
          <w:tcPr>
            <w:tcW w:type="dxa" w:w="1000"/>
            <w:shd w:fill="D9E2F3" w:color="auto" w:val="clear"/>
            <w:tcMar>
              <w:top w:type="dxa" w:w="60"/>
              <w:left w:type="dxa" w:w="100"/>
              <w:bottom w:type="dxa" w:w="60"/>
              <w:right w:type="dxa" w:w="100"/>
            </w:tcMar>
          </w:tcPr>
          <w:p>
            <w:pPr>
              <w:spacing w:after="0" w:line="250"/>
            </w:pPr>
            <w:r>
              <w:rPr>
                <w:b/>
                <w:bCs/>
                <w:sz w:val="19"/>
                <w:szCs w:val="19"/>
              </w:rPr>
              <w:t xml:space="preserve">ID</w:t>
            </w:r>
          </w:p>
        </w:tc>
        <w:tc>
          <w:tcPr>
            <w:tcW w:type="dxa" w:w="8026"/>
            <w:shd w:fill="D9E2F3" w:color="auto" w:val="clear"/>
            <w:tcMar>
              <w:top w:type="dxa" w:w="60"/>
              <w:left w:type="dxa" w:w="100"/>
              <w:bottom w:type="dxa" w:w="60"/>
              <w:right w:type="dxa" w:w="100"/>
            </w:tcMar>
          </w:tcPr>
          <w:p>
            <w:pPr>
              <w:spacing w:after="0" w:line="250"/>
            </w:pPr>
            <w:r>
              <w:rPr>
                <w:b/>
                <w:bCs/>
                <w:sz w:val="19"/>
                <w:szCs w:val="19"/>
              </w:rPr>
              <w:t xml:space="preserve">Constraint</w:t>
            </w:r>
          </w:p>
        </w:tc>
      </w:tr>
      <w:tr>
        <w:tc>
          <w:tcPr>
            <w:tcW w:type="dxa" w:w="1000"/>
            <w:tcMar>
              <w:top w:type="dxa" w:w="60"/>
              <w:left w:type="dxa" w:w="100"/>
              <w:bottom w:type="dxa" w:w="60"/>
              <w:right w:type="dxa" w:w="100"/>
            </w:tcMar>
          </w:tcPr>
          <w:p>
            <w:pPr>
              <w:spacing w:after="0" w:line="250"/>
            </w:pPr>
            <w:r>
              <w:rPr>
                <w:sz w:val="19"/>
                <w:szCs w:val="19"/>
              </w:rPr>
              <w:t xml:space="preserve">CO-01</w:t>
            </w:r>
          </w:p>
        </w:tc>
        <w:tc>
          <w:tcPr>
            <w:tcW w:type="dxa" w:w="8026"/>
            <w:tcMar>
              <w:top w:type="dxa" w:w="60"/>
              <w:left w:type="dxa" w:w="100"/>
              <w:bottom w:type="dxa" w:w="60"/>
              <w:right w:type="dxa" w:w="100"/>
            </w:tcMar>
          </w:tcPr>
          <w:p>
            <w:pPr>
              <w:spacing w:after="0" w:line="250"/>
            </w:pPr>
            <w:r>
              <w:rPr>
                <w:sz w:val="19"/>
                <w:szCs w:val="19"/>
              </w:rPr>
              <w:t xml:space="preserve">The reply model requires the full window to be buffered in memory, which mandates the window cap.</w:t>
            </w:r>
          </w:p>
        </w:tc>
      </w:tr>
      <w:tr>
        <w:tc>
          <w:tcPr>
            <w:tcW w:type="dxa" w:w="1000"/>
            <w:tcMar>
              <w:top w:type="dxa" w:w="60"/>
              <w:left w:type="dxa" w:w="100"/>
              <w:bottom w:type="dxa" w:w="60"/>
              <w:right w:type="dxa" w:w="100"/>
            </w:tcMar>
          </w:tcPr>
          <w:p>
            <w:pPr>
              <w:spacing w:after="0" w:line="250"/>
            </w:pPr>
            <w:r>
              <w:rPr>
                <w:sz w:val="19"/>
                <w:szCs w:val="19"/>
              </w:rPr>
              <w:t xml:space="preserve">CO-02</w:t>
            </w:r>
          </w:p>
        </w:tc>
        <w:tc>
          <w:tcPr>
            <w:tcW w:type="dxa" w:w="8026"/>
            <w:tcMar>
              <w:top w:type="dxa" w:w="60"/>
              <w:left w:type="dxa" w:w="100"/>
              <w:bottom w:type="dxa" w:w="60"/>
              <w:right w:type="dxa" w:w="100"/>
            </w:tcMar>
          </w:tcPr>
          <w:p>
            <w:pPr>
              <w:spacing w:after="0" w:line="250"/>
            </w:pPr>
            <w:r>
              <w:rPr>
                <w:sz w:val="19"/>
                <w:szCs w:val="19"/>
              </w:rPr>
              <w:t xml:space="preserve">CPI cannot confirm consumer ingestion; delivery is at-least-once, not exactly-once.</w:t>
            </w:r>
          </w:p>
        </w:tc>
      </w:tr>
      <w:tr>
        <w:tc>
          <w:tcPr>
            <w:tcW w:type="dxa" w:w="1000"/>
            <w:tcMar>
              <w:top w:type="dxa" w:w="60"/>
              <w:left w:type="dxa" w:w="100"/>
              <w:bottom w:type="dxa" w:w="60"/>
              <w:right w:type="dxa" w:w="100"/>
            </w:tcMar>
          </w:tcPr>
          <w:p>
            <w:pPr>
              <w:spacing w:after="0" w:line="250"/>
            </w:pPr>
            <w:r>
              <w:rPr>
                <w:sz w:val="19"/>
                <w:szCs w:val="19"/>
              </w:rPr>
              <w:t xml:space="preserve">CO-03</w:t>
            </w:r>
          </w:p>
        </w:tc>
        <w:tc>
          <w:tcPr>
            <w:tcW w:type="dxa" w:w="8026"/>
            <w:tcMar>
              <w:top w:type="dxa" w:w="60"/>
              <w:left w:type="dxa" w:w="100"/>
              <w:bottom w:type="dxa" w:w="60"/>
              <w:right w:type="dxa" w:w="100"/>
            </w:tcMar>
          </w:tcPr>
          <w:p>
            <w:pPr>
              <w:spacing w:after="0" w:line="250"/>
            </w:pPr>
            <w:r>
              <w:rPr>
                <w:sz w:val="19"/>
                <w:szCs w:val="19"/>
              </w:rPr>
              <w:t xml:space="preserve">The iFlow definition files within the three copied artifacts retain the file name of the original Security Audit Log artifact. Artifact identity derives from the bundle manifest, which is correct in each case; this is cosmetic only.</w:t>
            </w:r>
          </w:p>
        </w:tc>
      </w:tr>
      <w:tr>
        <w:tc>
          <w:tcPr>
            <w:tcW w:type="dxa" w:w="1000"/>
            <w:tcMar>
              <w:top w:type="dxa" w:w="60"/>
              <w:left w:type="dxa" w:w="100"/>
              <w:bottom w:type="dxa" w:w="60"/>
              <w:right w:type="dxa" w:w="100"/>
            </w:tcMar>
          </w:tcPr>
          <w:p>
            <w:pPr>
              <w:spacing w:after="0" w:line="250"/>
            </w:pPr>
            <w:r>
              <w:rPr>
                <w:sz w:val="19"/>
                <w:szCs w:val="19"/>
              </w:rPr>
              <w:t xml:space="preserve">CO-04</w:t>
            </w:r>
          </w:p>
        </w:tc>
        <w:tc>
          <w:tcPr>
            <w:tcW w:type="dxa" w:w="8026"/>
            <w:tcMar>
              <w:top w:type="dxa" w:w="60"/>
              <w:left w:type="dxa" w:w="100"/>
              <w:bottom w:type="dxa" w:w="60"/>
              <w:right w:type="dxa" w:w="100"/>
            </w:tcMar>
          </w:tcPr>
          <w:p>
            <w:pPr>
              <w:spacing w:after="0" w:line="250"/>
            </w:pPr>
            <w:r>
              <w:rPr>
                <w:sz w:val="19"/>
                <w:szCs w:val="19"/>
              </w:rPr>
              <w:t xml:space="preserve">The Business User and Business Role services are OData V2 and require different date-literal syntax from the V4 services; the two protocol families cannot share a single query template.</w:t>
            </w:r>
          </w:p>
        </w:tc>
      </w:tr>
    </w:tbl>
    <w:p>
      <w:pPr>
        <w:pStyle w:val="Heading2"/>
        <w:spacing w:after="140" w:before="240"/>
      </w:pPr>
      <w:r>
        <w:t xml:space="preserve">18.3 Open items</w:t>
      </w:r>
    </w:p>
    <w:tbl>
      <w:tblPr>
        <w:tblW w:type="dxa" w:w="9026"/>
        <w:tblBorders>
          <w:top w:val="single" w:color="8EA9DB" w:sz="4"/>
          <w:left w:val="single" w:color="8EA9DB" w:sz="4"/>
          <w:bottom w:val="single" w:color="8EA9DB" w:sz="4"/>
          <w:right w:val="single" w:color="8EA9DB" w:sz="4"/>
          <w:insideH w:val="single" w:color="B4C6E7" w:sz="3"/>
          <w:insideV w:val="single" w:color="B4C6E7" w:sz="3"/>
        </w:tblBorders>
      </w:tblPr>
      <w:tblGrid>
        <w:gridCol w:w="1000"/>
        <w:gridCol w:w="8026"/>
      </w:tblGrid>
      <w:tr>
        <w:trPr>
          <w:tblHeader/>
        </w:trPr>
        <w:tc>
          <w:tcPr>
            <w:tcW w:type="dxa" w:w="1000"/>
            <w:shd w:fill="D9E2F3" w:color="auto" w:val="clear"/>
            <w:tcMar>
              <w:top w:type="dxa" w:w="60"/>
              <w:left w:type="dxa" w:w="100"/>
              <w:bottom w:type="dxa" w:w="60"/>
              <w:right w:type="dxa" w:w="100"/>
            </w:tcMar>
          </w:tcPr>
          <w:p>
            <w:pPr>
              <w:spacing w:after="0" w:line="250"/>
            </w:pPr>
            <w:r>
              <w:rPr>
                <w:b/>
                <w:bCs/>
                <w:sz w:val="19"/>
                <w:szCs w:val="19"/>
              </w:rPr>
              <w:t xml:space="preserve">ID</w:t>
            </w:r>
          </w:p>
        </w:tc>
        <w:tc>
          <w:tcPr>
            <w:tcW w:type="dxa" w:w="8026"/>
            <w:shd w:fill="D9E2F3" w:color="auto" w:val="clear"/>
            <w:tcMar>
              <w:top w:type="dxa" w:w="60"/>
              <w:left w:type="dxa" w:w="100"/>
              <w:bottom w:type="dxa" w:w="60"/>
              <w:right w:type="dxa" w:w="100"/>
            </w:tcMar>
          </w:tcPr>
          <w:p>
            <w:pPr>
              <w:spacing w:after="0" w:line="250"/>
            </w:pPr>
            <w:r>
              <w:rPr>
                <w:b/>
                <w:bCs/>
                <w:sz w:val="19"/>
                <w:szCs w:val="19"/>
              </w:rPr>
              <w:t xml:space="preserve">Open item</w:t>
            </w:r>
          </w:p>
        </w:tc>
      </w:tr>
      <w:tr>
        <w:tc>
          <w:tcPr>
            <w:tcW w:type="dxa" w:w="1000"/>
            <w:tcMar>
              <w:top w:type="dxa" w:w="60"/>
              <w:left w:type="dxa" w:w="100"/>
              <w:bottom w:type="dxa" w:w="60"/>
              <w:right w:type="dxa" w:w="100"/>
            </w:tcMar>
          </w:tcPr>
          <w:p>
            <w:pPr>
              <w:spacing w:after="0" w:line="250"/>
            </w:pPr>
            <w:r>
              <w:rPr>
                <w:sz w:val="19"/>
                <w:szCs w:val="19"/>
              </w:rPr>
              <w:t xml:space="preserve">OI-01</w:t>
            </w:r>
          </w:p>
        </w:tc>
        <w:tc>
          <w:tcPr>
            <w:tcW w:type="dxa" w:w="8026"/>
            <w:tcMar>
              <w:top w:type="dxa" w:w="60"/>
              <w:left w:type="dxa" w:w="100"/>
              <w:bottom w:type="dxa" w:w="60"/>
              <w:right w:type="dxa" w:w="100"/>
            </w:tcMar>
          </w:tcPr>
          <w:p>
            <w:pPr>
              <w:spacing w:after="0" w:line="250"/>
            </w:pPr>
            <w:r>
              <w:rPr>
                <w:sz w:val="19"/>
                <w:szCs w:val="19"/>
              </w:rPr>
              <w:t xml:space="preserve">Confirm AS-01 by comparing one extracted ChangedOn value against the same change record in the S/4HANA user interface.</w:t>
            </w:r>
          </w:p>
        </w:tc>
      </w:tr>
      <w:tr>
        <w:tc>
          <w:tcPr>
            <w:tcW w:type="dxa" w:w="1000"/>
            <w:tcMar>
              <w:top w:type="dxa" w:w="60"/>
              <w:left w:type="dxa" w:w="100"/>
              <w:bottom w:type="dxa" w:w="60"/>
              <w:right w:type="dxa" w:w="100"/>
            </w:tcMar>
          </w:tcPr>
          <w:p>
            <w:pPr>
              <w:spacing w:after="0" w:line="250"/>
            </w:pPr>
            <w:r>
              <w:rPr>
                <w:sz w:val="19"/>
                <w:szCs w:val="19"/>
              </w:rPr>
              <w:t xml:space="preserve">OI-02</w:t>
            </w:r>
          </w:p>
        </w:tc>
        <w:tc>
          <w:tcPr>
            <w:tcW w:type="dxa" w:w="8026"/>
            <w:tcMar>
              <w:top w:type="dxa" w:w="60"/>
              <w:left w:type="dxa" w:w="100"/>
              <w:bottom w:type="dxa" w:w="60"/>
              <w:right w:type="dxa" w:w="100"/>
            </w:tcMar>
          </w:tcPr>
          <w:p>
            <w:pPr>
              <w:spacing w:after="0" w:line="250"/>
            </w:pPr>
            <w:r>
              <w:rPr>
                <w:sz w:val="19"/>
                <w:szCs w:val="19"/>
              </w:rPr>
              <w:t xml:space="preserve">Replace the standard sender role ESBMessaging.send with a dedicated custom role before production cut-over.</w:t>
            </w:r>
          </w:p>
        </w:tc>
      </w:tr>
      <w:tr>
        <w:tc>
          <w:tcPr>
            <w:tcW w:type="dxa" w:w="1000"/>
            <w:tcMar>
              <w:top w:type="dxa" w:w="60"/>
              <w:left w:type="dxa" w:w="100"/>
              <w:bottom w:type="dxa" w:w="60"/>
              <w:right w:type="dxa" w:w="100"/>
            </w:tcMar>
          </w:tcPr>
          <w:p>
            <w:pPr>
              <w:spacing w:after="0" w:line="250"/>
            </w:pPr>
            <w:r>
              <w:rPr>
                <w:sz w:val="19"/>
                <w:szCs w:val="19"/>
              </w:rPr>
              <w:t xml:space="preserve">OI-03</w:t>
            </w:r>
          </w:p>
        </w:tc>
        <w:tc>
          <w:tcPr>
            <w:tcW w:type="dxa" w:w="8026"/>
            <w:tcMar>
              <w:top w:type="dxa" w:w="60"/>
              <w:left w:type="dxa" w:w="100"/>
              <w:bottom w:type="dxa" w:w="60"/>
              <w:right w:type="dxa" w:w="100"/>
            </w:tcMar>
          </w:tcPr>
          <w:p>
            <w:pPr>
              <w:spacing w:after="0" w:line="250"/>
            </w:pPr>
            <w:r>
              <w:rPr>
                <w:sz w:val="19"/>
                <w:szCs w:val="19"/>
              </w:rPr>
              <w:t xml:space="preserve">Agree Splunk index, retention and access restrictions for Read Access Log data with the data protection officer.</w:t>
            </w:r>
          </w:p>
        </w:tc>
      </w:tr>
      <w:tr>
        <w:tc>
          <w:tcPr>
            <w:tcW w:type="dxa" w:w="1000"/>
            <w:tcMar>
              <w:top w:type="dxa" w:w="60"/>
              <w:left w:type="dxa" w:w="100"/>
              <w:bottom w:type="dxa" w:w="60"/>
              <w:right w:type="dxa" w:w="100"/>
            </w:tcMar>
          </w:tcPr>
          <w:p>
            <w:pPr>
              <w:spacing w:after="0" w:line="250"/>
            </w:pPr>
            <w:r>
              <w:rPr>
                <w:sz w:val="19"/>
                <w:szCs w:val="19"/>
              </w:rPr>
              <w:t xml:space="preserve">OI-04</w:t>
            </w:r>
          </w:p>
        </w:tc>
        <w:tc>
          <w:tcPr>
            <w:tcW w:type="dxa" w:w="8026"/>
            <w:tcMar>
              <w:top w:type="dxa" w:w="60"/>
              <w:left w:type="dxa" w:w="100"/>
              <w:bottom w:type="dxa" w:w="60"/>
              <w:right w:type="dxa" w:w="100"/>
            </w:tcMar>
          </w:tcPr>
          <w:p>
            <w:pPr>
              <w:spacing w:after="0" w:line="250"/>
            </w:pPr>
            <w:r>
              <w:rPr>
                <w:sz w:val="19"/>
                <w:szCs w:val="19"/>
              </w:rPr>
              <w:t xml:space="preserve">Tune maxWindowMinutes per interface after observing production volumes.</w:t>
            </w:r>
          </w:p>
        </w:tc>
      </w:tr>
    </w:tbl>
    <w:p>
      <w:r>
        <w:br w:type="page"/>
      </w:r>
    </w:p>
    <w:p>
      <w:pPr>
        <w:pStyle w:val="Heading1"/>
        <w:spacing w:after="140" w:before="320"/>
      </w:pPr>
      <w:r>
        <w:t xml:space="preserve">Appendix A — Extracted Field Lists</w:t>
      </w:r>
    </w:p>
    <w:p>
      <w:pPr>
        <w:spacing w:after="120" w:line="276"/>
      </w:pPr>
      <w:r>
        <w:rPr>
          <w:sz w:val="21"/>
          <w:szCs w:val="21"/>
        </w:rPr>
        <w:t xml:space="preserve">The $select of each interface covers every property exposed by the corresponding entity type; all field names were validated against the service EDMX.</w:t>
      </w:r>
    </w:p>
    <w:p>
      <w:pPr>
        <w:pStyle w:val="Heading2"/>
        <w:spacing w:after="140" w:before="240"/>
      </w:pPr>
      <w:r>
        <w:t xml:space="preserve">IF-01 — Security Audit Log (18 fields)</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eventID, log_tstmp, slgmand, sid, counter, terminal_name, user_fullname, param_a, param_b, param_c, param_d, slgtc, slgrepna, rsau_text, UserID, useralias, email_adress, UserDescription</w:t>
      </w:r>
    </w:p>
    <w:p>
      <w:pPr>
        <w:spacing w:after="140"/>
      </w:pPr>
    </w:p>
    <w:p>
      <w:pPr>
        <w:pStyle w:val="Heading2"/>
        <w:spacing w:after="140" w:before="240"/>
      </w:pPr>
      <w:r>
        <w:t xml:space="preserve">IF-02 — Read Access Log (RAL) (14 fields)</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LogID, LogTimestamp, UserID, UserEmail, UserAlias, UserDescription, ChannelID, Direction, Purpose, LogDomainName, FieldType, FieldName, FieldValue, EPPID</w:t>
      </w:r>
    </w:p>
    <w:p>
      <w:pPr>
        <w:spacing w:after="140"/>
      </w:pPr>
    </w:p>
    <w:p>
      <w:pPr>
        <w:pStyle w:val="Heading2"/>
        <w:spacing w:after="140" w:before="240"/>
      </w:pPr>
      <w:r>
        <w:t xml:space="preserve">IF-03 — Business User Changes (15 fields)</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BusinessUserID, ChangedOn, ChangeCategory, Attribute, ValueChangedFrom, ValueChangedTo, ChangedByUserName, ChangedByUserID, ChangedByUserEmailAddress, ChangedByGlobalUserID, Action, ChangeCategoryText, AttributeText, ValueChangedFromText, ValueChangedToText</w:t>
      </w:r>
    </w:p>
    <w:p>
      <w:pPr>
        <w:spacing w:after="140"/>
      </w:pPr>
    </w:p>
    <w:p>
      <w:pPr>
        <w:pStyle w:val="Heading2"/>
        <w:spacing w:after="140" w:before="240"/>
      </w:pPr>
      <w:r>
        <w:t xml:space="preserve">IF-04 — Business Role Changes (12 fields)</w:t>
      </w:r>
    </w:p>
    <w:p>
      <w:pPr>
        <w:pBdr>
          <w:left w:val="single" w:color="1F4E79" w:sz="12" w:space="6"/>
        </w:pBdr>
        <w:shd w:fill="F2F2F2" w:color="auto" w:val="clear"/>
        <w:spacing w:after="60" w:before="60"/>
        <w:ind w:left="180"/>
      </w:pPr>
      <w:r>
        <w:rPr>
          <w:rFonts w:ascii="Consolas" w:cs="Consolas" w:eastAsia="Consolas" w:hAnsi="Consolas"/>
          <w:sz w:val="17"/>
          <w:szCs w:val="17"/>
        </w:rPr>
        <w:t xml:space="preserve">BusinessRoleID, ChangedOn, ChangeCategory, Attribute, ValueChangedFrom, ValueChangedTo, ChangedByUserName, ChangedByUserID, ChangedByUserEmailAddress, ChangedByGlobalUserID, Action, ChangeCategoryText</w:t>
      </w:r>
    </w:p>
    <w:p>
      <w:pPr>
        <w:spacing w:after="140"/>
      </w:pPr>
    </w:p>
    <w:p>
      <w:pPr>
        <w:pStyle w:val="Heading1"/>
        <w:spacing w:after="140" w:before="320"/>
      </w:pPr>
      <w:r>
        <w:t xml:space="preserve">Appendix B — Validation Performed</w:t>
      </w:r>
    </w:p>
    <w:p>
      <w:pPr>
        <w:spacing w:after="120" w:line="276"/>
      </w:pPr>
      <w:r>
        <w:rPr>
          <w:sz w:val="21"/>
          <w:szCs w:val="21"/>
        </w:rPr>
        <w:t xml:space="preserve">The following automated checks were executed against the four packaged artifacts prior to baselining:</w:t>
      </w:r>
    </w:p>
    <w:p>
      <w:pPr>
        <w:pStyle w:val="ListParagraph"/>
        <w:numPr>
          <w:ilvl w:val="0"/>
          <w:numId w:val="2"/>
        </w:numPr>
        <w:spacing w:after="70" w:line="276"/>
      </w:pPr>
      <w:r>
        <w:rPr>
          <w:sz w:val="21"/>
          <w:szCs w:val="21"/>
        </w:rPr>
        <w:t xml:space="preserve">iFlow XML well-formedness.</w:t>
      </w:r>
    </w:p>
    <w:p>
      <w:pPr>
        <w:pStyle w:val="ListParagraph"/>
        <w:numPr>
          <w:ilvl w:val="0"/>
          <w:numId w:val="2"/>
        </w:numPr>
        <w:spacing w:after="70" w:line="276"/>
      </w:pPr>
      <w:r>
        <w:rPr>
          <w:sz w:val="21"/>
          <w:szCs w:val="21"/>
        </w:rPr>
        <w:t xml:space="preserve">BPMN referential integrity — every sequence flow, message flow and diagram reference resolves; incoming/outgoing declarations consistent.</w:t>
      </w:r>
    </w:p>
    <w:p>
      <w:pPr>
        <w:pStyle w:val="ListParagraph"/>
        <w:numPr>
          <w:ilvl w:val="0"/>
          <w:numId w:val="2"/>
        </w:numPr>
        <w:spacing w:after="70" w:line="276"/>
      </w:pPr>
      <w:r>
        <w:rPr>
          <w:sz w:val="21"/>
          <w:szCs w:val="21"/>
        </w:rPr>
        <w:t xml:space="preserve">Every referenced Groovy script exists; no orphan script files remain in the bundle.</w:t>
      </w:r>
    </w:p>
    <w:p>
      <w:pPr>
        <w:pStyle w:val="ListParagraph"/>
        <w:numPr>
          <w:ilvl w:val="0"/>
          <w:numId w:val="2"/>
        </w:numPr>
        <w:spacing w:after="70" w:line="276"/>
      </w:pPr>
      <w:r>
        <w:rPr>
          <w:sz w:val="21"/>
          <w:szCs w:val="21"/>
        </w:rPr>
        <w:t xml:space="preserve">Groovy flow-step version matches the script file's API and package declaration.</w:t>
      </w:r>
    </w:p>
    <w:p>
      <w:pPr>
        <w:pStyle w:val="ListParagraph"/>
        <w:numPr>
          <w:ilvl w:val="0"/>
          <w:numId w:val="2"/>
        </w:numPr>
        <w:spacing w:after="70" w:line="276"/>
      </w:pPr>
      <w:r>
        <w:rPr>
          <w:sz w:val="21"/>
          <w:szCs w:val="21"/>
        </w:rPr>
        <w:t xml:space="preserve">The mapper's record path matches the XML-to-JSON converter path.</w:t>
      </w:r>
    </w:p>
    <w:p>
      <w:pPr>
        <w:pStyle w:val="ListParagraph"/>
        <w:numPr>
          <w:ilvl w:val="0"/>
          <w:numId w:val="2"/>
        </w:numPr>
        <w:spacing w:after="70" w:line="276"/>
      </w:pPr>
      <w:r>
        <w:rPr>
          <w:sz w:val="21"/>
          <w:szCs w:val="21"/>
        </w:rPr>
        <w:t xml:space="preserve">$select field names validated against each service EDMX.</w:t>
      </w:r>
    </w:p>
    <w:p>
      <w:pPr>
        <w:pStyle w:val="ListParagraph"/>
        <w:numPr>
          <w:ilvl w:val="0"/>
          <w:numId w:val="2"/>
        </w:numPr>
        <w:spacing w:after="70" w:line="276"/>
      </w:pPr>
      <w:r>
        <w:rPr>
          <w:sz w:val="21"/>
          <w:szCs w:val="21"/>
        </w:rPr>
        <w:t xml:space="preserve">$filter present, $orderby present, strict gt lower bound, and version-correct date literals.</w:t>
      </w:r>
    </w:p>
    <w:p>
      <w:pPr>
        <w:pStyle w:val="ListParagraph"/>
        <w:numPr>
          <w:ilvl w:val="0"/>
          <w:numId w:val="2"/>
        </w:numPr>
        <w:spacing w:after="70" w:line="276"/>
      </w:pPr>
      <w:r>
        <w:rPr>
          <w:sz w:val="21"/>
          <w:szCs w:val="21"/>
        </w:rPr>
        <w:t xml:space="preserve">Loop maximum sufficient, and loop-condition property matching the receiver participant name.</w:t>
      </w:r>
    </w:p>
    <w:p>
      <w:pPr>
        <w:pStyle w:val="ListParagraph"/>
        <w:numPr>
          <w:ilvl w:val="0"/>
          <w:numId w:val="2"/>
        </w:numPr>
        <w:spacing w:after="70" w:line="276"/>
      </w:pPr>
      <w:r>
        <w:rPr>
          <w:sz w:val="21"/>
          <w:szCs w:val="21"/>
        </w:rPr>
        <w:t xml:space="preserve">Endpoint path, Data Store name and bundle symbolic name unique across all four artifacts.</w:t>
      </w:r>
    </w:p>
    <w:p>
      <w:pPr>
        <w:pStyle w:val="ListParagraph"/>
        <w:numPr>
          <w:ilvl w:val="0"/>
          <w:numId w:val="2"/>
        </w:numPr>
        <w:spacing w:after="70" w:line="276"/>
      </w:pPr>
      <w:r>
        <w:rPr>
          <w:sz w:val="21"/>
          <w:szCs w:val="21"/>
        </w:rPr>
        <w:t xml:space="preserve">Timestamp parsing verified against captured production sample payloads for all four log types.</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3828"/>
      <w:gridCol w:w="3264"/>
      <w:gridCol w:w="1934"/>
    </w:tblGrid>
    <w:tr>
      <w:tc>
        <w:tcPr>
          <w:tcW w:type="dxa" w:w="3828"/>
          <w:tcMar>
            <w:top w:type="dxa" w:w="0"/>
            <w:left w:type="dxa" w:w="0"/>
            <w:bottom w:type="dxa" w:w="0"/>
            <w:right w:type="dxa" w:w="0"/>
          </w:tcMar>
        </w:tcPr>
        <w:p>
          <w:pPr>
            <w:spacing w:after="0"/>
          </w:pPr>
          <w:r>
            <w:rPr>
              <w:color w:val="1E1E1E"/>
              <w:sz w:val="16"/>
              <w:szCs w:val="16"/>
            </w:rPr>
            <w:t xml:space="preserve">Service Stream</w:t>
          </w:r>
        </w:p>
      </w:tc>
      <w:tc>
        <w:tcPr>
          <w:tcW w:type="dxa" w:w="3264"/>
          <w:tcMar>
            <w:top w:type="dxa" w:w="0"/>
            <w:left w:type="dxa" w:w="0"/>
            <w:bottom w:type="dxa" w:w="0"/>
            <w:right w:type="dxa" w:w="0"/>
          </w:tcMar>
        </w:tcPr>
        <w:p>
          <w:pPr>
            <w:spacing w:after="0"/>
          </w:pPr>
          <w:r>
            <w:rPr>
              <w:color w:val="1E1E1E"/>
              <w:sz w:val="16"/>
              <w:szCs w:val="16"/>
            </w:rPr>
            <w:t xml:space="preserve">Project Apollo – Security Log Extraction to Splunk</w:t>
          </w:r>
        </w:p>
      </w:tc>
      <w:tc>
        <w:tcPr>
          <w:tcW w:type="dxa" w:w="1934"/>
          <w:tcMar>
            <w:top w:type="dxa" w:w="0"/>
            <w:left w:type="dxa" w:w="0"/>
            <w:bottom w:type="dxa" w:w="0"/>
            <w:right w:type="dxa" w:w="0"/>
          </w:tcMar>
        </w:tcPr>
        <w:p>
          <w:pPr>
            <w:spacing w:after="0"/>
            <w:jc w:val="right"/>
          </w:pPr>
          <w:r>
            <w:rPr>
              <w:color w:val="1E1E1E"/>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30" w:before="0"/>
    </w:pPr>
    <w:r>
      <w:rPr>
        <w:b/>
        <w:bCs/>
        <w:color w:val="FFFFFF"/>
        <w:spacing w:val="80"/>
        <w:sz w:val="26"/>
        <w:szCs w:val="26"/>
      </w:rPr>
      <w:t xml:space="preserve">SERVICE STREAM</w:t>
    </w:r>
  </w:p>
  <w:p>
    <w:pPr>
      <w:spacing w:after="0"/>
    </w:pPr>
    <w:r>
      <w:rPr>
        <w:color w:val="FFFFFF"/>
        <w:sz w:val="16"/>
        <w:szCs w:val="16"/>
      </w:rPr>
      <w:t xml:space="preserve">Commercial in 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6" w:space="4"/>
      </w:pBdr>
      <w:jc w:val="right"/>
    </w:pPr>
    <w:r>
      <w:rPr>
        <w:color w:val="808080"/>
        <w:sz w:val="16"/>
        <w:szCs w:val="16"/>
      </w:rPr>
      <w:t xml:space="preserve">Service Stream  |  Project Apollo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10763250">
          <wp:simplePos x="0" y="0"/>
          <wp:positionH relativeFrom="page">
            <wp:posOffset>-51955</wp:posOffset>
          </wp:positionH>
          <wp:positionV relativeFrom="page">
            <wp:posOffset>-72737</wp:posOffset>
          </wp:positionV>
          <wp:extent cx="7686675" cy="107632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86675" cy="107632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4E79"/>
      <w:sz w:val="30"/>
      <w:szCs w:val="30"/>
    </w:rPr>
  </w:style>
  <w:style w:type="paragraph" w:styleId="Heading2">
    <w:name w:val="Heading 2"/>
    <w:basedOn w:val="Normal"/>
    <w:next w:val="Normal"/>
    <w:qFormat/>
    <w:pPr>
      <w:spacing w:after="120" w:before="260"/>
    </w:pPr>
    <w:rPr>
      <w:rFonts w:ascii="Calibri" w:cs="Calibri" w:eastAsia="Calibri" w:hAnsi="Calibri"/>
      <w:b/>
      <w:bCs/>
      <w:color w:val="2E75B6"/>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image" Target="media/flowdiagram1.png"/><Relationship Id="rId13" Type="http://schemas.openxmlformats.org/officeDocument/2006/relationships/package" Target="embeddings/oleObject1.pptx"/><Relationship Id="rId14" Type="http://schemas.openxmlformats.org/officeDocument/2006/relationships/image" Target="media/flowdiagram2.png"/><Relationship Id="rId15" Type="http://schemas.openxmlformats.org/officeDocument/2006/relationships/package" Target="embeddings/oleObject2.pptx"/></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d0100cc0910a989f5738e24db37cad18e2599af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Apollo — Security Log Extraction to Splunk — Technical Specification &amp; Design</dc:title>
  <dc:creator>Integration Team</dc:creator>
  <dc:description>Technical specification and requirements for four SAP CPI security log extraction interfaces</dc:description>
  <cp:lastModifiedBy>Un-named</cp:lastModifiedBy>
  <cp:revision>1</cp:revision>
  <dcterms:created xsi:type="dcterms:W3CDTF">2026-08-20T07:23:52.352Z</dcterms:created>
  <dcterms:modified xsi:type="dcterms:W3CDTF">2026-08-20T07:23:52.353Z</dcterms:modified>
</cp:coreProperties>
</file>

<file path=docProps/custom.xml><?xml version="1.0" encoding="utf-8"?>
<Properties xmlns="http://schemas.openxmlformats.org/officeDocument/2006/custom-properties" xmlns:vt="http://schemas.openxmlformats.org/officeDocument/2006/docPropsVTypes"/>
</file>