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Default Extension="pptx" ContentType="application/vnd.openxmlformats-officedocument.presentationml.presentation"/>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500"/>
      </w:pPr>
    </w:p>
    <w:p>
      <w:pPr>
        <w:spacing w:after="70"/>
      </w:pPr>
      <w:r>
        <w:rPr>
          <w:color w:val="FFFFFF"/>
          <w:sz w:val="30"/>
          <w:szCs w:val="30"/>
        </w:rPr>
        <w:t xml:space="preserve">Project Apollo</w:t>
      </w:r>
    </w:p>
    <w:p>
      <w:pPr>
        <w:spacing w:after="260"/>
      </w:pPr>
      <w:r>
        <w:rPr>
          <w:color w:val="FFFFFF"/>
          <w:sz w:val="22"/>
          <w:szCs w:val="22"/>
        </w:rPr>
        <w:t xml:space="preserve">Integration Workstream</w:t>
      </w:r>
    </w:p>
    <w:p>
      <w:pPr>
        <w:spacing w:after="150"/>
      </w:pPr>
      <w:r>
        <w:rPr>
          <w:b/>
          <w:bCs/>
          <w:color w:val="FFFFFF"/>
          <w:sz w:val="78"/>
          <w:szCs w:val="78"/>
        </w:rPr>
        <w:t xml:space="preserve">Security Log Extraction to Splunk</w:t>
      </w:r>
    </w:p>
    <w:p>
      <w:pPr>
        <w:spacing w:after="40"/>
      </w:pPr>
      <w:r>
        <w:rPr>
          <w:color w:val="FFFFFF"/>
          <w:sz w:val="32"/>
          <w:szCs w:val="32"/>
        </w:rPr>
        <w:t xml:space="preserve">Technical Specification &amp; Design</w:t>
      </w:r>
    </w:p>
    <w:p>
      <w:pPr>
        <w:pBdr>
          <w:bottom w:val="single" w:color="FFFFFF" w:sz="12" w:space="10"/>
        </w:pBdr>
        <w:spacing w:after="0"/>
      </w:pPr>
      <w:r>
        <w:t xml:space="preserve"/>
      </w:r>
    </w:p>
    <w:p>
      <w:pPr>
        <w:spacing w:after="260"/>
      </w:pPr>
    </w:p>
    <w:p>
      <w:pPr>
        <w:spacing w:after="50"/>
      </w:pPr>
      <w:r>
        <w:rPr>
          <w:color w:val="FFFFFF"/>
          <w:sz w:val="22"/>
          <w:szCs w:val="22"/>
        </w:rPr>
        <w:t xml:space="preserve">SAP S/4HANA Cloud   |   SAP Integration Suite (Cloud Integration)</w:t>
      </w:r>
    </w:p>
    <w:p>
      <w:pPr>
        <w:spacing w:after="50"/>
      </w:pPr>
      <w:r>
        <w:rPr>
          <w:color w:val="FFFFFF"/>
          <w:sz w:val="22"/>
          <w:szCs w:val="22"/>
        </w:rPr>
        <w:t xml:space="preserve">Version 1.0     |     20 August 2026</w:t>
      </w:r>
    </w:p>
    <w:p>
      <w:r>
        <w:br w:type="page"/>
      </w:r>
    </w:p>
    <w:p>
      <w:pPr>
        <w:pStyle w:val="Heading1"/>
        <w:spacing w:after="140" w:before="320"/>
      </w:pPr>
      <w:r>
        <w:t xml:space="preserve">Document Information</w:t>
      </w:r>
    </w:p>
    <w:tbl>
      <w:tblPr>
        <w:tblW w:type="dxa" w:w="9026"/>
        <w:tblBorders>
          <w:top w:val="single" w:color="8EA9DB" w:sz="4"/>
          <w:left w:val="single" w:color="8EA9DB" w:sz="4"/>
          <w:bottom w:val="single" w:color="8EA9DB" w:sz="4"/>
          <w:right w:val="single" w:color="8EA9DB" w:sz="4"/>
          <w:insideH w:val="single" w:color="B4C6E7" w:sz="3"/>
          <w:insideV w:val="single" w:color="B4C6E7" w:sz="3"/>
        </w:tblBorders>
      </w:tblPr>
      <w:tblGrid>
        <w:gridCol w:w="2600"/>
        <w:gridCol w:w="6426"/>
      </w:tblGrid>
      <w:tr>
        <w:tc>
          <w:tcPr>
            <w:tcW w:type="dxa" w:w="2600"/>
            <w:tcMar>
              <w:top w:type="dxa" w:w="60"/>
              <w:left w:type="dxa" w:w="100"/>
              <w:bottom w:type="dxa" w:w="60"/>
              <w:right w:type="dxa" w:w="100"/>
            </w:tcMar>
          </w:tcPr>
          <w:p>
            <w:pPr>
              <w:spacing w:after="0" w:line="250"/>
            </w:pPr>
            <w:r>
              <w:rPr>
                <w:b/>
                <w:bCs/>
                <w:sz w:val="19"/>
                <w:szCs w:val="19"/>
              </w:rPr>
              <w:t xml:space="preserve">Programme</w:t>
            </w:r>
          </w:p>
        </w:tc>
        <w:tc>
          <w:tcPr>
            <w:tcW w:type="dxa" w:w="6426"/>
            <w:tcMar>
              <w:top w:type="dxa" w:w="60"/>
              <w:left w:type="dxa" w:w="100"/>
              <w:bottom w:type="dxa" w:w="60"/>
              <w:right w:type="dxa" w:w="100"/>
            </w:tcMar>
          </w:tcPr>
          <w:p>
            <w:pPr>
              <w:spacing w:after="0" w:line="250"/>
            </w:pPr>
            <w:r>
              <w:rPr>
                <w:sz w:val="19"/>
                <w:szCs w:val="19"/>
              </w:rPr>
              <w:t xml:space="preserve">Project Apollo</w:t>
            </w:r>
          </w:p>
        </w:tc>
      </w:tr>
      <w:tr>
        <w:tc>
          <w:tcPr>
            <w:tcW w:type="dxa" w:w="2600"/>
            <w:tcMar>
              <w:top w:type="dxa" w:w="60"/>
              <w:left w:type="dxa" w:w="100"/>
              <w:bottom w:type="dxa" w:w="60"/>
              <w:right w:type="dxa" w:w="100"/>
            </w:tcMar>
          </w:tcPr>
          <w:p>
            <w:pPr>
              <w:spacing w:after="0" w:line="250"/>
            </w:pPr>
            <w:r>
              <w:rPr>
                <w:b/>
                <w:bCs/>
                <w:sz w:val="19"/>
                <w:szCs w:val="19"/>
              </w:rPr>
              <w:t xml:space="preserve">Workstream</w:t>
            </w:r>
          </w:p>
        </w:tc>
        <w:tc>
          <w:tcPr>
            <w:tcW w:type="dxa" w:w="6426"/>
            <w:tcMar>
              <w:top w:type="dxa" w:w="60"/>
              <w:left w:type="dxa" w:w="100"/>
              <w:bottom w:type="dxa" w:w="60"/>
              <w:right w:type="dxa" w:w="100"/>
            </w:tcMar>
          </w:tcPr>
          <w:p>
            <w:pPr>
              <w:spacing w:after="0" w:line="250"/>
            </w:pPr>
            <w:r>
              <w:rPr>
                <w:sz w:val="19"/>
                <w:szCs w:val="19"/>
              </w:rPr>
              <w:t xml:space="preserve">Integration — Security &amp; Compliance Logging</w:t>
            </w:r>
          </w:p>
        </w:tc>
      </w:tr>
      <w:tr>
        <w:tc>
          <w:tcPr>
            <w:tcW w:type="dxa" w:w="2600"/>
            <w:tcMar>
              <w:top w:type="dxa" w:w="60"/>
              <w:left w:type="dxa" w:w="100"/>
              <w:bottom w:type="dxa" w:w="60"/>
              <w:right w:type="dxa" w:w="100"/>
            </w:tcMar>
          </w:tcPr>
          <w:p>
            <w:pPr>
              <w:spacing w:after="0" w:line="250"/>
            </w:pPr>
            <w:r>
              <w:rPr>
                <w:b/>
                <w:bCs/>
                <w:sz w:val="19"/>
                <w:szCs w:val="19"/>
              </w:rPr>
              <w:t xml:space="preserve">Document type</w:t>
            </w:r>
          </w:p>
        </w:tc>
        <w:tc>
          <w:tcPr>
            <w:tcW w:type="dxa" w:w="6426"/>
            <w:tcMar>
              <w:top w:type="dxa" w:w="60"/>
              <w:left w:type="dxa" w:w="100"/>
              <w:bottom w:type="dxa" w:w="60"/>
              <w:right w:type="dxa" w:w="100"/>
            </w:tcMar>
          </w:tcPr>
          <w:p>
            <w:pPr>
              <w:spacing w:after="0" w:line="250"/>
            </w:pPr>
            <w:r>
              <w:rPr>
                <w:sz w:val="19"/>
                <w:szCs w:val="19"/>
              </w:rPr>
              <w:t xml:space="preserve">Technical Specification &amp; Design (requirements + detailed design)</w:t>
            </w:r>
          </w:p>
        </w:tc>
      </w:tr>
      <w:tr>
        <w:tc>
          <w:tcPr>
            <w:tcW w:type="dxa" w:w="2600"/>
            <w:tcMar>
              <w:top w:type="dxa" w:w="60"/>
              <w:left w:type="dxa" w:w="100"/>
              <w:bottom w:type="dxa" w:w="60"/>
              <w:right w:type="dxa" w:w="100"/>
            </w:tcMar>
          </w:tcPr>
          <w:p>
            <w:pPr>
              <w:spacing w:after="0" w:line="250"/>
            </w:pPr>
            <w:r>
              <w:rPr>
                <w:b/>
                <w:bCs/>
                <w:sz w:val="19"/>
                <w:szCs w:val="19"/>
              </w:rPr>
              <w:t xml:space="preserve">Source system</w:t>
            </w:r>
          </w:p>
        </w:tc>
        <w:tc>
          <w:tcPr>
            <w:tcW w:type="dxa" w:w="6426"/>
            <w:tcMar>
              <w:top w:type="dxa" w:w="60"/>
              <w:left w:type="dxa" w:w="100"/>
              <w:bottom w:type="dxa" w:w="60"/>
              <w:right w:type="dxa" w:w="100"/>
            </w:tcMar>
          </w:tcPr>
          <w:p>
            <w:pPr>
              <w:spacing w:after="0" w:line="250"/>
            </w:pPr>
            <w:r>
              <w:rPr>
                <w:sz w:val="19"/>
                <w:szCs w:val="19"/>
              </w:rPr>
              <w:t xml:space="preserve">SAP S/4HANA Cloud Public Edition (tenant my435863)</w:t>
            </w:r>
          </w:p>
        </w:tc>
      </w:tr>
      <w:tr>
        <w:tc>
          <w:tcPr>
            <w:tcW w:type="dxa" w:w="2600"/>
            <w:tcMar>
              <w:top w:type="dxa" w:w="60"/>
              <w:left w:type="dxa" w:w="100"/>
              <w:bottom w:type="dxa" w:w="60"/>
              <w:right w:type="dxa" w:w="100"/>
            </w:tcMar>
          </w:tcPr>
          <w:p>
            <w:pPr>
              <w:spacing w:after="0" w:line="250"/>
            </w:pPr>
            <w:r>
              <w:rPr>
                <w:b/>
                <w:bCs/>
                <w:sz w:val="19"/>
                <w:szCs w:val="19"/>
              </w:rPr>
              <w:t xml:space="preserve">Target consumer</w:t>
            </w:r>
          </w:p>
        </w:tc>
        <w:tc>
          <w:tcPr>
            <w:tcW w:type="dxa" w:w="6426"/>
            <w:tcMar>
              <w:top w:type="dxa" w:w="60"/>
              <w:left w:type="dxa" w:w="100"/>
              <w:bottom w:type="dxa" w:w="60"/>
              <w:right w:type="dxa" w:w="100"/>
            </w:tcMar>
          </w:tcPr>
          <w:p>
            <w:pPr>
              <w:spacing w:after="0" w:line="250"/>
            </w:pPr>
            <w:r>
              <w:rPr>
                <w:sz w:val="19"/>
                <w:szCs w:val="19"/>
              </w:rPr>
              <w:t xml:space="preserve">Splunk (HTTP pull / modular input)</w:t>
            </w:r>
          </w:p>
        </w:tc>
      </w:tr>
      <w:tr>
        <w:tc>
          <w:tcPr>
            <w:tcW w:type="dxa" w:w="2600"/>
            <w:tcMar>
              <w:top w:type="dxa" w:w="60"/>
              <w:left w:type="dxa" w:w="100"/>
              <w:bottom w:type="dxa" w:w="60"/>
              <w:right w:type="dxa" w:w="100"/>
            </w:tcMar>
          </w:tcPr>
          <w:p>
            <w:pPr>
              <w:spacing w:after="0" w:line="250"/>
            </w:pPr>
            <w:r>
              <w:rPr>
                <w:b/>
                <w:bCs/>
                <w:sz w:val="19"/>
                <w:szCs w:val="19"/>
              </w:rPr>
              <w:t xml:space="preserve">Artifacts covered</w:t>
            </w:r>
          </w:p>
        </w:tc>
        <w:tc>
          <w:tcPr>
            <w:tcW w:type="dxa" w:w="6426"/>
            <w:tcMar>
              <w:top w:type="dxa" w:w="60"/>
              <w:left w:type="dxa" w:w="100"/>
              <w:bottom w:type="dxa" w:w="60"/>
              <w:right w:type="dxa" w:w="100"/>
            </w:tcMar>
          </w:tcPr>
          <w:p>
            <w:pPr>
              <w:spacing w:after="0" w:line="250"/>
            </w:pPr>
            <w:r>
              <w:rPr>
                <w:sz w:val="19"/>
                <w:szCs w:val="19"/>
              </w:rPr>
              <w:t xml:space="preserve">IF-01 Security Audit Log, IF-02 Read Access Log, IF-03 Business User Changes, IF-04 Business Role Changes</w:t>
            </w:r>
          </w:p>
        </w:tc>
      </w:tr>
      <w:tr>
        <w:tc>
          <w:tcPr>
            <w:tcW w:type="dxa" w:w="2600"/>
            <w:tcMar>
              <w:top w:type="dxa" w:w="60"/>
              <w:left w:type="dxa" w:w="100"/>
              <w:bottom w:type="dxa" w:w="60"/>
              <w:right w:type="dxa" w:w="100"/>
            </w:tcMar>
          </w:tcPr>
          <w:p>
            <w:pPr>
              <w:spacing w:after="0" w:line="250"/>
            </w:pPr>
            <w:r>
              <w:rPr>
                <w:b/>
                <w:bCs/>
                <w:sz w:val="19"/>
                <w:szCs w:val="19"/>
              </w:rPr>
              <w:t xml:space="preserve">Version</w:t>
            </w:r>
          </w:p>
        </w:tc>
        <w:tc>
          <w:tcPr>
            <w:tcW w:type="dxa" w:w="6426"/>
            <w:tcMar>
              <w:top w:type="dxa" w:w="60"/>
              <w:left w:type="dxa" w:w="100"/>
              <w:bottom w:type="dxa" w:w="60"/>
              <w:right w:type="dxa" w:w="100"/>
            </w:tcMar>
          </w:tcPr>
          <w:p>
            <w:pPr>
              <w:spacing w:after="0" w:line="250"/>
            </w:pPr>
            <w:r>
              <w:rPr>
                <w:sz w:val="19"/>
                <w:szCs w:val="19"/>
              </w:rPr>
              <w:t xml:space="preserve">1.0</w:t>
            </w:r>
          </w:p>
        </w:tc>
      </w:tr>
      <w:tr>
        <w:tc>
          <w:tcPr>
            <w:tcW w:type="dxa" w:w="2600"/>
            <w:tcMar>
              <w:top w:type="dxa" w:w="60"/>
              <w:left w:type="dxa" w:w="100"/>
              <w:bottom w:type="dxa" w:w="60"/>
              <w:right w:type="dxa" w:w="100"/>
            </w:tcMar>
          </w:tcPr>
          <w:p>
            <w:pPr>
              <w:spacing w:after="0" w:line="250"/>
            </w:pPr>
            <w:r>
              <w:rPr>
                <w:b/>
                <w:bCs/>
                <w:sz w:val="19"/>
                <w:szCs w:val="19"/>
              </w:rPr>
              <w:t xml:space="preserve">Status</w:t>
            </w:r>
          </w:p>
        </w:tc>
        <w:tc>
          <w:tcPr>
            <w:tcW w:type="dxa" w:w="6426"/>
            <w:tcMar>
              <w:top w:type="dxa" w:w="60"/>
              <w:left w:type="dxa" w:w="100"/>
              <w:bottom w:type="dxa" w:w="60"/>
              <w:right w:type="dxa" w:w="100"/>
            </w:tcMar>
          </w:tcPr>
          <w:p>
            <w:pPr>
              <w:spacing w:after="0" w:line="250"/>
            </w:pPr>
            <w:r>
              <w:rPr>
                <w:sz w:val="19"/>
                <w:szCs w:val="19"/>
              </w:rPr>
              <w:t xml:space="preserve">Baselined — all four interfaces built, validated and packaged</w:t>
            </w:r>
          </w:p>
        </w:tc>
      </w:tr>
      <w:tr>
        <w:tc>
          <w:tcPr>
            <w:tcW w:type="dxa" w:w="2600"/>
            <w:tcMar>
              <w:top w:type="dxa" w:w="60"/>
              <w:left w:type="dxa" w:w="100"/>
              <w:bottom w:type="dxa" w:w="60"/>
              <w:right w:type="dxa" w:w="100"/>
            </w:tcMar>
          </w:tcPr>
          <w:p>
            <w:pPr>
              <w:spacing w:after="0" w:line="250"/>
            </w:pPr>
            <w:r>
              <w:rPr>
                <w:b/>
                <w:bCs/>
                <w:sz w:val="19"/>
                <w:szCs w:val="19"/>
              </w:rPr>
              <w:t xml:space="preserve">Date</w:t>
            </w:r>
          </w:p>
        </w:tc>
        <w:tc>
          <w:tcPr>
            <w:tcW w:type="dxa" w:w="6426"/>
            <w:tcMar>
              <w:top w:type="dxa" w:w="60"/>
              <w:left w:type="dxa" w:w="100"/>
              <w:bottom w:type="dxa" w:w="60"/>
              <w:right w:type="dxa" w:w="100"/>
            </w:tcMar>
          </w:tcPr>
          <w:p>
            <w:pPr>
              <w:spacing w:after="0" w:line="250"/>
            </w:pPr>
            <w:r>
              <w:rPr>
                <w:sz w:val="19"/>
                <w:szCs w:val="19"/>
              </w:rPr>
              <w:t xml:space="preserve">20 August 2026</w:t>
            </w:r>
          </w:p>
        </w:tc>
      </w:tr>
      <w:tr>
        <w:tc>
          <w:tcPr>
            <w:tcW w:type="dxa" w:w="2600"/>
            <w:tcMar>
              <w:top w:type="dxa" w:w="60"/>
              <w:left w:type="dxa" w:w="100"/>
              <w:bottom w:type="dxa" w:w="60"/>
              <w:right w:type="dxa" w:w="100"/>
            </w:tcMar>
          </w:tcPr>
          <w:p>
            <w:pPr>
              <w:spacing w:after="0" w:line="250"/>
            </w:pPr>
            <w:r>
              <w:rPr>
                <w:b/>
                <w:bCs/>
                <w:sz w:val="19"/>
                <w:szCs w:val="19"/>
              </w:rPr>
              <w:t xml:space="preserve">Owner</w:t>
            </w:r>
          </w:p>
        </w:tc>
        <w:tc>
          <w:tcPr>
            <w:tcW w:type="dxa" w:w="6426"/>
            <w:tcMar>
              <w:top w:type="dxa" w:w="60"/>
              <w:left w:type="dxa" w:w="100"/>
              <w:bottom w:type="dxa" w:w="60"/>
              <w:right w:type="dxa" w:w="100"/>
            </w:tcMar>
          </w:tcPr>
          <w:p>
            <w:pPr>
              <w:spacing w:after="0" w:line="250"/>
            </w:pPr>
            <w:r>
              <w:rPr>
                <w:sz w:val="19"/>
                <w:szCs w:val="19"/>
              </w:rPr>
              <w:t xml:space="preserve">Service Stream — Integration Team</w:t>
            </w:r>
          </w:p>
        </w:tc>
      </w:tr>
    </w:tbl>
    <w:p>
      <w:pPr>
        <w:spacing w:after="240"/>
      </w:pPr>
    </w:p>
    <w:p>
      <w:pPr>
        <w:pStyle w:val="Heading1"/>
        <w:spacing w:after="140" w:before="320"/>
      </w:pPr>
      <w:r>
        <w:t xml:space="preserve">Document Control</w:t>
      </w:r>
    </w:p>
    <w:tbl>
      <w:tblPr>
        <w:tblW w:type="dxa" w:w="9026"/>
        <w:tblBorders>
          <w:top w:val="single" w:color="8EA9DB" w:sz="4"/>
          <w:left w:val="single" w:color="8EA9DB" w:sz="4"/>
          <w:bottom w:val="single" w:color="8EA9DB" w:sz="4"/>
          <w:right w:val="single" w:color="8EA9DB" w:sz="4"/>
          <w:insideH w:val="single" w:color="B4C6E7" w:sz="3"/>
          <w:insideV w:val="single" w:color="B4C6E7" w:sz="3"/>
        </w:tblBorders>
      </w:tblPr>
      <w:tblGrid>
        <w:gridCol w:w="1100"/>
        <w:gridCol w:w="1500"/>
        <w:gridCol w:w="2200"/>
        <w:gridCol w:w="4226"/>
      </w:tblGrid>
      <w:tr>
        <w:trPr>
          <w:tblHeader/>
        </w:trPr>
        <w:tc>
          <w:tcPr>
            <w:tcW w:type="dxa" w:w="1100"/>
            <w:shd w:fill="D9E2F3" w:color="auto" w:val="clear"/>
            <w:tcMar>
              <w:top w:type="dxa" w:w="60"/>
              <w:left w:type="dxa" w:w="100"/>
              <w:bottom w:type="dxa" w:w="60"/>
              <w:right w:type="dxa" w:w="100"/>
            </w:tcMar>
          </w:tcPr>
          <w:p>
            <w:pPr>
              <w:spacing w:after="0" w:line="250"/>
            </w:pPr>
            <w:r>
              <w:rPr>
                <w:b/>
                <w:bCs/>
                <w:sz w:val="19"/>
                <w:szCs w:val="19"/>
              </w:rPr>
              <w:t xml:space="preserve">Version</w:t>
            </w:r>
          </w:p>
        </w:tc>
        <w:tc>
          <w:tcPr>
            <w:tcW w:type="dxa" w:w="1500"/>
            <w:shd w:fill="D9E2F3" w:color="auto" w:val="clear"/>
            <w:tcMar>
              <w:top w:type="dxa" w:w="60"/>
              <w:left w:type="dxa" w:w="100"/>
              <w:bottom w:type="dxa" w:w="60"/>
              <w:right w:type="dxa" w:w="100"/>
            </w:tcMar>
          </w:tcPr>
          <w:p>
            <w:pPr>
              <w:spacing w:after="0" w:line="250"/>
            </w:pPr>
            <w:r>
              <w:rPr>
                <w:b/>
                <w:bCs/>
                <w:sz w:val="19"/>
                <w:szCs w:val="19"/>
              </w:rPr>
              <w:t xml:space="preserve">Date</w:t>
            </w:r>
          </w:p>
        </w:tc>
        <w:tc>
          <w:tcPr>
            <w:tcW w:type="dxa" w:w="2200"/>
            <w:shd w:fill="D9E2F3" w:color="auto" w:val="clear"/>
            <w:tcMar>
              <w:top w:type="dxa" w:w="60"/>
              <w:left w:type="dxa" w:w="100"/>
              <w:bottom w:type="dxa" w:w="60"/>
              <w:right w:type="dxa" w:w="100"/>
            </w:tcMar>
          </w:tcPr>
          <w:p>
            <w:pPr>
              <w:spacing w:after="0" w:line="250"/>
            </w:pPr>
            <w:r>
              <w:rPr>
                <w:b/>
                <w:bCs/>
                <w:sz w:val="19"/>
                <w:szCs w:val="19"/>
              </w:rPr>
              <w:t xml:space="preserve">Author</w:t>
            </w:r>
          </w:p>
        </w:tc>
        <w:tc>
          <w:tcPr>
            <w:tcW w:type="dxa" w:w="4226"/>
            <w:shd w:fill="D9E2F3" w:color="auto" w:val="clear"/>
            <w:tcMar>
              <w:top w:type="dxa" w:w="60"/>
              <w:left w:type="dxa" w:w="100"/>
              <w:bottom w:type="dxa" w:w="60"/>
              <w:right w:type="dxa" w:w="100"/>
            </w:tcMar>
          </w:tcPr>
          <w:p>
            <w:pPr>
              <w:spacing w:after="0" w:line="250"/>
            </w:pPr>
            <w:r>
              <w:rPr>
                <w:b/>
                <w:bCs/>
                <w:sz w:val="19"/>
                <w:szCs w:val="19"/>
              </w:rPr>
              <w:t xml:space="preserve">Description</w:t>
            </w:r>
          </w:p>
        </w:tc>
      </w:tr>
      <w:tr>
        <w:tc>
          <w:tcPr>
            <w:tcW w:type="dxa" w:w="1100"/>
            <w:tcMar>
              <w:top w:type="dxa" w:w="60"/>
              <w:left w:type="dxa" w:w="100"/>
              <w:bottom w:type="dxa" w:w="60"/>
              <w:right w:type="dxa" w:w="100"/>
            </w:tcMar>
          </w:tcPr>
          <w:p>
            <w:pPr>
              <w:spacing w:after="0" w:line="250"/>
            </w:pPr>
            <w:r>
              <w:rPr>
                <w:sz w:val="19"/>
                <w:szCs w:val="19"/>
              </w:rPr>
              <w:t xml:space="preserve">0.1</w:t>
            </w:r>
          </w:p>
        </w:tc>
        <w:tc>
          <w:tcPr>
            <w:tcW w:type="dxa" w:w="1500"/>
            <w:tcMar>
              <w:top w:type="dxa" w:w="60"/>
              <w:left w:type="dxa" w:w="100"/>
              <w:bottom w:type="dxa" w:w="60"/>
              <w:right w:type="dxa" w:w="100"/>
            </w:tcMar>
          </w:tcPr>
          <w:p>
            <w:pPr>
              <w:spacing w:after="0" w:line="250"/>
            </w:pPr>
            <w:r>
              <w:rPr>
                <w:sz w:val="19"/>
                <w:szCs w:val="19"/>
              </w:rPr>
              <w:t xml:space="preserve">06 Aug 2026</w:t>
            </w:r>
          </w:p>
        </w:tc>
        <w:tc>
          <w:tcPr>
            <w:tcW w:type="dxa" w:w="2200"/>
            <w:tcMar>
              <w:top w:type="dxa" w:w="60"/>
              <w:left w:type="dxa" w:w="100"/>
              <w:bottom w:type="dxa" w:w="60"/>
              <w:right w:type="dxa" w:w="100"/>
            </w:tcMar>
          </w:tcPr>
          <w:p>
            <w:pPr>
              <w:spacing w:after="0" w:line="250"/>
            </w:pPr>
            <w:r>
              <w:rPr>
                <w:sz w:val="19"/>
                <w:szCs w:val="19"/>
              </w:rPr>
              <w:t xml:space="preserve">Integration Team</w:t>
            </w:r>
          </w:p>
        </w:tc>
        <w:tc>
          <w:tcPr>
            <w:tcW w:type="dxa" w:w="4226"/>
            <w:tcMar>
              <w:top w:type="dxa" w:w="60"/>
              <w:left w:type="dxa" w:w="100"/>
              <w:bottom w:type="dxa" w:w="60"/>
              <w:right w:type="dxa" w:w="100"/>
            </w:tcMar>
          </w:tcPr>
          <w:p>
            <w:pPr>
              <w:spacing w:after="0" w:line="250"/>
            </w:pPr>
            <w:r>
              <w:rPr>
                <w:sz w:val="19"/>
                <w:szCs w:val="19"/>
              </w:rPr>
              <w:t xml:space="preserve">Initial build spec — Security Audit Log, push-to-HEC design</w:t>
            </w:r>
          </w:p>
        </w:tc>
      </w:tr>
      <w:tr>
        <w:tc>
          <w:tcPr>
            <w:tcW w:type="dxa" w:w="1100"/>
            <w:tcMar>
              <w:top w:type="dxa" w:w="60"/>
              <w:left w:type="dxa" w:w="100"/>
              <w:bottom w:type="dxa" w:w="60"/>
              <w:right w:type="dxa" w:w="100"/>
            </w:tcMar>
          </w:tcPr>
          <w:p>
            <w:pPr>
              <w:spacing w:after="0" w:line="250"/>
            </w:pPr>
            <w:r>
              <w:rPr>
                <w:sz w:val="19"/>
                <w:szCs w:val="19"/>
              </w:rPr>
              <w:t xml:space="preserve">0.2</w:t>
            </w:r>
          </w:p>
        </w:tc>
        <w:tc>
          <w:tcPr>
            <w:tcW w:type="dxa" w:w="1500"/>
            <w:tcMar>
              <w:top w:type="dxa" w:w="60"/>
              <w:left w:type="dxa" w:w="100"/>
              <w:bottom w:type="dxa" w:w="60"/>
              <w:right w:type="dxa" w:w="100"/>
            </w:tcMar>
          </w:tcPr>
          <w:p>
            <w:pPr>
              <w:spacing w:after="0" w:line="250"/>
            </w:pPr>
            <w:r>
              <w:rPr>
                <w:sz w:val="19"/>
                <w:szCs w:val="19"/>
              </w:rPr>
              <w:t xml:space="preserve">06 Aug 2026</w:t>
            </w:r>
          </w:p>
        </w:tc>
        <w:tc>
          <w:tcPr>
            <w:tcW w:type="dxa" w:w="2200"/>
            <w:tcMar>
              <w:top w:type="dxa" w:w="60"/>
              <w:left w:type="dxa" w:w="100"/>
              <w:bottom w:type="dxa" w:w="60"/>
              <w:right w:type="dxa" w:w="100"/>
            </w:tcMar>
          </w:tcPr>
          <w:p>
            <w:pPr>
              <w:spacing w:after="0" w:line="250"/>
            </w:pPr>
            <w:r>
              <w:rPr>
                <w:sz w:val="19"/>
                <w:szCs w:val="19"/>
              </w:rPr>
              <w:t xml:space="preserve">Integration Team</w:t>
            </w:r>
          </w:p>
        </w:tc>
        <w:tc>
          <w:tcPr>
            <w:tcW w:type="dxa" w:w="4226"/>
            <w:tcMar>
              <w:top w:type="dxa" w:w="60"/>
              <w:left w:type="dxa" w:w="100"/>
              <w:bottom w:type="dxa" w:w="60"/>
              <w:right w:type="dxa" w:w="100"/>
            </w:tcMar>
          </w:tcPr>
          <w:p>
            <w:pPr>
              <w:spacing w:after="0" w:line="250"/>
            </w:pPr>
            <w:r>
              <w:rPr>
                <w:sz w:val="19"/>
                <w:szCs w:val="19"/>
              </w:rPr>
              <w:t xml:space="preserve">Redesigned as request-reply (reply body) instead of HEC push</w:t>
            </w:r>
          </w:p>
        </w:tc>
      </w:tr>
      <w:tr>
        <w:tc>
          <w:tcPr>
            <w:tcW w:type="dxa" w:w="1100"/>
            <w:tcMar>
              <w:top w:type="dxa" w:w="60"/>
              <w:left w:type="dxa" w:w="100"/>
              <w:bottom w:type="dxa" w:w="60"/>
              <w:right w:type="dxa" w:w="100"/>
            </w:tcMar>
          </w:tcPr>
          <w:p>
            <w:pPr>
              <w:spacing w:after="0" w:line="250"/>
            </w:pPr>
            <w:r>
              <w:rPr>
                <w:sz w:val="19"/>
                <w:szCs w:val="19"/>
              </w:rPr>
              <w:t xml:space="preserve">0.3</w:t>
            </w:r>
          </w:p>
        </w:tc>
        <w:tc>
          <w:tcPr>
            <w:tcW w:type="dxa" w:w="1500"/>
            <w:tcMar>
              <w:top w:type="dxa" w:w="60"/>
              <w:left w:type="dxa" w:w="100"/>
              <w:bottom w:type="dxa" w:w="60"/>
              <w:right w:type="dxa" w:w="100"/>
            </w:tcMar>
          </w:tcPr>
          <w:p>
            <w:pPr>
              <w:spacing w:after="0" w:line="250"/>
            </w:pPr>
            <w:r>
              <w:rPr>
                <w:sz w:val="19"/>
                <w:szCs w:val="19"/>
              </w:rPr>
              <w:t xml:space="preserve">13 Aug 2026</w:t>
            </w:r>
          </w:p>
        </w:tc>
        <w:tc>
          <w:tcPr>
            <w:tcW w:type="dxa" w:w="2200"/>
            <w:tcMar>
              <w:top w:type="dxa" w:w="60"/>
              <w:left w:type="dxa" w:w="100"/>
              <w:bottom w:type="dxa" w:w="60"/>
              <w:right w:type="dxa" w:w="100"/>
            </w:tcMar>
          </w:tcPr>
          <w:p>
            <w:pPr>
              <w:spacing w:after="0" w:line="250"/>
            </w:pPr>
            <w:r>
              <w:rPr>
                <w:sz w:val="19"/>
                <w:szCs w:val="19"/>
              </w:rPr>
              <w:t xml:space="preserve">Integration Team</w:t>
            </w:r>
          </w:p>
        </w:tc>
        <w:tc>
          <w:tcPr>
            <w:tcW w:type="dxa" w:w="4226"/>
            <w:tcMar>
              <w:top w:type="dxa" w:w="60"/>
              <w:left w:type="dxa" w:w="100"/>
              <w:bottom w:type="dxa" w:w="60"/>
              <w:right w:type="dxa" w:w="100"/>
            </w:tcMar>
          </w:tcPr>
          <w:p>
            <w:pPr>
              <w:spacing w:after="0" w:line="250"/>
            </w:pPr>
            <w:r>
              <w:rPr>
                <w:sz w:val="19"/>
                <w:szCs w:val="19"/>
              </w:rPr>
              <w:t xml:space="preserve">Added persistent high-water, first-run bootstrap and gap cap</w:t>
            </w:r>
          </w:p>
        </w:tc>
      </w:tr>
      <w:tr>
        <w:tc>
          <w:tcPr>
            <w:tcW w:type="dxa" w:w="1100"/>
            <w:tcMar>
              <w:top w:type="dxa" w:w="60"/>
              <w:left w:type="dxa" w:w="100"/>
              <w:bottom w:type="dxa" w:w="60"/>
              <w:right w:type="dxa" w:w="100"/>
            </w:tcMar>
          </w:tcPr>
          <w:p>
            <w:pPr>
              <w:spacing w:after="0" w:line="250"/>
            </w:pPr>
            <w:r>
              <w:rPr>
                <w:sz w:val="19"/>
                <w:szCs w:val="19"/>
              </w:rPr>
              <w:t xml:space="preserve">0.4</w:t>
            </w:r>
          </w:p>
        </w:tc>
        <w:tc>
          <w:tcPr>
            <w:tcW w:type="dxa" w:w="1500"/>
            <w:tcMar>
              <w:top w:type="dxa" w:w="60"/>
              <w:left w:type="dxa" w:w="100"/>
              <w:bottom w:type="dxa" w:w="60"/>
              <w:right w:type="dxa" w:w="100"/>
            </w:tcMar>
          </w:tcPr>
          <w:p>
            <w:pPr>
              <w:spacing w:after="0" w:line="250"/>
            </w:pPr>
            <w:r>
              <w:rPr>
                <w:sz w:val="19"/>
                <w:szCs w:val="19"/>
              </w:rPr>
              <w:t xml:space="preserve">13 Aug 2026</w:t>
            </w:r>
          </w:p>
        </w:tc>
        <w:tc>
          <w:tcPr>
            <w:tcW w:type="dxa" w:w="2200"/>
            <w:tcMar>
              <w:top w:type="dxa" w:w="60"/>
              <w:left w:type="dxa" w:w="100"/>
              <w:bottom w:type="dxa" w:w="60"/>
              <w:right w:type="dxa" w:w="100"/>
            </w:tcMar>
          </w:tcPr>
          <w:p>
            <w:pPr>
              <w:spacing w:after="0" w:line="250"/>
            </w:pPr>
            <w:r>
              <w:rPr>
                <w:sz w:val="19"/>
                <w:szCs w:val="19"/>
              </w:rPr>
              <w:t xml:space="preserve">Integration Team</w:t>
            </w:r>
          </w:p>
        </w:tc>
        <w:tc>
          <w:tcPr>
            <w:tcW w:type="dxa" w:w="4226"/>
            <w:tcMar>
              <w:top w:type="dxa" w:w="60"/>
              <w:left w:type="dxa" w:w="100"/>
              <w:bottom w:type="dxa" w:w="60"/>
              <w:right w:type="dxa" w:w="100"/>
            </w:tcMar>
          </w:tcPr>
          <w:p>
            <w:pPr>
              <w:spacing w:after="0" w:line="250"/>
            </w:pPr>
            <w:r>
              <w:rPr>
                <w:sz w:val="19"/>
                <w:szCs w:val="19"/>
              </w:rPr>
              <w:t xml:space="preserve">Added Exception Subprocess</w:t>
            </w:r>
          </w:p>
        </w:tc>
      </w:tr>
      <w:tr>
        <w:tc>
          <w:tcPr>
            <w:tcW w:type="dxa" w:w="1100"/>
            <w:tcMar>
              <w:top w:type="dxa" w:w="60"/>
              <w:left w:type="dxa" w:w="100"/>
              <w:bottom w:type="dxa" w:w="60"/>
              <w:right w:type="dxa" w:w="100"/>
            </w:tcMar>
          </w:tcPr>
          <w:p>
            <w:pPr>
              <w:spacing w:after="0" w:line="250"/>
            </w:pPr>
            <w:r>
              <w:rPr>
                <w:sz w:val="19"/>
                <w:szCs w:val="19"/>
              </w:rPr>
              <w:t xml:space="preserve">1.0</w:t>
            </w:r>
          </w:p>
        </w:tc>
        <w:tc>
          <w:tcPr>
            <w:tcW w:type="dxa" w:w="1500"/>
            <w:tcMar>
              <w:top w:type="dxa" w:w="60"/>
              <w:left w:type="dxa" w:w="100"/>
              <w:bottom w:type="dxa" w:w="60"/>
              <w:right w:type="dxa" w:w="100"/>
            </w:tcMar>
          </w:tcPr>
          <w:p>
            <w:pPr>
              <w:spacing w:after="0" w:line="250"/>
            </w:pPr>
            <w:r>
              <w:rPr>
                <w:sz w:val="19"/>
                <w:szCs w:val="19"/>
              </w:rPr>
              <w:t xml:space="preserve">20 Aug 2026</w:t>
            </w:r>
          </w:p>
        </w:tc>
        <w:tc>
          <w:tcPr>
            <w:tcW w:type="dxa" w:w="2200"/>
            <w:tcMar>
              <w:top w:type="dxa" w:w="60"/>
              <w:left w:type="dxa" w:w="100"/>
              <w:bottom w:type="dxa" w:w="60"/>
              <w:right w:type="dxa" w:w="100"/>
            </w:tcMar>
          </w:tcPr>
          <w:p>
            <w:pPr>
              <w:spacing w:after="0" w:line="250"/>
            </w:pPr>
            <w:r>
              <w:rPr>
                <w:sz w:val="19"/>
                <w:szCs w:val="19"/>
              </w:rPr>
              <w:t xml:space="preserve">Integration Team</w:t>
            </w:r>
          </w:p>
        </w:tc>
        <w:tc>
          <w:tcPr>
            <w:tcW w:type="dxa" w:w="4226"/>
            <w:tcMar>
              <w:top w:type="dxa" w:w="60"/>
              <w:left w:type="dxa" w:w="100"/>
              <w:bottom w:type="dxa" w:w="60"/>
              <w:right w:type="dxa" w:w="100"/>
            </w:tcMar>
          </w:tcPr>
          <w:p>
            <w:pPr>
              <w:spacing w:after="0" w:line="250"/>
            </w:pPr>
            <w:r>
              <w:rPr>
                <w:sz w:val="19"/>
                <w:szCs w:val="19"/>
              </w:rPr>
              <w:t xml:space="preserve">Extended to all four log types; V2/V4 handling; defect remediation</w:t>
            </w:r>
          </w:p>
        </w:tc>
      </w:tr>
    </w:tbl>
    <w:p>
      <w:pPr>
        <w:spacing w:after="240"/>
      </w:pPr>
    </w:p>
    <w:p>
      <w:pPr>
        <w:pStyle w:val="Heading1"/>
        <w:spacing w:after="140" w:before="320"/>
      </w:pPr>
      <w:r>
        <w:t xml:space="preserve">Table of Contents</w:t>
      </w:r>
    </w:p>
    <w:sdt>
      <w:sdtPr>
        <w:alias w:val="Right-click and select 'Update Field' to populate."/>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20"/>
      </w:pPr>
      <w:r>
        <w:t xml:space="preserve">1. Introduction</w:t>
      </w:r>
    </w:p>
    <w:p>
      <w:pPr>
        <w:pStyle w:val="Heading2"/>
        <w:spacing w:after="140" w:before="240"/>
      </w:pPr>
      <w:r>
        <w:t xml:space="preserve">1.1 Purpose</w:t>
      </w:r>
    </w:p>
    <w:p>
      <w:pPr>
        <w:spacing w:after="120" w:line="276"/>
      </w:pPr>
      <w:r>
        <w:rPr>
          <w:sz w:val="21"/>
          <w:szCs w:val="21"/>
        </w:rPr>
        <w:t xml:space="preserve">This document specifies the requirements and technical design for four SAP Cloud Integration (CPI) interfaces that extract security-relevant log data from SAP S/4HANA Cloud Public Edition and make it available to Splunk for SIEM ingestion, correlation and alerting.</w:t>
      </w:r>
    </w:p>
    <w:p>
      <w:pPr>
        <w:pStyle w:val="Heading2"/>
        <w:spacing w:after="140" w:before="240"/>
      </w:pPr>
      <w:r>
        <w:t xml:space="preserve">1.2 Scope</w:t>
      </w:r>
    </w:p>
    <w:p>
      <w:pPr>
        <w:spacing w:after="120" w:line="276"/>
      </w:pPr>
      <w:r>
        <w:rPr>
          <w:sz w:val="21"/>
          <w:szCs w:val="21"/>
        </w:rPr>
        <w:t xml:space="preserve">In scope:</w:t>
      </w:r>
    </w:p>
    <w:p>
      <w:pPr>
        <w:pStyle w:val="ListParagraph"/>
        <w:numPr>
          <w:ilvl w:val="0"/>
          <w:numId w:val="2"/>
        </w:numPr>
        <w:spacing w:after="70" w:line="276"/>
      </w:pPr>
      <w:r>
        <w:rPr>
          <w:sz w:val="21"/>
          <w:szCs w:val="21"/>
        </w:rPr>
        <w:t xml:space="preserve">Four CPI integration flows, one per S/4HANA Cloud security log type.</w:t>
      </w:r>
    </w:p>
    <w:p>
      <w:pPr>
        <w:pStyle w:val="ListParagraph"/>
        <w:numPr>
          <w:ilvl w:val="0"/>
          <w:numId w:val="2"/>
        </w:numPr>
        <w:spacing w:after="70" w:line="276"/>
      </w:pPr>
      <w:r>
        <w:rPr>
          <w:sz w:val="21"/>
          <w:szCs w:val="21"/>
        </w:rPr>
        <w:t xml:space="preserve">Delta (incremental) extraction with a persisted last-run high-water mark.</w:t>
      </w:r>
    </w:p>
    <w:p>
      <w:pPr>
        <w:pStyle w:val="ListParagraph"/>
        <w:numPr>
          <w:ilvl w:val="0"/>
          <w:numId w:val="2"/>
        </w:numPr>
        <w:spacing w:after="70" w:line="276"/>
      </w:pPr>
      <w:r>
        <w:rPr>
          <w:sz w:val="21"/>
          <w:szCs w:val="21"/>
        </w:rPr>
        <w:t xml:space="preserve">Full pagination across all pages of a delta window.</w:t>
      </w:r>
    </w:p>
    <w:p>
      <w:pPr>
        <w:pStyle w:val="ListParagraph"/>
        <w:numPr>
          <w:ilvl w:val="0"/>
          <w:numId w:val="2"/>
        </w:numPr>
        <w:spacing w:after="70" w:line="276"/>
      </w:pPr>
      <w:r>
        <w:rPr>
          <w:sz w:val="21"/>
          <w:szCs w:val="21"/>
        </w:rPr>
        <w:t xml:space="preserve">Transformation to Splunk HTTP Event Collector (HEC) newline-delimited JSON (NDJSON).</w:t>
      </w:r>
    </w:p>
    <w:p>
      <w:pPr>
        <w:pStyle w:val="ListParagraph"/>
        <w:numPr>
          <w:ilvl w:val="0"/>
          <w:numId w:val="2"/>
        </w:numPr>
        <w:spacing w:after="70" w:line="276"/>
      </w:pPr>
      <w:r>
        <w:rPr>
          <w:sz w:val="21"/>
          <w:szCs w:val="21"/>
        </w:rPr>
        <w:t xml:space="preserve">Bounded-memory extraction, error handling and observability.</w:t>
      </w:r>
    </w:p>
    <w:p>
      <w:pPr>
        <w:spacing w:after="120" w:line="276"/>
      </w:pPr>
      <w:r>
        <w:rPr>
          <w:sz w:val="21"/>
          <w:szCs w:val="21"/>
        </w:rPr>
        <w:t xml:space="preserve">Out of scope:</w:t>
      </w:r>
    </w:p>
    <w:p>
      <w:pPr>
        <w:pStyle w:val="ListParagraph"/>
        <w:numPr>
          <w:ilvl w:val="0"/>
          <w:numId w:val="2"/>
        </w:numPr>
        <w:spacing w:after="70" w:line="276"/>
      </w:pPr>
      <w:r>
        <w:rPr>
          <w:sz w:val="21"/>
          <w:szCs w:val="21"/>
        </w:rPr>
        <w:t xml:space="preserve">Splunk-side index, sourcetype and dashboard configuration.</w:t>
      </w:r>
    </w:p>
    <w:p>
      <w:pPr>
        <w:pStyle w:val="ListParagraph"/>
        <w:numPr>
          <w:ilvl w:val="0"/>
          <w:numId w:val="2"/>
        </w:numPr>
        <w:spacing w:after="70" w:line="276"/>
      </w:pPr>
      <w:r>
        <w:rPr>
          <w:sz w:val="21"/>
          <w:szCs w:val="21"/>
        </w:rPr>
        <w:t xml:space="preserve">The scheduler/modular input that invokes the CPI endpoints.</w:t>
      </w:r>
    </w:p>
    <w:p>
      <w:pPr>
        <w:pStyle w:val="ListParagraph"/>
        <w:numPr>
          <w:ilvl w:val="0"/>
          <w:numId w:val="2"/>
        </w:numPr>
        <w:spacing w:after="70" w:line="276"/>
      </w:pPr>
      <w:r>
        <w:rPr>
          <w:sz w:val="21"/>
          <w:szCs w:val="21"/>
        </w:rPr>
        <w:t xml:space="preserve">S/4HANA Cloud communication arrangement provisioning (prerequisite).</w:t>
      </w:r>
    </w:p>
    <w:p>
      <w:pPr>
        <w:pStyle w:val="ListParagraph"/>
        <w:numPr>
          <w:ilvl w:val="0"/>
          <w:numId w:val="2"/>
        </w:numPr>
        <w:spacing w:after="70" w:line="276"/>
      </w:pPr>
      <w:r>
        <w:rPr>
          <w:sz w:val="21"/>
          <w:szCs w:val="21"/>
        </w:rPr>
        <w:t xml:space="preserve">Retention, archival and downstream SIEM use-case content.</w:t>
      </w:r>
    </w:p>
    <w:p>
      <w:pPr>
        <w:pStyle w:val="Heading2"/>
        <w:spacing w:after="140" w:before="240"/>
      </w:pPr>
      <w:r>
        <w:t xml:space="preserve">1.3 Intended audience</w:t>
      </w:r>
    </w:p>
    <w:p>
      <w:pPr>
        <w:spacing w:after="120" w:line="276"/>
      </w:pPr>
      <w:r>
        <w:rPr>
          <w:sz w:val="21"/>
          <w:szCs w:val="21"/>
        </w:rPr>
        <w:t xml:space="preserve">SAP integration developers and administrators, Splunk/SIEM engineers, security operations, and the change-approval board.</w:t>
      </w:r>
    </w:p>
    <w:p>
      <w:pPr>
        <w:pStyle w:val="Heading2"/>
        <w:spacing w:after="140" w:before="240"/>
      </w:pPr>
      <w:r>
        <w:t xml:space="preserve">1.4 Definitions and abbreviations</w:t>
      </w:r>
    </w:p>
    <w:tbl>
      <w:tblPr>
        <w:tblW w:type="dxa" w:w="9026"/>
        <w:tblBorders>
          <w:top w:val="single" w:color="8EA9DB" w:sz="4"/>
          <w:left w:val="single" w:color="8EA9DB" w:sz="4"/>
          <w:bottom w:val="single" w:color="8EA9DB" w:sz="4"/>
          <w:right w:val="single" w:color="8EA9DB" w:sz="4"/>
          <w:insideH w:val="single" w:color="B4C6E7" w:sz="3"/>
          <w:insideV w:val="single" w:color="B4C6E7" w:sz="3"/>
        </w:tblBorders>
      </w:tblPr>
      <w:tblGrid>
        <w:gridCol w:w="1700"/>
        <w:gridCol w:w="7326"/>
      </w:tblGrid>
      <w:tr>
        <w:trPr>
          <w:tblHeader/>
        </w:trPr>
        <w:tc>
          <w:tcPr>
            <w:tcW w:type="dxa" w:w="1700"/>
            <w:shd w:fill="D9E2F3" w:color="auto" w:val="clear"/>
            <w:tcMar>
              <w:top w:type="dxa" w:w="60"/>
              <w:left w:type="dxa" w:w="100"/>
              <w:bottom w:type="dxa" w:w="60"/>
              <w:right w:type="dxa" w:w="100"/>
            </w:tcMar>
          </w:tcPr>
          <w:p>
            <w:pPr>
              <w:spacing w:after="0" w:line="250"/>
            </w:pPr>
            <w:r>
              <w:rPr>
                <w:b/>
                <w:bCs/>
                <w:sz w:val="19"/>
                <w:szCs w:val="19"/>
              </w:rPr>
              <w:t xml:space="preserve">Term</w:t>
            </w:r>
          </w:p>
        </w:tc>
        <w:tc>
          <w:tcPr>
            <w:tcW w:type="dxa" w:w="7326"/>
            <w:shd w:fill="D9E2F3" w:color="auto" w:val="clear"/>
            <w:tcMar>
              <w:top w:type="dxa" w:w="60"/>
              <w:left w:type="dxa" w:w="100"/>
              <w:bottom w:type="dxa" w:w="60"/>
              <w:right w:type="dxa" w:w="100"/>
            </w:tcMar>
          </w:tcPr>
          <w:p>
            <w:pPr>
              <w:spacing w:after="0" w:line="250"/>
            </w:pPr>
            <w:r>
              <w:rPr>
                <w:b/>
                <w:bCs/>
                <w:sz w:val="19"/>
                <w:szCs w:val="19"/>
              </w:rPr>
              <w:t xml:space="preserve">Definition</w:t>
            </w:r>
          </w:p>
        </w:tc>
      </w:tr>
      <w:tr>
        <w:tc>
          <w:tcPr>
            <w:tcW w:type="dxa" w:w="1700"/>
            <w:tcMar>
              <w:top w:type="dxa" w:w="60"/>
              <w:left w:type="dxa" w:w="100"/>
              <w:bottom w:type="dxa" w:w="60"/>
              <w:right w:type="dxa" w:w="100"/>
            </w:tcMar>
          </w:tcPr>
          <w:p>
            <w:pPr>
              <w:spacing w:after="0" w:line="250"/>
            </w:pPr>
            <w:r>
              <w:rPr>
                <w:sz w:val="19"/>
                <w:szCs w:val="19"/>
              </w:rPr>
              <w:t xml:space="preserve">CPI</w:t>
            </w:r>
          </w:p>
        </w:tc>
        <w:tc>
          <w:tcPr>
            <w:tcW w:type="dxa" w:w="7326"/>
            <w:tcMar>
              <w:top w:type="dxa" w:w="60"/>
              <w:left w:type="dxa" w:w="100"/>
              <w:bottom w:type="dxa" w:w="60"/>
              <w:right w:type="dxa" w:w="100"/>
            </w:tcMar>
          </w:tcPr>
          <w:p>
            <w:pPr>
              <w:spacing w:after="0" w:line="250"/>
            </w:pPr>
            <w:r>
              <w:rPr>
                <w:sz w:val="19"/>
                <w:szCs w:val="19"/>
              </w:rPr>
              <w:t xml:space="preserve">SAP Cloud Integration, the integration capability of SAP Integration Suite</w:t>
            </w:r>
          </w:p>
        </w:tc>
      </w:tr>
      <w:tr>
        <w:tc>
          <w:tcPr>
            <w:tcW w:type="dxa" w:w="1700"/>
            <w:tcMar>
              <w:top w:type="dxa" w:w="60"/>
              <w:left w:type="dxa" w:w="100"/>
              <w:bottom w:type="dxa" w:w="60"/>
              <w:right w:type="dxa" w:w="100"/>
            </w:tcMar>
          </w:tcPr>
          <w:p>
            <w:pPr>
              <w:spacing w:after="0" w:line="250"/>
            </w:pPr>
            <w:r>
              <w:rPr>
                <w:sz w:val="19"/>
                <w:szCs w:val="19"/>
              </w:rPr>
              <w:t xml:space="preserve">iFlow</w:t>
            </w:r>
          </w:p>
        </w:tc>
        <w:tc>
          <w:tcPr>
            <w:tcW w:type="dxa" w:w="7326"/>
            <w:tcMar>
              <w:top w:type="dxa" w:w="60"/>
              <w:left w:type="dxa" w:w="100"/>
              <w:bottom w:type="dxa" w:w="60"/>
              <w:right w:type="dxa" w:w="100"/>
            </w:tcMar>
          </w:tcPr>
          <w:p>
            <w:pPr>
              <w:spacing w:after="0" w:line="250"/>
            </w:pPr>
            <w:r>
              <w:rPr>
                <w:sz w:val="19"/>
                <w:szCs w:val="19"/>
              </w:rPr>
              <w:t xml:space="preserve">Integration Flow — a deployable CPI integration artifact</w:t>
            </w:r>
          </w:p>
        </w:tc>
      </w:tr>
      <w:tr>
        <w:tc>
          <w:tcPr>
            <w:tcW w:type="dxa" w:w="1700"/>
            <w:tcMar>
              <w:top w:type="dxa" w:w="60"/>
              <w:left w:type="dxa" w:w="100"/>
              <w:bottom w:type="dxa" w:w="60"/>
              <w:right w:type="dxa" w:w="100"/>
            </w:tcMar>
          </w:tcPr>
          <w:p>
            <w:pPr>
              <w:spacing w:after="0" w:line="250"/>
            </w:pPr>
            <w:r>
              <w:rPr>
                <w:sz w:val="19"/>
                <w:szCs w:val="19"/>
              </w:rPr>
              <w:t xml:space="preserve">HEC</w:t>
            </w:r>
          </w:p>
        </w:tc>
        <w:tc>
          <w:tcPr>
            <w:tcW w:type="dxa" w:w="7326"/>
            <w:tcMar>
              <w:top w:type="dxa" w:w="60"/>
              <w:left w:type="dxa" w:w="100"/>
              <w:bottom w:type="dxa" w:w="60"/>
              <w:right w:type="dxa" w:w="100"/>
            </w:tcMar>
          </w:tcPr>
          <w:p>
            <w:pPr>
              <w:spacing w:after="0" w:line="250"/>
            </w:pPr>
            <w:r>
              <w:rPr>
                <w:sz w:val="19"/>
                <w:szCs w:val="19"/>
              </w:rPr>
              <w:t xml:space="preserve">Splunk HTTP Event Collector</w:t>
            </w:r>
          </w:p>
        </w:tc>
      </w:tr>
      <w:tr>
        <w:tc>
          <w:tcPr>
            <w:tcW w:type="dxa" w:w="1700"/>
            <w:tcMar>
              <w:top w:type="dxa" w:w="60"/>
              <w:left w:type="dxa" w:w="100"/>
              <w:bottom w:type="dxa" w:w="60"/>
              <w:right w:type="dxa" w:w="100"/>
            </w:tcMar>
          </w:tcPr>
          <w:p>
            <w:pPr>
              <w:spacing w:after="0" w:line="250"/>
            </w:pPr>
            <w:r>
              <w:rPr>
                <w:sz w:val="19"/>
                <w:szCs w:val="19"/>
              </w:rPr>
              <w:t xml:space="preserve">NDJSON</w:t>
            </w:r>
          </w:p>
        </w:tc>
        <w:tc>
          <w:tcPr>
            <w:tcW w:type="dxa" w:w="7326"/>
            <w:tcMar>
              <w:top w:type="dxa" w:w="60"/>
              <w:left w:type="dxa" w:w="100"/>
              <w:bottom w:type="dxa" w:w="60"/>
              <w:right w:type="dxa" w:w="100"/>
            </w:tcMar>
          </w:tcPr>
          <w:p>
            <w:pPr>
              <w:spacing w:after="0" w:line="250"/>
            </w:pPr>
            <w:r>
              <w:rPr>
                <w:sz w:val="19"/>
                <w:szCs w:val="19"/>
              </w:rPr>
              <w:t xml:space="preserve">Newline-delimited JSON — one JSON object per line</w:t>
            </w:r>
          </w:p>
        </w:tc>
      </w:tr>
      <w:tr>
        <w:tc>
          <w:tcPr>
            <w:tcW w:type="dxa" w:w="1700"/>
            <w:tcMar>
              <w:top w:type="dxa" w:w="60"/>
              <w:left w:type="dxa" w:w="100"/>
              <w:bottom w:type="dxa" w:w="60"/>
              <w:right w:type="dxa" w:w="100"/>
            </w:tcMar>
          </w:tcPr>
          <w:p>
            <w:pPr>
              <w:spacing w:after="0" w:line="250"/>
            </w:pPr>
            <w:r>
              <w:rPr>
                <w:sz w:val="19"/>
                <w:szCs w:val="19"/>
              </w:rPr>
              <w:t xml:space="preserve">High-water mark</w:t>
            </w:r>
          </w:p>
        </w:tc>
        <w:tc>
          <w:tcPr>
            <w:tcW w:type="dxa" w:w="7326"/>
            <w:tcMar>
              <w:top w:type="dxa" w:w="60"/>
              <w:left w:type="dxa" w:w="100"/>
              <w:bottom w:type="dxa" w:w="60"/>
              <w:right w:type="dxa" w:w="100"/>
            </w:tcMar>
          </w:tcPr>
          <w:p>
            <w:pPr>
              <w:spacing w:after="0" w:line="250"/>
            </w:pPr>
            <w:r>
              <w:rPr>
                <w:sz w:val="19"/>
                <w:szCs w:val="19"/>
              </w:rPr>
              <w:t xml:space="preserve">Persisted timestamp marking the end of the last successfully extracted window</w:t>
            </w:r>
          </w:p>
        </w:tc>
      </w:tr>
      <w:tr>
        <w:tc>
          <w:tcPr>
            <w:tcW w:type="dxa" w:w="1700"/>
            <w:tcMar>
              <w:top w:type="dxa" w:w="60"/>
              <w:left w:type="dxa" w:w="100"/>
              <w:bottom w:type="dxa" w:w="60"/>
              <w:right w:type="dxa" w:w="100"/>
            </w:tcMar>
          </w:tcPr>
          <w:p>
            <w:pPr>
              <w:spacing w:after="0" w:line="250"/>
            </w:pPr>
            <w:r>
              <w:rPr>
                <w:sz w:val="19"/>
                <w:szCs w:val="19"/>
              </w:rPr>
              <w:t xml:space="preserve">Delta window</w:t>
            </w:r>
          </w:p>
        </w:tc>
        <w:tc>
          <w:tcPr>
            <w:tcW w:type="dxa" w:w="7326"/>
            <w:tcMar>
              <w:top w:type="dxa" w:w="60"/>
              <w:left w:type="dxa" w:w="100"/>
              <w:bottom w:type="dxa" w:w="60"/>
              <w:right w:type="dxa" w:w="100"/>
            </w:tcMar>
          </w:tcPr>
          <w:p>
            <w:pPr>
              <w:spacing w:after="0" w:line="250"/>
            </w:pPr>
            <w:r>
              <w:rPr>
                <w:sz w:val="19"/>
                <w:szCs w:val="19"/>
              </w:rPr>
              <w:t xml:space="preserve">The time range (windowFrom, runStartTime] queried in one invocation</w:t>
            </w:r>
          </w:p>
        </w:tc>
      </w:tr>
      <w:tr>
        <w:tc>
          <w:tcPr>
            <w:tcW w:type="dxa" w:w="1700"/>
            <w:tcMar>
              <w:top w:type="dxa" w:w="60"/>
              <w:left w:type="dxa" w:w="100"/>
              <w:bottom w:type="dxa" w:w="60"/>
              <w:right w:type="dxa" w:w="100"/>
            </w:tcMar>
          </w:tcPr>
          <w:p>
            <w:pPr>
              <w:spacing w:after="0" w:line="250"/>
            </w:pPr>
            <w:r>
              <w:rPr>
                <w:sz w:val="19"/>
                <w:szCs w:val="19"/>
              </w:rPr>
              <w:t xml:space="preserve">MPL</w:t>
            </w:r>
          </w:p>
        </w:tc>
        <w:tc>
          <w:tcPr>
            <w:tcW w:type="dxa" w:w="7326"/>
            <w:tcMar>
              <w:top w:type="dxa" w:w="60"/>
              <w:left w:type="dxa" w:w="100"/>
              <w:bottom w:type="dxa" w:w="60"/>
              <w:right w:type="dxa" w:w="100"/>
            </w:tcMar>
          </w:tcPr>
          <w:p>
            <w:pPr>
              <w:spacing w:after="0" w:line="250"/>
            </w:pPr>
            <w:r>
              <w:rPr>
                <w:sz w:val="19"/>
                <w:szCs w:val="19"/>
              </w:rPr>
              <w:t xml:space="preserve">Message Processing Log — CPI runtime execution log</w:t>
            </w:r>
          </w:p>
        </w:tc>
      </w:tr>
      <w:tr>
        <w:tc>
          <w:tcPr>
            <w:tcW w:type="dxa" w:w="1700"/>
            <w:tcMar>
              <w:top w:type="dxa" w:w="60"/>
              <w:left w:type="dxa" w:w="100"/>
              <w:bottom w:type="dxa" w:w="60"/>
              <w:right w:type="dxa" w:w="100"/>
            </w:tcMar>
          </w:tcPr>
          <w:p>
            <w:pPr>
              <w:spacing w:after="0" w:line="250"/>
            </w:pPr>
            <w:r>
              <w:rPr>
                <w:sz w:val="19"/>
                <w:szCs w:val="19"/>
              </w:rPr>
              <w:t xml:space="preserve">RAL</w:t>
            </w:r>
          </w:p>
        </w:tc>
        <w:tc>
          <w:tcPr>
            <w:tcW w:type="dxa" w:w="7326"/>
            <w:tcMar>
              <w:top w:type="dxa" w:w="60"/>
              <w:left w:type="dxa" w:w="100"/>
              <w:bottom w:type="dxa" w:w="60"/>
              <w:right w:type="dxa" w:w="100"/>
            </w:tcMar>
          </w:tcPr>
          <w:p>
            <w:pPr>
              <w:spacing w:after="0" w:line="250"/>
            </w:pPr>
            <w:r>
              <w:rPr>
                <w:sz w:val="19"/>
                <w:szCs w:val="19"/>
              </w:rPr>
              <w:t xml:space="preserve">Read Access Logging — S/4HANA logging of access to sensitive personal data</w:t>
            </w:r>
          </w:p>
        </w:tc>
      </w:tr>
      <w:tr>
        <w:tc>
          <w:tcPr>
            <w:tcW w:type="dxa" w:w="1700"/>
            <w:tcMar>
              <w:top w:type="dxa" w:w="60"/>
              <w:left w:type="dxa" w:w="100"/>
              <w:bottom w:type="dxa" w:w="60"/>
              <w:right w:type="dxa" w:w="100"/>
            </w:tcMar>
          </w:tcPr>
          <w:p>
            <w:pPr>
              <w:spacing w:after="0" w:line="250"/>
            </w:pPr>
            <w:r>
              <w:rPr>
                <w:sz w:val="19"/>
                <w:szCs w:val="19"/>
              </w:rPr>
              <w:t xml:space="preserve">EDMX</w:t>
            </w:r>
          </w:p>
        </w:tc>
        <w:tc>
          <w:tcPr>
            <w:tcW w:type="dxa" w:w="7326"/>
            <w:tcMar>
              <w:top w:type="dxa" w:w="60"/>
              <w:left w:type="dxa" w:w="100"/>
              <w:bottom w:type="dxa" w:w="60"/>
              <w:right w:type="dxa" w:w="100"/>
            </w:tcMar>
          </w:tcPr>
          <w:p>
            <w:pPr>
              <w:spacing w:after="0" w:line="250"/>
            </w:pPr>
            <w:r>
              <w:rPr>
                <w:sz w:val="19"/>
                <w:szCs w:val="19"/>
              </w:rPr>
              <w:t xml:space="preserve">OData metadata document describing entity types and properties</w:t>
            </w:r>
          </w:p>
        </w:tc>
      </w:tr>
    </w:tbl>
    <w:p>
      <w:pPr>
        <w:pStyle w:val="Heading2"/>
        <w:spacing w:after="140" w:before="240"/>
      </w:pPr>
      <w:r>
        <w:t xml:space="preserve">1.5 Document classification</w:t>
      </w:r>
    </w:p>
    <w:p>
      <w:pPr>
        <w:spacing w:after="120" w:line="276"/>
      </w:pPr>
      <w:r>
        <w:rPr>
          <w:sz w:val="21"/>
          <w:szCs w:val="21"/>
        </w:rPr>
        <w:t xml:space="preserve">This is a combined document: it states the requirements the interfaces must satisfy AND specifies the detailed technical design that meets them. It sits at low-level design (LLD) depth — it is specific enough to build, test and operate the interfaces from, rather than a strategy or high-level architecture paper.</w:t>
      </w:r>
    </w:p>
    <w:tbl>
      <w:tblPr>
        <w:tblW w:type="dxa" w:w="9026"/>
        <w:tblBorders>
          <w:top w:val="single" w:color="8EA9DB" w:sz="4"/>
          <w:left w:val="single" w:color="8EA9DB" w:sz="4"/>
          <w:bottom w:val="single" w:color="8EA9DB" w:sz="4"/>
          <w:right w:val="single" w:color="8EA9DB" w:sz="4"/>
          <w:insideH w:val="single" w:color="B4C6E7" w:sz="3"/>
          <w:insideV w:val="single" w:color="B4C6E7" w:sz="3"/>
        </w:tblBorders>
      </w:tblPr>
      <w:tblGrid>
        <w:gridCol w:w="3500"/>
        <w:gridCol w:w="1500"/>
        <w:gridCol w:w="4026"/>
      </w:tblGrid>
      <w:tr>
        <w:trPr>
          <w:tblHeader/>
        </w:trPr>
        <w:tc>
          <w:tcPr>
            <w:tcW w:type="dxa" w:w="3500"/>
            <w:shd w:fill="D9E2F3" w:color="auto" w:val="clear"/>
            <w:tcMar>
              <w:top w:type="dxa" w:w="60"/>
              <w:left w:type="dxa" w:w="100"/>
              <w:bottom w:type="dxa" w:w="60"/>
              <w:right w:type="dxa" w:w="100"/>
            </w:tcMar>
          </w:tcPr>
          <w:p>
            <w:pPr>
              <w:spacing w:after="0" w:line="250"/>
            </w:pPr>
            <w:r>
              <w:rPr>
                <w:b/>
                <w:bCs/>
                <w:sz w:val="19"/>
                <w:szCs w:val="19"/>
              </w:rPr>
              <w:t xml:space="preserve">Aspect</w:t>
            </w:r>
          </w:p>
        </w:tc>
        <w:tc>
          <w:tcPr>
            <w:tcW w:type="dxa" w:w="1500"/>
            <w:shd w:fill="D9E2F3" w:color="auto" w:val="clear"/>
            <w:tcMar>
              <w:top w:type="dxa" w:w="60"/>
              <w:left w:type="dxa" w:w="100"/>
              <w:bottom w:type="dxa" w:w="60"/>
              <w:right w:type="dxa" w:w="100"/>
            </w:tcMar>
          </w:tcPr>
          <w:p>
            <w:pPr>
              <w:spacing w:after="0" w:line="250"/>
            </w:pPr>
            <w:r>
              <w:rPr>
                <w:b/>
                <w:bCs/>
                <w:sz w:val="19"/>
                <w:szCs w:val="19"/>
              </w:rPr>
              <w:t xml:space="preserve">Covered</w:t>
            </w:r>
          </w:p>
        </w:tc>
        <w:tc>
          <w:tcPr>
            <w:tcW w:type="dxa" w:w="4026"/>
            <w:shd w:fill="D9E2F3" w:color="auto" w:val="clear"/>
            <w:tcMar>
              <w:top w:type="dxa" w:w="60"/>
              <w:left w:type="dxa" w:w="100"/>
              <w:bottom w:type="dxa" w:w="60"/>
              <w:right w:type="dxa" w:w="100"/>
            </w:tcMar>
          </w:tcPr>
          <w:p>
            <w:pPr>
              <w:spacing w:after="0" w:line="250"/>
            </w:pPr>
            <w:r>
              <w:rPr>
                <w:b/>
                <w:bCs/>
                <w:sz w:val="19"/>
                <w:szCs w:val="19"/>
              </w:rPr>
              <w:t xml:space="preserve">Reference</w:t>
            </w:r>
          </w:p>
        </w:tc>
      </w:tr>
      <w:tr>
        <w:tc>
          <w:tcPr>
            <w:tcW w:type="dxa" w:w="3500"/>
            <w:tcMar>
              <w:top w:type="dxa" w:w="60"/>
              <w:left w:type="dxa" w:w="100"/>
              <w:bottom w:type="dxa" w:w="60"/>
              <w:right w:type="dxa" w:w="100"/>
            </w:tcMar>
          </w:tcPr>
          <w:p>
            <w:pPr>
              <w:spacing w:after="0" w:line="250"/>
            </w:pPr>
            <w:r>
              <w:rPr>
                <w:sz w:val="19"/>
                <w:szCs w:val="19"/>
              </w:rPr>
              <w:t xml:space="preserve">Business requirements</w:t>
            </w:r>
          </w:p>
        </w:tc>
        <w:tc>
          <w:tcPr>
            <w:tcW w:type="dxa" w:w="1500"/>
            <w:tcMar>
              <w:top w:type="dxa" w:w="60"/>
              <w:left w:type="dxa" w:w="100"/>
              <w:bottom w:type="dxa" w:w="60"/>
              <w:right w:type="dxa" w:w="100"/>
            </w:tcMar>
          </w:tcPr>
          <w:p>
            <w:pPr>
              <w:spacing w:after="0" w:line="250"/>
            </w:pPr>
            <w:r>
              <w:rPr>
                <w:sz w:val="19"/>
                <w:szCs w:val="19"/>
              </w:rPr>
              <w:t xml:space="preserve">Yes</w:t>
            </w:r>
          </w:p>
        </w:tc>
        <w:tc>
          <w:tcPr>
            <w:tcW w:type="dxa" w:w="4026"/>
            <w:tcMar>
              <w:top w:type="dxa" w:w="60"/>
              <w:left w:type="dxa" w:w="100"/>
              <w:bottom w:type="dxa" w:w="60"/>
              <w:right w:type="dxa" w:w="100"/>
            </w:tcMar>
          </w:tcPr>
          <w:p>
            <w:pPr>
              <w:spacing w:after="0" w:line="250"/>
            </w:pPr>
            <w:r>
              <w:rPr>
                <w:sz w:val="19"/>
                <w:szCs w:val="19"/>
              </w:rPr>
              <w:t xml:space="preserve">Section 2</w:t>
            </w:r>
          </w:p>
        </w:tc>
      </w:tr>
      <w:tr>
        <w:tc>
          <w:tcPr>
            <w:tcW w:type="dxa" w:w="3500"/>
            <w:tcMar>
              <w:top w:type="dxa" w:w="60"/>
              <w:left w:type="dxa" w:w="100"/>
              <w:bottom w:type="dxa" w:w="60"/>
              <w:right w:type="dxa" w:w="100"/>
            </w:tcMar>
          </w:tcPr>
          <w:p>
            <w:pPr>
              <w:spacing w:after="0" w:line="250"/>
            </w:pPr>
            <w:r>
              <w:rPr>
                <w:sz w:val="19"/>
                <w:szCs w:val="19"/>
              </w:rPr>
              <w:t xml:space="preserve">Functional requirements</w:t>
            </w:r>
          </w:p>
        </w:tc>
        <w:tc>
          <w:tcPr>
            <w:tcW w:type="dxa" w:w="1500"/>
            <w:tcMar>
              <w:top w:type="dxa" w:w="60"/>
              <w:left w:type="dxa" w:w="100"/>
              <w:bottom w:type="dxa" w:w="60"/>
              <w:right w:type="dxa" w:w="100"/>
            </w:tcMar>
          </w:tcPr>
          <w:p>
            <w:pPr>
              <w:spacing w:after="0" w:line="250"/>
            </w:pPr>
            <w:r>
              <w:rPr>
                <w:sz w:val="19"/>
                <w:szCs w:val="19"/>
              </w:rPr>
              <w:t xml:space="preserve">Yes</w:t>
            </w:r>
          </w:p>
        </w:tc>
        <w:tc>
          <w:tcPr>
            <w:tcW w:type="dxa" w:w="4026"/>
            <w:tcMar>
              <w:top w:type="dxa" w:w="60"/>
              <w:left w:type="dxa" w:w="100"/>
              <w:bottom w:type="dxa" w:w="60"/>
              <w:right w:type="dxa" w:w="100"/>
            </w:tcMar>
          </w:tcPr>
          <w:p>
            <w:pPr>
              <w:spacing w:after="0" w:line="250"/>
            </w:pPr>
            <w:r>
              <w:rPr>
                <w:sz w:val="19"/>
                <w:szCs w:val="19"/>
              </w:rPr>
              <w:t xml:space="preserve">Section 5</w:t>
            </w:r>
          </w:p>
        </w:tc>
      </w:tr>
      <w:tr>
        <w:tc>
          <w:tcPr>
            <w:tcW w:type="dxa" w:w="3500"/>
            <w:tcMar>
              <w:top w:type="dxa" w:w="60"/>
              <w:left w:type="dxa" w:w="100"/>
              <w:bottom w:type="dxa" w:w="60"/>
              <w:right w:type="dxa" w:w="100"/>
            </w:tcMar>
          </w:tcPr>
          <w:p>
            <w:pPr>
              <w:spacing w:after="0" w:line="250"/>
            </w:pPr>
            <w:r>
              <w:rPr>
                <w:sz w:val="19"/>
                <w:szCs w:val="19"/>
              </w:rPr>
              <w:t xml:space="preserve">Non-functional requirements</w:t>
            </w:r>
          </w:p>
        </w:tc>
        <w:tc>
          <w:tcPr>
            <w:tcW w:type="dxa" w:w="1500"/>
            <w:tcMar>
              <w:top w:type="dxa" w:w="60"/>
              <w:left w:type="dxa" w:w="100"/>
              <w:bottom w:type="dxa" w:w="60"/>
              <w:right w:type="dxa" w:w="100"/>
            </w:tcMar>
          </w:tcPr>
          <w:p>
            <w:pPr>
              <w:spacing w:after="0" w:line="250"/>
            </w:pPr>
            <w:r>
              <w:rPr>
                <w:sz w:val="19"/>
                <w:szCs w:val="19"/>
              </w:rPr>
              <w:t xml:space="preserve">Yes</w:t>
            </w:r>
          </w:p>
        </w:tc>
        <w:tc>
          <w:tcPr>
            <w:tcW w:type="dxa" w:w="4026"/>
            <w:tcMar>
              <w:top w:type="dxa" w:w="60"/>
              <w:left w:type="dxa" w:w="100"/>
              <w:bottom w:type="dxa" w:w="60"/>
              <w:right w:type="dxa" w:w="100"/>
            </w:tcMar>
          </w:tcPr>
          <w:p>
            <w:pPr>
              <w:spacing w:after="0" w:line="250"/>
            </w:pPr>
            <w:r>
              <w:rPr>
                <w:sz w:val="19"/>
                <w:szCs w:val="19"/>
              </w:rPr>
              <w:t xml:space="preserve">Section 14</w:t>
            </w:r>
          </w:p>
        </w:tc>
      </w:tr>
      <w:tr>
        <w:tc>
          <w:tcPr>
            <w:tcW w:type="dxa" w:w="3500"/>
            <w:tcMar>
              <w:top w:type="dxa" w:w="60"/>
              <w:left w:type="dxa" w:w="100"/>
              <w:bottom w:type="dxa" w:w="60"/>
              <w:right w:type="dxa" w:w="100"/>
            </w:tcMar>
          </w:tcPr>
          <w:p>
            <w:pPr>
              <w:spacing w:after="0" w:line="250"/>
            </w:pPr>
            <w:r>
              <w:rPr>
                <w:sz w:val="19"/>
                <w:szCs w:val="19"/>
              </w:rPr>
              <w:t xml:space="preserve">Solution architecture and design decisions</w:t>
            </w:r>
          </w:p>
        </w:tc>
        <w:tc>
          <w:tcPr>
            <w:tcW w:type="dxa" w:w="1500"/>
            <w:tcMar>
              <w:top w:type="dxa" w:w="60"/>
              <w:left w:type="dxa" w:w="100"/>
              <w:bottom w:type="dxa" w:w="60"/>
              <w:right w:type="dxa" w:w="100"/>
            </w:tcMar>
          </w:tcPr>
          <w:p>
            <w:pPr>
              <w:spacing w:after="0" w:line="250"/>
            </w:pPr>
            <w:r>
              <w:rPr>
                <w:sz w:val="19"/>
                <w:szCs w:val="19"/>
              </w:rPr>
              <w:t xml:space="preserve">Yes</w:t>
            </w:r>
          </w:p>
        </w:tc>
        <w:tc>
          <w:tcPr>
            <w:tcW w:type="dxa" w:w="4026"/>
            <w:tcMar>
              <w:top w:type="dxa" w:w="60"/>
              <w:left w:type="dxa" w:w="100"/>
              <w:bottom w:type="dxa" w:w="60"/>
              <w:right w:type="dxa" w:w="100"/>
            </w:tcMar>
          </w:tcPr>
          <w:p>
            <w:pPr>
              <w:spacing w:after="0" w:line="250"/>
            </w:pPr>
            <w:r>
              <w:rPr>
                <w:sz w:val="19"/>
                <w:szCs w:val="19"/>
              </w:rPr>
              <w:t xml:space="preserve">Section 3</w:t>
            </w:r>
          </w:p>
        </w:tc>
      </w:tr>
      <w:tr>
        <w:tc>
          <w:tcPr>
            <w:tcW w:type="dxa" w:w="3500"/>
            <w:tcMar>
              <w:top w:type="dxa" w:w="60"/>
              <w:left w:type="dxa" w:w="100"/>
              <w:bottom w:type="dxa" w:w="60"/>
              <w:right w:type="dxa" w:w="100"/>
            </w:tcMar>
          </w:tcPr>
          <w:p>
            <w:pPr>
              <w:spacing w:after="0" w:line="250"/>
            </w:pPr>
            <w:r>
              <w:rPr>
                <w:sz w:val="19"/>
                <w:szCs w:val="19"/>
              </w:rPr>
              <w:t xml:space="preserve">Detailed interface design (LLD)</w:t>
            </w:r>
          </w:p>
        </w:tc>
        <w:tc>
          <w:tcPr>
            <w:tcW w:type="dxa" w:w="1500"/>
            <w:tcMar>
              <w:top w:type="dxa" w:w="60"/>
              <w:left w:type="dxa" w:w="100"/>
              <w:bottom w:type="dxa" w:w="60"/>
              <w:right w:type="dxa" w:w="100"/>
            </w:tcMar>
          </w:tcPr>
          <w:p>
            <w:pPr>
              <w:spacing w:after="0" w:line="250"/>
            </w:pPr>
            <w:r>
              <w:rPr>
                <w:sz w:val="19"/>
                <w:szCs w:val="19"/>
              </w:rPr>
              <w:t xml:space="preserve">Yes</w:t>
            </w:r>
          </w:p>
        </w:tc>
        <w:tc>
          <w:tcPr>
            <w:tcW w:type="dxa" w:w="4026"/>
            <w:tcMar>
              <w:top w:type="dxa" w:w="60"/>
              <w:left w:type="dxa" w:w="100"/>
              <w:bottom w:type="dxa" w:w="60"/>
              <w:right w:type="dxa" w:w="100"/>
            </w:tcMar>
          </w:tcPr>
          <w:p>
            <w:pPr>
              <w:spacing w:after="0" w:line="250"/>
            </w:pPr>
            <w:r>
              <w:rPr>
                <w:sz w:val="19"/>
                <w:szCs w:val="19"/>
              </w:rPr>
              <w:t xml:space="preserve">Sections 6–12, Appendix A</w:t>
            </w:r>
          </w:p>
        </w:tc>
      </w:tr>
      <w:tr>
        <w:tc>
          <w:tcPr>
            <w:tcW w:type="dxa" w:w="3500"/>
            <w:tcMar>
              <w:top w:type="dxa" w:w="60"/>
              <w:left w:type="dxa" w:w="100"/>
              <w:bottom w:type="dxa" w:w="60"/>
              <w:right w:type="dxa" w:w="100"/>
            </w:tcMar>
          </w:tcPr>
          <w:p>
            <w:pPr>
              <w:spacing w:after="0" w:line="250"/>
            </w:pPr>
            <w:r>
              <w:rPr>
                <w:sz w:val="19"/>
                <w:szCs w:val="19"/>
              </w:rPr>
              <w:t xml:space="preserve">Component / script design</w:t>
            </w:r>
          </w:p>
        </w:tc>
        <w:tc>
          <w:tcPr>
            <w:tcW w:type="dxa" w:w="1500"/>
            <w:tcMar>
              <w:top w:type="dxa" w:w="60"/>
              <w:left w:type="dxa" w:w="100"/>
              <w:bottom w:type="dxa" w:w="60"/>
              <w:right w:type="dxa" w:w="100"/>
            </w:tcMar>
          </w:tcPr>
          <w:p>
            <w:pPr>
              <w:spacing w:after="0" w:line="250"/>
            </w:pPr>
            <w:r>
              <w:rPr>
                <w:sz w:val="19"/>
                <w:szCs w:val="19"/>
              </w:rPr>
              <w:t xml:space="preserve">Yes</w:t>
            </w:r>
          </w:p>
        </w:tc>
        <w:tc>
          <w:tcPr>
            <w:tcW w:type="dxa" w:w="4026"/>
            <w:tcMar>
              <w:top w:type="dxa" w:w="60"/>
              <w:left w:type="dxa" w:w="100"/>
              <w:bottom w:type="dxa" w:w="60"/>
              <w:right w:type="dxa" w:w="100"/>
            </w:tcMar>
          </w:tcPr>
          <w:p>
            <w:pPr>
              <w:spacing w:after="0" w:line="250"/>
            </w:pPr>
            <w:r>
              <w:rPr>
                <w:sz w:val="19"/>
                <w:szCs w:val="19"/>
              </w:rPr>
              <w:t xml:space="preserve">Section 11</w:t>
            </w:r>
          </w:p>
        </w:tc>
      </w:tr>
      <w:tr>
        <w:tc>
          <w:tcPr>
            <w:tcW w:type="dxa" w:w="3500"/>
            <w:tcMar>
              <w:top w:type="dxa" w:w="60"/>
              <w:left w:type="dxa" w:w="100"/>
              <w:bottom w:type="dxa" w:w="60"/>
              <w:right w:type="dxa" w:w="100"/>
            </w:tcMar>
          </w:tcPr>
          <w:p>
            <w:pPr>
              <w:spacing w:after="0" w:line="250"/>
            </w:pPr>
            <w:r>
              <w:rPr>
                <w:sz w:val="19"/>
                <w:szCs w:val="19"/>
              </w:rPr>
              <w:t xml:space="preserve">Error handling and recovery design</w:t>
            </w:r>
          </w:p>
        </w:tc>
        <w:tc>
          <w:tcPr>
            <w:tcW w:type="dxa" w:w="1500"/>
            <w:tcMar>
              <w:top w:type="dxa" w:w="60"/>
              <w:left w:type="dxa" w:w="100"/>
              <w:bottom w:type="dxa" w:w="60"/>
              <w:right w:type="dxa" w:w="100"/>
            </w:tcMar>
          </w:tcPr>
          <w:p>
            <w:pPr>
              <w:spacing w:after="0" w:line="250"/>
            </w:pPr>
            <w:r>
              <w:rPr>
                <w:sz w:val="19"/>
                <w:szCs w:val="19"/>
              </w:rPr>
              <w:t xml:space="preserve">Yes</w:t>
            </w:r>
          </w:p>
        </w:tc>
        <w:tc>
          <w:tcPr>
            <w:tcW w:type="dxa" w:w="4026"/>
            <w:tcMar>
              <w:top w:type="dxa" w:w="60"/>
              <w:left w:type="dxa" w:w="100"/>
              <w:bottom w:type="dxa" w:w="60"/>
              <w:right w:type="dxa" w:w="100"/>
            </w:tcMar>
          </w:tcPr>
          <w:p>
            <w:pPr>
              <w:spacing w:after="0" w:line="250"/>
            </w:pPr>
            <w:r>
              <w:rPr>
                <w:sz w:val="19"/>
                <w:szCs w:val="19"/>
              </w:rPr>
              <w:t xml:space="preserve">Section 12</w:t>
            </w:r>
          </w:p>
        </w:tc>
      </w:tr>
      <w:tr>
        <w:tc>
          <w:tcPr>
            <w:tcW w:type="dxa" w:w="3500"/>
            <w:tcMar>
              <w:top w:type="dxa" w:w="60"/>
              <w:left w:type="dxa" w:w="100"/>
              <w:bottom w:type="dxa" w:w="60"/>
              <w:right w:type="dxa" w:w="100"/>
            </w:tcMar>
          </w:tcPr>
          <w:p>
            <w:pPr>
              <w:spacing w:after="0" w:line="250"/>
            </w:pPr>
            <w:r>
              <w:rPr>
                <w:sz w:val="19"/>
                <w:szCs w:val="19"/>
              </w:rPr>
              <w:t xml:space="preserve">Test cases and acceptance criteria</w:t>
            </w:r>
          </w:p>
        </w:tc>
        <w:tc>
          <w:tcPr>
            <w:tcW w:type="dxa" w:w="1500"/>
            <w:tcMar>
              <w:top w:type="dxa" w:w="60"/>
              <w:left w:type="dxa" w:w="100"/>
              <w:bottom w:type="dxa" w:w="60"/>
              <w:right w:type="dxa" w:w="100"/>
            </w:tcMar>
          </w:tcPr>
          <w:p>
            <w:pPr>
              <w:spacing w:after="0" w:line="250"/>
            </w:pPr>
            <w:r>
              <w:rPr>
                <w:sz w:val="19"/>
                <w:szCs w:val="19"/>
              </w:rPr>
              <w:t xml:space="preserve">Yes</w:t>
            </w:r>
          </w:p>
        </w:tc>
        <w:tc>
          <w:tcPr>
            <w:tcW w:type="dxa" w:w="4026"/>
            <w:tcMar>
              <w:top w:type="dxa" w:w="60"/>
              <w:left w:type="dxa" w:w="100"/>
              <w:bottom w:type="dxa" w:w="60"/>
              <w:right w:type="dxa" w:w="100"/>
            </w:tcMar>
          </w:tcPr>
          <w:p>
            <w:pPr>
              <w:spacing w:after="0" w:line="250"/>
            </w:pPr>
            <w:r>
              <w:rPr>
                <w:sz w:val="19"/>
                <w:szCs w:val="19"/>
              </w:rPr>
              <w:t xml:space="preserve">Section 16</w:t>
            </w:r>
          </w:p>
        </w:tc>
      </w:tr>
      <w:tr>
        <w:tc>
          <w:tcPr>
            <w:tcW w:type="dxa" w:w="3500"/>
            <w:tcMar>
              <w:top w:type="dxa" w:w="60"/>
              <w:left w:type="dxa" w:w="100"/>
              <w:bottom w:type="dxa" w:w="60"/>
              <w:right w:type="dxa" w:w="100"/>
            </w:tcMar>
          </w:tcPr>
          <w:p>
            <w:pPr>
              <w:spacing w:after="0" w:line="250"/>
            </w:pPr>
            <w:r>
              <w:rPr>
                <w:sz w:val="19"/>
                <w:szCs w:val="19"/>
              </w:rPr>
              <w:t xml:space="preserve">Deployment and operations</w:t>
            </w:r>
          </w:p>
        </w:tc>
        <w:tc>
          <w:tcPr>
            <w:tcW w:type="dxa" w:w="1500"/>
            <w:tcMar>
              <w:top w:type="dxa" w:w="60"/>
              <w:left w:type="dxa" w:w="100"/>
              <w:bottom w:type="dxa" w:w="60"/>
              <w:right w:type="dxa" w:w="100"/>
            </w:tcMar>
          </w:tcPr>
          <w:p>
            <w:pPr>
              <w:spacing w:after="0" w:line="250"/>
            </w:pPr>
            <w:r>
              <w:rPr>
                <w:sz w:val="19"/>
                <w:szCs w:val="19"/>
              </w:rPr>
              <w:t xml:space="preserve">Yes</w:t>
            </w:r>
          </w:p>
        </w:tc>
        <w:tc>
          <w:tcPr>
            <w:tcW w:type="dxa" w:w="4026"/>
            <w:tcMar>
              <w:top w:type="dxa" w:w="60"/>
              <w:left w:type="dxa" w:w="100"/>
              <w:bottom w:type="dxa" w:w="60"/>
              <w:right w:type="dxa" w:w="100"/>
            </w:tcMar>
          </w:tcPr>
          <w:p>
            <w:pPr>
              <w:spacing w:after="0" w:line="250"/>
            </w:pPr>
            <w:r>
              <w:rPr>
                <w:sz w:val="19"/>
                <w:szCs w:val="19"/>
              </w:rPr>
              <w:t xml:space="preserve">Sections 15, 17</w:t>
            </w:r>
          </w:p>
        </w:tc>
      </w:tr>
      <w:tr>
        <w:tc>
          <w:tcPr>
            <w:tcW w:type="dxa" w:w="3500"/>
            <w:tcMar>
              <w:top w:type="dxa" w:w="60"/>
              <w:left w:type="dxa" w:w="100"/>
              <w:bottom w:type="dxa" w:w="60"/>
              <w:right w:type="dxa" w:w="100"/>
            </w:tcMar>
          </w:tcPr>
          <w:p>
            <w:pPr>
              <w:spacing w:after="0" w:line="250"/>
            </w:pPr>
            <w:r>
              <w:rPr>
                <w:sz w:val="19"/>
                <w:szCs w:val="19"/>
              </w:rPr>
              <w:t xml:space="preserve">Programme integration strategy and principles</w:t>
            </w:r>
          </w:p>
        </w:tc>
        <w:tc>
          <w:tcPr>
            <w:tcW w:type="dxa" w:w="1500"/>
            <w:tcMar>
              <w:top w:type="dxa" w:w="60"/>
              <w:left w:type="dxa" w:w="100"/>
              <w:bottom w:type="dxa" w:w="60"/>
              <w:right w:type="dxa" w:w="100"/>
            </w:tcMar>
          </w:tcPr>
          <w:p>
            <w:pPr>
              <w:spacing w:after="0" w:line="250"/>
            </w:pPr>
            <w:r>
              <w:rPr>
                <w:sz w:val="19"/>
                <w:szCs w:val="19"/>
              </w:rPr>
              <w:t xml:space="preserve">No</w:t>
            </w:r>
          </w:p>
        </w:tc>
        <w:tc>
          <w:tcPr>
            <w:tcW w:type="dxa" w:w="4026"/>
            <w:tcMar>
              <w:top w:type="dxa" w:w="60"/>
              <w:left w:type="dxa" w:w="100"/>
              <w:bottom w:type="dxa" w:w="60"/>
              <w:right w:type="dxa" w:w="100"/>
            </w:tcMar>
          </w:tcPr>
          <w:p>
            <w:pPr>
              <w:spacing w:after="0" w:line="250"/>
            </w:pPr>
            <w:r>
              <w:rPr>
                <w:sz w:val="19"/>
                <w:szCs w:val="19"/>
              </w:rPr>
              <w:t xml:space="preserve">Project Apollo — Integration Strategy</w:t>
            </w:r>
          </w:p>
        </w:tc>
      </w:tr>
      <w:tr>
        <w:tc>
          <w:tcPr>
            <w:tcW w:type="dxa" w:w="3500"/>
            <w:tcMar>
              <w:top w:type="dxa" w:w="60"/>
              <w:left w:type="dxa" w:w="100"/>
              <w:bottom w:type="dxa" w:w="60"/>
              <w:right w:type="dxa" w:w="100"/>
            </w:tcMar>
          </w:tcPr>
          <w:p>
            <w:pPr>
              <w:spacing w:after="0" w:line="250"/>
            </w:pPr>
            <w:r>
              <w:rPr>
                <w:sz w:val="19"/>
                <w:szCs w:val="19"/>
              </w:rPr>
              <w:t xml:space="preserve">Infrastructure, landscape and sizing design</w:t>
            </w:r>
          </w:p>
        </w:tc>
        <w:tc>
          <w:tcPr>
            <w:tcW w:type="dxa" w:w="1500"/>
            <w:tcMar>
              <w:top w:type="dxa" w:w="60"/>
              <w:left w:type="dxa" w:w="100"/>
              <w:bottom w:type="dxa" w:w="60"/>
              <w:right w:type="dxa" w:w="100"/>
            </w:tcMar>
          </w:tcPr>
          <w:p>
            <w:pPr>
              <w:spacing w:after="0" w:line="250"/>
            </w:pPr>
            <w:r>
              <w:rPr>
                <w:sz w:val="19"/>
                <w:szCs w:val="19"/>
              </w:rPr>
              <w:t xml:space="preserve">No</w:t>
            </w:r>
          </w:p>
        </w:tc>
        <w:tc>
          <w:tcPr>
            <w:tcW w:type="dxa" w:w="4026"/>
            <w:tcMar>
              <w:top w:type="dxa" w:w="60"/>
              <w:left w:type="dxa" w:w="100"/>
              <w:bottom w:type="dxa" w:w="60"/>
              <w:right w:type="dxa" w:w="100"/>
            </w:tcMar>
          </w:tcPr>
          <w:p>
            <w:pPr>
              <w:spacing w:after="0" w:line="250"/>
            </w:pPr>
            <w:r>
              <w:rPr>
                <w:sz w:val="19"/>
                <w:szCs w:val="19"/>
              </w:rPr>
              <w:t xml:space="preserve">Separate infrastructure design</w:t>
            </w:r>
          </w:p>
        </w:tc>
      </w:tr>
      <w:tr>
        <w:tc>
          <w:tcPr>
            <w:tcW w:type="dxa" w:w="3500"/>
            <w:tcMar>
              <w:top w:type="dxa" w:w="60"/>
              <w:left w:type="dxa" w:w="100"/>
              <w:bottom w:type="dxa" w:w="60"/>
              <w:right w:type="dxa" w:w="100"/>
            </w:tcMar>
          </w:tcPr>
          <w:p>
            <w:pPr>
              <w:spacing w:after="0" w:line="250"/>
            </w:pPr>
            <w:r>
              <w:rPr>
                <w:sz w:val="19"/>
                <w:szCs w:val="19"/>
              </w:rPr>
              <w:t xml:space="preserve">Splunk-side index, dashboard and alert design</w:t>
            </w:r>
          </w:p>
        </w:tc>
        <w:tc>
          <w:tcPr>
            <w:tcW w:type="dxa" w:w="1500"/>
            <w:tcMar>
              <w:top w:type="dxa" w:w="60"/>
              <w:left w:type="dxa" w:w="100"/>
              <w:bottom w:type="dxa" w:w="60"/>
              <w:right w:type="dxa" w:w="100"/>
            </w:tcMar>
          </w:tcPr>
          <w:p>
            <w:pPr>
              <w:spacing w:after="0" w:line="250"/>
            </w:pPr>
            <w:r>
              <w:rPr>
                <w:sz w:val="19"/>
                <w:szCs w:val="19"/>
              </w:rPr>
              <w:t xml:space="preserve">No</w:t>
            </w:r>
          </w:p>
        </w:tc>
        <w:tc>
          <w:tcPr>
            <w:tcW w:type="dxa" w:w="4026"/>
            <w:tcMar>
              <w:top w:type="dxa" w:w="60"/>
              <w:left w:type="dxa" w:w="100"/>
              <w:bottom w:type="dxa" w:w="60"/>
              <w:right w:type="dxa" w:w="100"/>
            </w:tcMar>
          </w:tcPr>
          <w:p>
            <w:pPr>
              <w:spacing w:after="0" w:line="250"/>
            </w:pPr>
            <w:r>
              <w:rPr>
                <w:sz w:val="19"/>
                <w:szCs w:val="19"/>
              </w:rPr>
              <w:t xml:space="preserve">Splunk / SIEM work package</w:t>
            </w:r>
          </w:p>
        </w:tc>
      </w:tr>
    </w:tbl>
    <w:p>
      <w:r>
        <w:br w:type="page"/>
      </w:r>
    </w:p>
    <w:p>
      <w:pPr>
        <w:pStyle w:val="Heading1"/>
        <w:spacing w:after="140" w:before="320"/>
      </w:pPr>
      <w:r>
        <w:t xml:space="preserve">2. Business Requirements</w:t>
      </w:r>
    </w:p>
    <w:p>
      <w:pPr>
        <w:spacing w:after="120" w:line="276"/>
      </w:pPr>
      <w:r>
        <w:rPr>
          <w:sz w:val="21"/>
          <w:szCs w:val="21"/>
        </w:rPr>
        <w:t xml:space="preserve">Security-relevant activity in S/4HANA Cloud must be visible in the enterprise SIEM so that authentication events, privileged actions, personal-data access and identity changes can be monitored, correlated with other sources, and retained for audit.</w:t>
      </w:r>
    </w:p>
    <w:tbl>
      <w:tblPr>
        <w:tblW w:type="dxa" w:w="9026"/>
        <w:tblBorders>
          <w:top w:val="single" w:color="8EA9DB" w:sz="4"/>
          <w:left w:val="single" w:color="8EA9DB" w:sz="4"/>
          <w:bottom w:val="single" w:color="8EA9DB" w:sz="4"/>
          <w:right w:val="single" w:color="8EA9DB" w:sz="4"/>
          <w:insideH w:val="single" w:color="B4C6E7" w:sz="3"/>
          <w:insideV w:val="single" w:color="B4C6E7" w:sz="3"/>
        </w:tblBorders>
      </w:tblPr>
      <w:tblGrid>
        <w:gridCol w:w="1100"/>
        <w:gridCol w:w="6426"/>
        <w:gridCol w:w="1500"/>
      </w:tblGrid>
      <w:tr>
        <w:trPr>
          <w:tblHeader/>
        </w:trPr>
        <w:tc>
          <w:tcPr>
            <w:tcW w:type="dxa" w:w="1100"/>
            <w:shd w:fill="D9E2F3" w:color="auto" w:val="clear"/>
            <w:tcMar>
              <w:top w:type="dxa" w:w="60"/>
              <w:left w:type="dxa" w:w="100"/>
              <w:bottom w:type="dxa" w:w="60"/>
              <w:right w:type="dxa" w:w="100"/>
            </w:tcMar>
          </w:tcPr>
          <w:p>
            <w:pPr>
              <w:spacing w:after="0" w:line="250"/>
            </w:pPr>
            <w:r>
              <w:rPr>
                <w:b/>
                <w:bCs/>
                <w:sz w:val="19"/>
                <w:szCs w:val="19"/>
              </w:rPr>
              <w:t xml:space="preserve">ID</w:t>
            </w:r>
          </w:p>
        </w:tc>
        <w:tc>
          <w:tcPr>
            <w:tcW w:type="dxa" w:w="6426"/>
            <w:shd w:fill="D9E2F3" w:color="auto" w:val="clear"/>
            <w:tcMar>
              <w:top w:type="dxa" w:w="60"/>
              <w:left w:type="dxa" w:w="100"/>
              <w:bottom w:type="dxa" w:w="60"/>
              <w:right w:type="dxa" w:w="100"/>
            </w:tcMar>
          </w:tcPr>
          <w:p>
            <w:pPr>
              <w:spacing w:after="0" w:line="250"/>
            </w:pPr>
            <w:r>
              <w:rPr>
                <w:b/>
                <w:bCs/>
                <w:sz w:val="19"/>
                <w:szCs w:val="19"/>
              </w:rPr>
              <w:t xml:space="preserve">Business requirement</w:t>
            </w:r>
          </w:p>
        </w:tc>
        <w:tc>
          <w:tcPr>
            <w:tcW w:type="dxa" w:w="1500"/>
            <w:shd w:fill="D9E2F3" w:color="auto" w:val="clear"/>
            <w:tcMar>
              <w:top w:type="dxa" w:w="60"/>
              <w:left w:type="dxa" w:w="100"/>
              <w:bottom w:type="dxa" w:w="60"/>
              <w:right w:type="dxa" w:w="100"/>
            </w:tcMar>
          </w:tcPr>
          <w:p>
            <w:pPr>
              <w:spacing w:after="0" w:line="250"/>
            </w:pPr>
            <w:r>
              <w:rPr>
                <w:b/>
                <w:bCs/>
                <w:sz w:val="19"/>
                <w:szCs w:val="19"/>
              </w:rPr>
              <w:t xml:space="preserve">Priority</w:t>
            </w:r>
          </w:p>
        </w:tc>
      </w:tr>
      <w:tr>
        <w:tc>
          <w:tcPr>
            <w:tcW w:type="dxa" w:w="1100"/>
            <w:tcMar>
              <w:top w:type="dxa" w:w="60"/>
              <w:left w:type="dxa" w:w="100"/>
              <w:bottom w:type="dxa" w:w="60"/>
              <w:right w:type="dxa" w:w="100"/>
            </w:tcMar>
          </w:tcPr>
          <w:p>
            <w:pPr>
              <w:spacing w:after="0" w:line="250"/>
            </w:pPr>
            <w:r>
              <w:rPr>
                <w:sz w:val="19"/>
                <w:szCs w:val="19"/>
              </w:rPr>
              <w:t xml:space="preserve">BR-01</w:t>
            </w:r>
          </w:p>
        </w:tc>
        <w:tc>
          <w:tcPr>
            <w:tcW w:type="dxa" w:w="6426"/>
            <w:tcMar>
              <w:top w:type="dxa" w:w="60"/>
              <w:left w:type="dxa" w:w="100"/>
              <w:bottom w:type="dxa" w:w="60"/>
              <w:right w:type="dxa" w:w="100"/>
            </w:tcMar>
          </w:tcPr>
          <w:p>
            <w:pPr>
              <w:spacing w:after="0" w:line="250"/>
            </w:pPr>
            <w:r>
              <w:rPr>
                <w:sz w:val="19"/>
                <w:szCs w:val="19"/>
              </w:rPr>
              <w:t xml:space="preserve">All four S/4HANA Cloud security log types are delivered to Splunk on a near-real-time cadence</w:t>
            </w:r>
          </w:p>
        </w:tc>
        <w:tc>
          <w:tcPr>
            <w:tcW w:type="dxa" w:w="1500"/>
            <w:tcMar>
              <w:top w:type="dxa" w:w="60"/>
              <w:left w:type="dxa" w:w="100"/>
              <w:bottom w:type="dxa" w:w="60"/>
              <w:right w:type="dxa" w:w="100"/>
            </w:tcMar>
          </w:tcPr>
          <w:p>
            <w:pPr>
              <w:spacing w:after="0" w:line="250"/>
            </w:pPr>
            <w:r>
              <w:rPr>
                <w:sz w:val="19"/>
                <w:szCs w:val="19"/>
              </w:rPr>
              <w:t xml:space="preserve">Must</w:t>
            </w:r>
          </w:p>
        </w:tc>
      </w:tr>
      <w:tr>
        <w:tc>
          <w:tcPr>
            <w:tcW w:type="dxa" w:w="1100"/>
            <w:tcMar>
              <w:top w:type="dxa" w:w="60"/>
              <w:left w:type="dxa" w:w="100"/>
              <w:bottom w:type="dxa" w:w="60"/>
              <w:right w:type="dxa" w:w="100"/>
            </w:tcMar>
          </w:tcPr>
          <w:p>
            <w:pPr>
              <w:spacing w:after="0" w:line="250"/>
            </w:pPr>
            <w:r>
              <w:rPr>
                <w:sz w:val="19"/>
                <w:szCs w:val="19"/>
              </w:rPr>
              <w:t xml:space="preserve">BR-02</w:t>
            </w:r>
          </w:p>
        </w:tc>
        <w:tc>
          <w:tcPr>
            <w:tcW w:type="dxa" w:w="6426"/>
            <w:tcMar>
              <w:top w:type="dxa" w:w="60"/>
              <w:left w:type="dxa" w:w="100"/>
              <w:bottom w:type="dxa" w:w="60"/>
              <w:right w:type="dxa" w:w="100"/>
            </w:tcMar>
          </w:tcPr>
          <w:p>
            <w:pPr>
              <w:spacing w:after="0" w:line="250"/>
            </w:pPr>
            <w:r>
              <w:rPr>
                <w:sz w:val="19"/>
                <w:szCs w:val="19"/>
              </w:rPr>
              <w:t xml:space="preserve">No security event is silently lost between extraction runs</w:t>
            </w:r>
          </w:p>
        </w:tc>
        <w:tc>
          <w:tcPr>
            <w:tcW w:type="dxa" w:w="1500"/>
            <w:tcMar>
              <w:top w:type="dxa" w:w="60"/>
              <w:left w:type="dxa" w:w="100"/>
              <w:bottom w:type="dxa" w:w="60"/>
              <w:right w:type="dxa" w:w="100"/>
            </w:tcMar>
          </w:tcPr>
          <w:p>
            <w:pPr>
              <w:spacing w:after="0" w:line="250"/>
            </w:pPr>
            <w:r>
              <w:rPr>
                <w:sz w:val="19"/>
                <w:szCs w:val="19"/>
              </w:rPr>
              <w:t xml:space="preserve">Must</w:t>
            </w:r>
          </w:p>
        </w:tc>
      </w:tr>
      <w:tr>
        <w:tc>
          <w:tcPr>
            <w:tcW w:type="dxa" w:w="1100"/>
            <w:tcMar>
              <w:top w:type="dxa" w:w="60"/>
              <w:left w:type="dxa" w:w="100"/>
              <w:bottom w:type="dxa" w:w="60"/>
              <w:right w:type="dxa" w:w="100"/>
            </w:tcMar>
          </w:tcPr>
          <w:p>
            <w:pPr>
              <w:spacing w:after="0" w:line="250"/>
            </w:pPr>
            <w:r>
              <w:rPr>
                <w:sz w:val="19"/>
                <w:szCs w:val="19"/>
              </w:rPr>
              <w:t xml:space="preserve">BR-03</w:t>
            </w:r>
          </w:p>
        </w:tc>
        <w:tc>
          <w:tcPr>
            <w:tcW w:type="dxa" w:w="6426"/>
            <w:tcMar>
              <w:top w:type="dxa" w:w="60"/>
              <w:left w:type="dxa" w:w="100"/>
              <w:bottom w:type="dxa" w:w="60"/>
              <w:right w:type="dxa" w:w="100"/>
            </w:tcMar>
          </w:tcPr>
          <w:p>
            <w:pPr>
              <w:spacing w:after="0" w:line="250"/>
            </w:pPr>
            <w:r>
              <w:rPr>
                <w:sz w:val="19"/>
                <w:szCs w:val="19"/>
              </w:rPr>
              <w:t xml:space="preserve">Events carry their original event timestamp, not the ingestion time</w:t>
            </w:r>
          </w:p>
        </w:tc>
        <w:tc>
          <w:tcPr>
            <w:tcW w:type="dxa" w:w="1500"/>
            <w:tcMar>
              <w:top w:type="dxa" w:w="60"/>
              <w:left w:type="dxa" w:w="100"/>
              <w:bottom w:type="dxa" w:w="60"/>
              <w:right w:type="dxa" w:w="100"/>
            </w:tcMar>
          </w:tcPr>
          <w:p>
            <w:pPr>
              <w:spacing w:after="0" w:line="250"/>
            </w:pPr>
            <w:r>
              <w:rPr>
                <w:sz w:val="19"/>
                <w:szCs w:val="19"/>
              </w:rPr>
              <w:t xml:space="preserve">Must</w:t>
            </w:r>
          </w:p>
        </w:tc>
      </w:tr>
      <w:tr>
        <w:tc>
          <w:tcPr>
            <w:tcW w:type="dxa" w:w="1100"/>
            <w:tcMar>
              <w:top w:type="dxa" w:w="60"/>
              <w:left w:type="dxa" w:w="100"/>
              <w:bottom w:type="dxa" w:w="60"/>
              <w:right w:type="dxa" w:w="100"/>
            </w:tcMar>
          </w:tcPr>
          <w:p>
            <w:pPr>
              <w:spacing w:after="0" w:line="250"/>
            </w:pPr>
            <w:r>
              <w:rPr>
                <w:sz w:val="19"/>
                <w:szCs w:val="19"/>
              </w:rPr>
              <w:t xml:space="preserve">BR-04</w:t>
            </w:r>
          </w:p>
        </w:tc>
        <w:tc>
          <w:tcPr>
            <w:tcW w:type="dxa" w:w="6426"/>
            <w:tcMar>
              <w:top w:type="dxa" w:w="60"/>
              <w:left w:type="dxa" w:w="100"/>
              <w:bottom w:type="dxa" w:w="60"/>
              <w:right w:type="dxa" w:w="100"/>
            </w:tcMar>
          </w:tcPr>
          <w:p>
            <w:pPr>
              <w:spacing w:after="0" w:line="250"/>
            </w:pPr>
            <w:r>
              <w:rPr>
                <w:sz w:val="19"/>
                <w:szCs w:val="19"/>
              </w:rPr>
              <w:t xml:space="preserve">Duplicate events can be identified and removed on the Splunk side</w:t>
            </w:r>
          </w:p>
        </w:tc>
        <w:tc>
          <w:tcPr>
            <w:tcW w:type="dxa" w:w="1500"/>
            <w:tcMar>
              <w:top w:type="dxa" w:w="60"/>
              <w:left w:type="dxa" w:w="100"/>
              <w:bottom w:type="dxa" w:w="60"/>
              <w:right w:type="dxa" w:w="100"/>
            </w:tcMar>
          </w:tcPr>
          <w:p>
            <w:pPr>
              <w:spacing w:after="0" w:line="250"/>
            </w:pPr>
            <w:r>
              <w:rPr>
                <w:sz w:val="19"/>
                <w:szCs w:val="19"/>
              </w:rPr>
              <w:t xml:space="preserve">Must</w:t>
            </w:r>
          </w:p>
        </w:tc>
      </w:tr>
      <w:tr>
        <w:tc>
          <w:tcPr>
            <w:tcW w:type="dxa" w:w="1100"/>
            <w:tcMar>
              <w:top w:type="dxa" w:w="60"/>
              <w:left w:type="dxa" w:w="100"/>
              <w:bottom w:type="dxa" w:w="60"/>
              <w:right w:type="dxa" w:w="100"/>
            </w:tcMar>
          </w:tcPr>
          <w:p>
            <w:pPr>
              <w:spacing w:after="0" w:line="250"/>
            </w:pPr>
            <w:r>
              <w:rPr>
                <w:sz w:val="19"/>
                <w:szCs w:val="19"/>
              </w:rPr>
              <w:t xml:space="preserve">BR-05</w:t>
            </w:r>
          </w:p>
        </w:tc>
        <w:tc>
          <w:tcPr>
            <w:tcW w:type="dxa" w:w="6426"/>
            <w:tcMar>
              <w:top w:type="dxa" w:w="60"/>
              <w:left w:type="dxa" w:w="100"/>
              <w:bottom w:type="dxa" w:w="60"/>
              <w:right w:type="dxa" w:w="100"/>
            </w:tcMar>
          </w:tcPr>
          <w:p>
            <w:pPr>
              <w:spacing w:after="0" w:line="250"/>
            </w:pPr>
            <w:r>
              <w:rPr>
                <w:sz w:val="19"/>
                <w:szCs w:val="19"/>
              </w:rPr>
              <w:t xml:space="preserve">An extraction outage does not require manual replay — the interface self-recovers</w:t>
            </w:r>
          </w:p>
        </w:tc>
        <w:tc>
          <w:tcPr>
            <w:tcW w:type="dxa" w:w="1500"/>
            <w:tcMar>
              <w:top w:type="dxa" w:w="60"/>
              <w:left w:type="dxa" w:w="100"/>
              <w:bottom w:type="dxa" w:w="60"/>
              <w:right w:type="dxa" w:w="100"/>
            </w:tcMar>
          </w:tcPr>
          <w:p>
            <w:pPr>
              <w:spacing w:after="0" w:line="250"/>
            </w:pPr>
            <w:r>
              <w:rPr>
                <w:sz w:val="19"/>
                <w:szCs w:val="19"/>
              </w:rPr>
              <w:t xml:space="preserve">Must</w:t>
            </w:r>
          </w:p>
        </w:tc>
      </w:tr>
      <w:tr>
        <w:tc>
          <w:tcPr>
            <w:tcW w:type="dxa" w:w="1100"/>
            <w:tcMar>
              <w:top w:type="dxa" w:w="60"/>
              <w:left w:type="dxa" w:w="100"/>
              <w:bottom w:type="dxa" w:w="60"/>
              <w:right w:type="dxa" w:w="100"/>
            </w:tcMar>
          </w:tcPr>
          <w:p>
            <w:pPr>
              <w:spacing w:after="0" w:line="250"/>
            </w:pPr>
            <w:r>
              <w:rPr>
                <w:sz w:val="19"/>
                <w:szCs w:val="19"/>
              </w:rPr>
              <w:t xml:space="preserve">BR-06</w:t>
            </w:r>
          </w:p>
        </w:tc>
        <w:tc>
          <w:tcPr>
            <w:tcW w:type="dxa" w:w="6426"/>
            <w:tcMar>
              <w:top w:type="dxa" w:w="60"/>
              <w:left w:type="dxa" w:w="100"/>
              <w:bottom w:type="dxa" w:w="60"/>
              <w:right w:type="dxa" w:w="100"/>
            </w:tcMar>
          </w:tcPr>
          <w:p>
            <w:pPr>
              <w:spacing w:after="0" w:line="250"/>
            </w:pPr>
            <w:r>
              <w:rPr>
                <w:sz w:val="19"/>
                <w:szCs w:val="19"/>
              </w:rPr>
              <w:t xml:space="preserve">Extraction failures are visible to operations</w:t>
            </w:r>
          </w:p>
        </w:tc>
        <w:tc>
          <w:tcPr>
            <w:tcW w:type="dxa" w:w="1500"/>
            <w:tcMar>
              <w:top w:type="dxa" w:w="60"/>
              <w:left w:type="dxa" w:w="100"/>
              <w:bottom w:type="dxa" w:w="60"/>
              <w:right w:type="dxa" w:w="100"/>
            </w:tcMar>
          </w:tcPr>
          <w:p>
            <w:pPr>
              <w:spacing w:after="0" w:line="250"/>
            </w:pPr>
            <w:r>
              <w:rPr>
                <w:sz w:val="19"/>
                <w:szCs w:val="19"/>
              </w:rPr>
              <w:t xml:space="preserve">Should</w:t>
            </w:r>
          </w:p>
        </w:tc>
      </w:tr>
      <w:tr>
        <w:tc>
          <w:tcPr>
            <w:tcW w:type="dxa" w:w="1100"/>
            <w:tcMar>
              <w:top w:type="dxa" w:w="60"/>
              <w:left w:type="dxa" w:w="100"/>
              <w:bottom w:type="dxa" w:w="60"/>
              <w:right w:type="dxa" w:w="100"/>
            </w:tcMar>
          </w:tcPr>
          <w:p>
            <w:pPr>
              <w:spacing w:after="0" w:line="250"/>
            </w:pPr>
            <w:r>
              <w:rPr>
                <w:sz w:val="19"/>
                <w:szCs w:val="19"/>
              </w:rPr>
              <w:t xml:space="preserve">BR-07</w:t>
            </w:r>
          </w:p>
        </w:tc>
        <w:tc>
          <w:tcPr>
            <w:tcW w:type="dxa" w:w="6426"/>
            <w:tcMar>
              <w:top w:type="dxa" w:w="60"/>
              <w:left w:type="dxa" w:w="100"/>
              <w:bottom w:type="dxa" w:w="60"/>
              <w:right w:type="dxa" w:w="100"/>
            </w:tcMar>
          </w:tcPr>
          <w:p>
            <w:pPr>
              <w:spacing w:after="0" w:line="250"/>
            </w:pPr>
            <w:r>
              <w:rPr>
                <w:sz w:val="19"/>
                <w:szCs w:val="19"/>
              </w:rPr>
              <w:t xml:space="preserve">The same design pattern is reused across all four log types for maintainability</w:t>
            </w:r>
          </w:p>
        </w:tc>
        <w:tc>
          <w:tcPr>
            <w:tcW w:type="dxa" w:w="1500"/>
            <w:tcMar>
              <w:top w:type="dxa" w:w="60"/>
              <w:left w:type="dxa" w:w="100"/>
              <w:bottom w:type="dxa" w:w="60"/>
              <w:right w:type="dxa" w:w="100"/>
            </w:tcMar>
          </w:tcPr>
          <w:p>
            <w:pPr>
              <w:spacing w:after="0" w:line="250"/>
            </w:pPr>
            <w:r>
              <w:rPr>
                <w:sz w:val="19"/>
                <w:szCs w:val="19"/>
              </w:rPr>
              <w:t xml:space="preserve">Should</w:t>
            </w:r>
          </w:p>
        </w:tc>
      </w:tr>
    </w:tbl>
    <w:p>
      <w:r>
        <w:br w:type="page"/>
      </w:r>
    </w:p>
    <w:p>
      <w:pPr>
        <w:pStyle w:val="Heading2"/>
        <w:spacing w:after="140" w:before="240"/>
      </w:pPr>
      <w:r>
        <w:t xml:space="preserve">2.1 Origin of the requirement</w:t>
      </w:r>
    </w:p>
    <w:p>
      <w:pPr>
        <w:spacing w:after="120" w:line="276"/>
      </w:pPr>
      <w:r>
        <w:rPr>
          <w:sz w:val="21"/>
          <w:szCs w:val="21"/>
        </w:rPr>
        <w:t xml:space="preserve">This requirement was raised by the Splunk / SIEM team during a requirements workshop for Project Apollo. The position put forward was that SAP S/4HANA Cloud is currently a monitoring blind spot: the platform records extensive security telemetry, but that telemetry stays inside SAP. It is visible only to SAP administrators through SAP-native tooling, it is not correlated with any other source, and nothing generates an alert from it. Security operations therefore has no automated visibility of authentication, privileged activity, personal-data access or identity change in one of the organisation's most business-critical systems.</w:t>
      </w:r>
    </w:p>
    <w:p>
      <w:pPr>
        <w:spacing w:after="120" w:line="276"/>
      </w:pPr>
      <w:r>
        <w:rPr>
          <w:sz w:val="21"/>
          <w:szCs w:val="21"/>
        </w:rPr>
        <w:t xml:space="preserve">The workshop concluded that the four S/4HANA Cloud security log types must be delivered into Splunk, where the Security Operations Centre (SOC) already monitors the rest of the estate, so that the same detection, correlation, alerting and retention capabilities apply to SAP. These interfaces exist to close that gap.</w:t>
      </w:r>
    </w:p>
    <w:p>
      <w:pPr>
        <w:pStyle w:val="Heading2"/>
        <w:spacing w:after="140" w:before="240"/>
      </w:pPr>
      <w:r>
        <w:t xml:space="preserve">2.2 Why the logs are required in Splunk specifically</w:t>
      </w:r>
    </w:p>
    <w:tbl>
      <w:tblPr>
        <w:tblW w:type="dxa" w:w="9026"/>
        <w:tblBorders>
          <w:top w:val="single" w:color="8EA9DB" w:sz="4"/>
          <w:left w:val="single" w:color="8EA9DB" w:sz="4"/>
          <w:bottom w:val="single" w:color="8EA9DB" w:sz="4"/>
          <w:right w:val="single" w:color="8EA9DB" w:sz="4"/>
          <w:insideH w:val="single" w:color="B4C6E7" w:sz="3"/>
          <w:insideV w:val="single" w:color="B4C6E7" w:sz="3"/>
        </w:tblBorders>
      </w:tblPr>
      <w:tblGrid>
        <w:gridCol w:w="2500"/>
        <w:gridCol w:w="6526"/>
      </w:tblGrid>
      <w:tr>
        <w:trPr>
          <w:tblHeader/>
        </w:trPr>
        <w:tc>
          <w:tcPr>
            <w:tcW w:type="dxa" w:w="2500"/>
            <w:shd w:fill="D9E2F3" w:color="auto" w:val="clear"/>
            <w:tcMar>
              <w:top w:type="dxa" w:w="60"/>
              <w:left w:type="dxa" w:w="100"/>
              <w:bottom w:type="dxa" w:w="60"/>
              <w:right w:type="dxa" w:w="100"/>
            </w:tcMar>
          </w:tcPr>
          <w:p>
            <w:pPr>
              <w:spacing w:after="0" w:line="250"/>
            </w:pPr>
            <w:r>
              <w:rPr>
                <w:b/>
                <w:bCs/>
                <w:sz w:val="19"/>
                <w:szCs w:val="19"/>
              </w:rPr>
              <w:t xml:space="preserve">Driver</w:t>
            </w:r>
          </w:p>
        </w:tc>
        <w:tc>
          <w:tcPr>
            <w:tcW w:type="dxa" w:w="6526"/>
            <w:shd w:fill="D9E2F3" w:color="auto" w:val="clear"/>
            <w:tcMar>
              <w:top w:type="dxa" w:w="60"/>
              <w:left w:type="dxa" w:w="100"/>
              <w:bottom w:type="dxa" w:w="60"/>
              <w:right w:type="dxa" w:w="100"/>
            </w:tcMar>
          </w:tcPr>
          <w:p>
            <w:pPr>
              <w:spacing w:after="0" w:line="250"/>
            </w:pPr>
            <w:r>
              <w:rPr>
                <w:b/>
                <w:bCs/>
                <w:sz w:val="19"/>
                <w:szCs w:val="19"/>
              </w:rPr>
              <w:t xml:space="preserve">Rationale given</w:t>
            </w:r>
          </w:p>
        </w:tc>
      </w:tr>
      <w:tr>
        <w:tc>
          <w:tcPr>
            <w:tcW w:type="dxa" w:w="2500"/>
            <w:tcMar>
              <w:top w:type="dxa" w:w="60"/>
              <w:left w:type="dxa" w:w="100"/>
              <w:bottom w:type="dxa" w:w="60"/>
              <w:right w:type="dxa" w:w="100"/>
            </w:tcMar>
          </w:tcPr>
          <w:p>
            <w:pPr>
              <w:spacing w:after="0" w:line="250"/>
            </w:pPr>
            <w:r>
              <w:rPr>
                <w:sz w:val="19"/>
                <w:szCs w:val="19"/>
              </w:rPr>
              <w:t xml:space="preserve">Cross-source correlation</w:t>
            </w:r>
          </w:p>
        </w:tc>
        <w:tc>
          <w:tcPr>
            <w:tcW w:type="dxa" w:w="6526"/>
            <w:tcMar>
              <w:top w:type="dxa" w:w="60"/>
              <w:left w:type="dxa" w:w="100"/>
              <w:bottom w:type="dxa" w:w="60"/>
              <w:right w:type="dxa" w:w="100"/>
            </w:tcMar>
          </w:tcPr>
          <w:p>
            <w:pPr>
              <w:spacing w:after="0" w:line="250"/>
            </w:pPr>
            <w:r>
              <w:rPr>
                <w:sz w:val="19"/>
                <w:szCs w:val="19"/>
              </w:rPr>
              <w:t xml:space="preserve">An SAP logon is only meaningful alongside VPN, identity-provider, endpoint and network telemetry. Correlation is only possible where all sources land together — Splunk. In isolation, an SAP log line cannot tell the SOC whether the session was legitimate.</w:t>
            </w:r>
          </w:p>
        </w:tc>
      </w:tr>
      <w:tr>
        <w:tc>
          <w:tcPr>
            <w:tcW w:type="dxa" w:w="2500"/>
            <w:tcMar>
              <w:top w:type="dxa" w:w="60"/>
              <w:left w:type="dxa" w:w="100"/>
              <w:bottom w:type="dxa" w:w="60"/>
              <w:right w:type="dxa" w:w="100"/>
            </w:tcMar>
          </w:tcPr>
          <w:p>
            <w:pPr>
              <w:spacing w:after="0" w:line="250"/>
            </w:pPr>
            <w:r>
              <w:rPr>
                <w:sz w:val="19"/>
                <w:szCs w:val="19"/>
              </w:rPr>
              <w:t xml:space="preserve">Automated detection and alerting</w:t>
            </w:r>
          </w:p>
        </w:tc>
        <w:tc>
          <w:tcPr>
            <w:tcW w:type="dxa" w:w="6526"/>
            <w:tcMar>
              <w:top w:type="dxa" w:w="60"/>
              <w:left w:type="dxa" w:w="100"/>
              <w:bottom w:type="dxa" w:w="60"/>
              <w:right w:type="dxa" w:w="100"/>
            </w:tcMar>
          </w:tcPr>
          <w:p>
            <w:pPr>
              <w:spacing w:after="0" w:line="250"/>
            </w:pPr>
            <w:r>
              <w:rPr>
                <w:sz w:val="19"/>
                <w:szCs w:val="19"/>
              </w:rPr>
              <w:t xml:space="preserve">SAP-native tools support review after the fact; they do not raise a real-time alert to the SOC. Splunk provides scheduled and real-time correlation searches that generate notable events and page the on-call analyst.</w:t>
            </w:r>
          </w:p>
        </w:tc>
      </w:tr>
      <w:tr>
        <w:tc>
          <w:tcPr>
            <w:tcW w:type="dxa" w:w="2500"/>
            <w:tcMar>
              <w:top w:type="dxa" w:w="60"/>
              <w:left w:type="dxa" w:w="100"/>
              <w:bottom w:type="dxa" w:w="60"/>
              <w:right w:type="dxa" w:w="100"/>
            </w:tcMar>
          </w:tcPr>
          <w:p>
            <w:pPr>
              <w:spacing w:after="0" w:line="250"/>
            </w:pPr>
            <w:r>
              <w:rPr>
                <w:sz w:val="19"/>
                <w:szCs w:val="19"/>
              </w:rPr>
              <w:t xml:space="preserve">Single pane of glass for the SOC</w:t>
            </w:r>
          </w:p>
        </w:tc>
        <w:tc>
          <w:tcPr>
            <w:tcW w:type="dxa" w:w="6526"/>
            <w:tcMar>
              <w:top w:type="dxa" w:w="60"/>
              <w:left w:type="dxa" w:w="100"/>
              <w:bottom w:type="dxa" w:w="60"/>
              <w:right w:type="dxa" w:w="100"/>
            </w:tcMar>
          </w:tcPr>
          <w:p>
            <w:pPr>
              <w:spacing w:after="0" w:line="250"/>
            </w:pPr>
            <w:r>
              <w:rPr>
                <w:sz w:val="19"/>
                <w:szCs w:val="19"/>
              </w:rPr>
              <w:t xml:space="preserve">Analysts must not have to log into SAP, know SAP transaction semantics, or hold SAP authorisations in order to triage an incident. Triage happens in Splunk against a normalised event.</w:t>
            </w:r>
          </w:p>
        </w:tc>
      </w:tr>
      <w:tr>
        <w:tc>
          <w:tcPr>
            <w:tcW w:type="dxa" w:w="2500"/>
            <w:tcMar>
              <w:top w:type="dxa" w:w="60"/>
              <w:left w:type="dxa" w:w="100"/>
              <w:bottom w:type="dxa" w:w="60"/>
              <w:right w:type="dxa" w:w="100"/>
            </w:tcMar>
          </w:tcPr>
          <w:p>
            <w:pPr>
              <w:spacing w:after="0" w:line="250"/>
            </w:pPr>
            <w:r>
              <w:rPr>
                <w:sz w:val="19"/>
                <w:szCs w:val="19"/>
              </w:rPr>
              <w:t xml:space="preserve">Independent, tamper-resistant retention</w:t>
            </w:r>
          </w:p>
        </w:tc>
        <w:tc>
          <w:tcPr>
            <w:tcW w:type="dxa" w:w="6526"/>
            <w:tcMar>
              <w:top w:type="dxa" w:w="60"/>
              <w:left w:type="dxa" w:w="100"/>
              <w:bottom w:type="dxa" w:w="60"/>
              <w:right w:type="dxa" w:w="100"/>
            </w:tcMar>
          </w:tcPr>
          <w:p>
            <w:pPr>
              <w:spacing w:after="0" w:line="250"/>
            </w:pPr>
            <w:r>
              <w:rPr>
                <w:sz w:val="19"/>
                <w:szCs w:val="19"/>
              </w:rPr>
              <w:t xml:space="preserve">Logs held only in the source system are subject to that system's own retention limits and to administrators of that system. Copying them into Splunk provides an independent record for audit and investigation.</w:t>
            </w:r>
          </w:p>
        </w:tc>
      </w:tr>
      <w:tr>
        <w:tc>
          <w:tcPr>
            <w:tcW w:type="dxa" w:w="2500"/>
            <w:tcMar>
              <w:top w:type="dxa" w:w="60"/>
              <w:left w:type="dxa" w:w="100"/>
              <w:bottom w:type="dxa" w:w="60"/>
              <w:right w:type="dxa" w:w="100"/>
            </w:tcMar>
          </w:tcPr>
          <w:p>
            <w:pPr>
              <w:spacing w:after="0" w:line="250"/>
            </w:pPr>
            <w:r>
              <w:rPr>
                <w:sz w:val="19"/>
                <w:szCs w:val="19"/>
              </w:rPr>
              <w:t xml:space="preserve">Forensic investigation</w:t>
            </w:r>
          </w:p>
        </w:tc>
        <w:tc>
          <w:tcPr>
            <w:tcW w:type="dxa" w:w="6526"/>
            <w:tcMar>
              <w:top w:type="dxa" w:w="60"/>
              <w:left w:type="dxa" w:w="100"/>
              <w:bottom w:type="dxa" w:w="60"/>
              <w:right w:type="dxa" w:w="100"/>
            </w:tcMar>
          </w:tcPr>
          <w:p>
            <w:pPr>
              <w:spacing w:after="0" w:line="250"/>
            </w:pPr>
            <w:r>
              <w:rPr>
                <w:sz w:val="19"/>
                <w:szCs w:val="19"/>
              </w:rPr>
              <w:t xml:space="preserve">During an incident, investigators need to reconstruct who accessed what, from where and when, across systems and over a long look-back period. That requires the events to already be indexed and searchable.</w:t>
            </w:r>
          </w:p>
        </w:tc>
      </w:tr>
      <w:tr>
        <w:tc>
          <w:tcPr>
            <w:tcW w:type="dxa" w:w="2500"/>
            <w:tcMar>
              <w:top w:type="dxa" w:w="60"/>
              <w:left w:type="dxa" w:w="100"/>
              <w:bottom w:type="dxa" w:w="60"/>
              <w:right w:type="dxa" w:w="100"/>
            </w:tcMar>
          </w:tcPr>
          <w:p>
            <w:pPr>
              <w:spacing w:after="0" w:line="250"/>
            </w:pPr>
            <w:r>
              <w:rPr>
                <w:sz w:val="19"/>
                <w:szCs w:val="19"/>
              </w:rPr>
              <w:t xml:space="preserve">Compliance and audit evidence</w:t>
            </w:r>
          </w:p>
        </w:tc>
        <w:tc>
          <w:tcPr>
            <w:tcW w:type="dxa" w:w="6526"/>
            <w:tcMar>
              <w:top w:type="dxa" w:w="60"/>
              <w:left w:type="dxa" w:w="100"/>
              <w:bottom w:type="dxa" w:w="60"/>
              <w:right w:type="dxa" w:w="100"/>
            </w:tcMar>
          </w:tcPr>
          <w:p>
            <w:pPr>
              <w:spacing w:after="0" w:line="250"/>
            </w:pPr>
            <w:r>
              <w:rPr>
                <w:sz w:val="19"/>
                <w:szCs w:val="19"/>
              </w:rPr>
              <w:t xml:space="preserve">Demonstrating that privileged activity and personal-data access are monitored requires evidence that the logs are collected, retained and actively reviewed.</w:t>
            </w:r>
          </w:p>
        </w:tc>
      </w:tr>
    </w:tbl>
    <w:p>
      <w:pPr>
        <w:pStyle w:val="Heading2"/>
        <w:spacing w:after="140" w:before="240"/>
      </w:pPr>
      <w:r>
        <w:t xml:space="preserve">2.3 Detection and alerting use cases</w:t>
      </w:r>
    </w:p>
    <w:p>
      <w:pPr>
        <w:spacing w:after="120" w:line="276"/>
      </w:pPr>
      <w:r>
        <w:rPr>
          <w:sz w:val="21"/>
          <w:szCs w:val="21"/>
        </w:rPr>
        <w:t xml:space="preserve">The following use cases were described as the intended purpose of the data. They are recorded here to explain what the interfaces must carry; the detection logic itself is built and owned in Splunk (see §2.4). Thresholds, approved-country lists and severities are set by the SOC and are deliberately not fixed in this document.</w:t>
      </w:r>
    </w:p>
    <w:tbl>
      <w:tblPr>
        <w:tblW w:type="dxa" w:w="9026"/>
        <w:tblBorders>
          <w:top w:val="single" w:color="8EA9DB" w:sz="4"/>
          <w:left w:val="single" w:color="8EA9DB" w:sz="4"/>
          <w:bottom w:val="single" w:color="8EA9DB" w:sz="4"/>
          <w:right w:val="single" w:color="8EA9DB" w:sz="4"/>
          <w:insideH w:val="single" w:color="B4C6E7" w:sz="3"/>
          <w:insideV w:val="single" w:color="B4C6E7" w:sz="3"/>
        </w:tblBorders>
      </w:tblPr>
      <w:tblGrid>
        <w:gridCol w:w="850"/>
        <w:gridCol w:w="4876"/>
        <w:gridCol w:w="1300"/>
        <w:gridCol w:w="2000"/>
      </w:tblGrid>
      <w:tr>
        <w:trPr>
          <w:tblHeader/>
        </w:trPr>
        <w:tc>
          <w:tcPr>
            <w:tcW w:type="dxa" w:w="850"/>
            <w:shd w:fill="D9E2F3" w:color="auto" w:val="clear"/>
            <w:tcMar>
              <w:top w:type="dxa" w:w="60"/>
              <w:left w:type="dxa" w:w="100"/>
              <w:bottom w:type="dxa" w:w="60"/>
              <w:right w:type="dxa" w:w="100"/>
            </w:tcMar>
          </w:tcPr>
          <w:p>
            <w:pPr>
              <w:spacing w:after="0" w:line="250"/>
            </w:pPr>
            <w:r>
              <w:rPr>
                <w:b/>
                <w:bCs/>
                <w:sz w:val="19"/>
                <w:szCs w:val="19"/>
              </w:rPr>
              <w:t xml:space="preserve">ID</w:t>
            </w:r>
          </w:p>
        </w:tc>
        <w:tc>
          <w:tcPr>
            <w:tcW w:type="dxa" w:w="4876"/>
            <w:shd w:fill="D9E2F3" w:color="auto" w:val="clear"/>
            <w:tcMar>
              <w:top w:type="dxa" w:w="60"/>
              <w:left w:type="dxa" w:w="100"/>
              <w:bottom w:type="dxa" w:w="60"/>
              <w:right w:type="dxa" w:w="100"/>
            </w:tcMar>
          </w:tcPr>
          <w:p>
            <w:pPr>
              <w:spacing w:after="0" w:line="250"/>
            </w:pPr>
            <w:r>
              <w:rPr>
                <w:b/>
                <w:bCs/>
                <w:sz w:val="19"/>
                <w:szCs w:val="19"/>
              </w:rPr>
              <w:t xml:space="preserve">Detection use case</w:t>
            </w:r>
          </w:p>
        </w:tc>
        <w:tc>
          <w:tcPr>
            <w:tcW w:type="dxa" w:w="1300"/>
            <w:shd w:fill="D9E2F3" w:color="auto" w:val="clear"/>
            <w:tcMar>
              <w:top w:type="dxa" w:w="60"/>
              <w:left w:type="dxa" w:w="100"/>
              <w:bottom w:type="dxa" w:w="60"/>
              <w:right w:type="dxa" w:w="100"/>
            </w:tcMar>
          </w:tcPr>
          <w:p>
            <w:pPr>
              <w:spacing w:after="0" w:line="250"/>
            </w:pPr>
            <w:r>
              <w:rPr>
                <w:b/>
                <w:bCs/>
                <w:sz w:val="19"/>
                <w:szCs w:val="19"/>
              </w:rPr>
              <w:t xml:space="preserve">Source</w:t>
            </w:r>
          </w:p>
        </w:tc>
        <w:tc>
          <w:tcPr>
            <w:tcW w:type="dxa" w:w="2000"/>
            <w:shd w:fill="D9E2F3" w:color="auto" w:val="clear"/>
            <w:tcMar>
              <w:top w:type="dxa" w:w="60"/>
              <w:left w:type="dxa" w:w="100"/>
              <w:bottom w:type="dxa" w:w="60"/>
              <w:right w:type="dxa" w:w="100"/>
            </w:tcMar>
          </w:tcPr>
          <w:p>
            <w:pPr>
              <w:spacing w:after="0" w:line="250"/>
            </w:pPr>
            <w:r>
              <w:rPr>
                <w:b/>
                <w:bCs/>
                <w:sz w:val="19"/>
                <w:szCs w:val="19"/>
              </w:rPr>
              <w:t xml:space="preserve">Key fields relied on</w:t>
            </w:r>
          </w:p>
        </w:tc>
      </w:tr>
      <w:tr>
        <w:tc>
          <w:tcPr>
            <w:tcW w:type="dxa" w:w="850"/>
            <w:tcMar>
              <w:top w:type="dxa" w:w="60"/>
              <w:left w:type="dxa" w:w="100"/>
              <w:bottom w:type="dxa" w:w="60"/>
              <w:right w:type="dxa" w:w="100"/>
            </w:tcMar>
          </w:tcPr>
          <w:p>
            <w:pPr>
              <w:spacing w:after="0" w:line="250"/>
            </w:pPr>
            <w:r>
              <w:rPr>
                <w:sz w:val="19"/>
                <w:szCs w:val="19"/>
              </w:rPr>
              <w:t xml:space="preserve">UC-01</w:t>
            </w:r>
          </w:p>
        </w:tc>
        <w:tc>
          <w:tcPr>
            <w:tcW w:type="dxa" w:w="4876"/>
            <w:tcMar>
              <w:top w:type="dxa" w:w="60"/>
              <w:left w:type="dxa" w:w="100"/>
              <w:bottom w:type="dxa" w:w="60"/>
              <w:right w:type="dxa" w:w="100"/>
            </w:tcMar>
          </w:tcPr>
          <w:p>
            <w:pPr>
              <w:spacing w:after="0" w:line="250"/>
            </w:pPr>
            <w:r>
              <w:rPr>
                <w:sz w:val="19"/>
                <w:szCs w:val="19"/>
              </w:rPr>
              <w:t xml:space="preserve">Logon from a country outside the approved list — geo-IP lookup on the source IP of a successful logon (the example given in the workshop)</w:t>
            </w:r>
          </w:p>
        </w:tc>
        <w:tc>
          <w:tcPr>
            <w:tcW w:type="dxa" w:w="1300"/>
            <w:tcMar>
              <w:top w:type="dxa" w:w="60"/>
              <w:left w:type="dxa" w:w="100"/>
              <w:bottom w:type="dxa" w:w="60"/>
              <w:right w:type="dxa" w:w="100"/>
            </w:tcMar>
          </w:tcPr>
          <w:p>
            <w:pPr>
              <w:spacing w:after="0" w:line="250"/>
            </w:pPr>
            <w:r>
              <w:rPr>
                <w:sz w:val="19"/>
                <w:szCs w:val="19"/>
              </w:rPr>
              <w:t xml:space="preserve">IF-01</w:t>
            </w:r>
          </w:p>
        </w:tc>
        <w:tc>
          <w:tcPr>
            <w:tcW w:type="dxa" w:w="2000"/>
            <w:tcMar>
              <w:top w:type="dxa" w:w="60"/>
              <w:left w:type="dxa" w:w="100"/>
              <w:bottom w:type="dxa" w:w="60"/>
              <w:right w:type="dxa" w:w="100"/>
            </w:tcMar>
          </w:tcPr>
          <w:p>
            <w:pPr>
              <w:spacing w:after="0" w:line="250"/>
            </w:pPr>
            <w:r>
              <w:rPr>
                <w:sz w:val="19"/>
                <w:szCs w:val="19"/>
              </w:rPr>
              <w:t xml:space="preserve">terminal_name (IP), eventID, log_tstmp, UserID, useralias</w:t>
            </w:r>
          </w:p>
        </w:tc>
      </w:tr>
      <w:tr>
        <w:tc>
          <w:tcPr>
            <w:tcW w:type="dxa" w:w="850"/>
            <w:tcMar>
              <w:top w:type="dxa" w:w="60"/>
              <w:left w:type="dxa" w:w="100"/>
              <w:bottom w:type="dxa" w:w="60"/>
              <w:right w:type="dxa" w:w="100"/>
            </w:tcMar>
          </w:tcPr>
          <w:p>
            <w:pPr>
              <w:spacing w:after="0" w:line="250"/>
            </w:pPr>
            <w:r>
              <w:rPr>
                <w:sz w:val="19"/>
                <w:szCs w:val="19"/>
              </w:rPr>
              <w:t xml:space="preserve">UC-02</w:t>
            </w:r>
          </w:p>
        </w:tc>
        <w:tc>
          <w:tcPr>
            <w:tcW w:type="dxa" w:w="4876"/>
            <w:tcMar>
              <w:top w:type="dxa" w:w="60"/>
              <w:left w:type="dxa" w:w="100"/>
              <w:bottom w:type="dxa" w:w="60"/>
              <w:right w:type="dxa" w:w="100"/>
            </w:tcMar>
          </w:tcPr>
          <w:p>
            <w:pPr>
              <w:spacing w:after="0" w:line="250"/>
            </w:pPr>
            <w:r>
              <w:rPr>
                <w:sz w:val="19"/>
                <w:szCs w:val="19"/>
              </w:rPr>
              <w:t xml:space="preserve">Impossible travel — the same user authenticating from geographically distant addresses within an implausible interval</w:t>
            </w:r>
          </w:p>
        </w:tc>
        <w:tc>
          <w:tcPr>
            <w:tcW w:type="dxa" w:w="1300"/>
            <w:tcMar>
              <w:top w:type="dxa" w:w="60"/>
              <w:left w:type="dxa" w:w="100"/>
              <w:bottom w:type="dxa" w:w="60"/>
              <w:right w:type="dxa" w:w="100"/>
            </w:tcMar>
          </w:tcPr>
          <w:p>
            <w:pPr>
              <w:spacing w:after="0" w:line="250"/>
            </w:pPr>
            <w:r>
              <w:rPr>
                <w:sz w:val="19"/>
                <w:szCs w:val="19"/>
              </w:rPr>
              <w:t xml:space="preserve">IF-01</w:t>
            </w:r>
          </w:p>
        </w:tc>
        <w:tc>
          <w:tcPr>
            <w:tcW w:type="dxa" w:w="2000"/>
            <w:tcMar>
              <w:top w:type="dxa" w:w="60"/>
              <w:left w:type="dxa" w:w="100"/>
              <w:bottom w:type="dxa" w:w="60"/>
              <w:right w:type="dxa" w:w="100"/>
            </w:tcMar>
          </w:tcPr>
          <w:p>
            <w:pPr>
              <w:spacing w:after="0" w:line="250"/>
            </w:pPr>
            <w:r>
              <w:rPr>
                <w:sz w:val="19"/>
                <w:szCs w:val="19"/>
              </w:rPr>
              <w:t xml:space="preserve">UserID, terminal_name, log_tstmp</w:t>
            </w:r>
          </w:p>
        </w:tc>
      </w:tr>
      <w:tr>
        <w:tc>
          <w:tcPr>
            <w:tcW w:type="dxa" w:w="850"/>
            <w:tcMar>
              <w:top w:type="dxa" w:w="60"/>
              <w:left w:type="dxa" w:w="100"/>
              <w:bottom w:type="dxa" w:w="60"/>
              <w:right w:type="dxa" w:w="100"/>
            </w:tcMar>
          </w:tcPr>
          <w:p>
            <w:pPr>
              <w:spacing w:after="0" w:line="250"/>
            </w:pPr>
            <w:r>
              <w:rPr>
                <w:sz w:val="19"/>
                <w:szCs w:val="19"/>
              </w:rPr>
              <w:t xml:space="preserve">UC-03</w:t>
            </w:r>
          </w:p>
        </w:tc>
        <w:tc>
          <w:tcPr>
            <w:tcW w:type="dxa" w:w="4876"/>
            <w:tcMar>
              <w:top w:type="dxa" w:w="60"/>
              <w:left w:type="dxa" w:w="100"/>
              <w:bottom w:type="dxa" w:w="60"/>
              <w:right w:type="dxa" w:w="100"/>
            </w:tcMar>
          </w:tcPr>
          <w:p>
            <w:pPr>
              <w:spacing w:after="0" w:line="250"/>
            </w:pPr>
            <w:r>
              <w:rPr>
                <w:sz w:val="19"/>
                <w:szCs w:val="19"/>
              </w:rPr>
              <w:t xml:space="preserve">Brute-force and password spraying — repeated failed logons by user or by source address</w:t>
            </w:r>
          </w:p>
        </w:tc>
        <w:tc>
          <w:tcPr>
            <w:tcW w:type="dxa" w:w="1300"/>
            <w:tcMar>
              <w:top w:type="dxa" w:w="60"/>
              <w:left w:type="dxa" w:w="100"/>
              <w:bottom w:type="dxa" w:w="60"/>
              <w:right w:type="dxa" w:w="100"/>
            </w:tcMar>
          </w:tcPr>
          <w:p>
            <w:pPr>
              <w:spacing w:after="0" w:line="250"/>
            </w:pPr>
            <w:r>
              <w:rPr>
                <w:sz w:val="19"/>
                <w:szCs w:val="19"/>
              </w:rPr>
              <w:t xml:space="preserve">IF-01</w:t>
            </w:r>
          </w:p>
        </w:tc>
        <w:tc>
          <w:tcPr>
            <w:tcW w:type="dxa" w:w="2000"/>
            <w:tcMar>
              <w:top w:type="dxa" w:w="60"/>
              <w:left w:type="dxa" w:w="100"/>
              <w:bottom w:type="dxa" w:w="60"/>
              <w:right w:type="dxa" w:w="100"/>
            </w:tcMar>
          </w:tcPr>
          <w:p>
            <w:pPr>
              <w:spacing w:after="0" w:line="250"/>
            </w:pPr>
            <w:r>
              <w:rPr>
                <w:sz w:val="19"/>
                <w:szCs w:val="19"/>
              </w:rPr>
              <w:t xml:space="preserve">eventID, rsau_text, UserID, terminal_name</w:t>
            </w:r>
          </w:p>
        </w:tc>
      </w:tr>
      <w:tr>
        <w:tc>
          <w:tcPr>
            <w:tcW w:type="dxa" w:w="850"/>
            <w:tcMar>
              <w:top w:type="dxa" w:w="60"/>
              <w:left w:type="dxa" w:w="100"/>
              <w:bottom w:type="dxa" w:w="60"/>
              <w:right w:type="dxa" w:w="100"/>
            </w:tcMar>
          </w:tcPr>
          <w:p>
            <w:pPr>
              <w:spacing w:after="0" w:line="250"/>
            </w:pPr>
            <w:r>
              <w:rPr>
                <w:sz w:val="19"/>
                <w:szCs w:val="19"/>
              </w:rPr>
              <w:t xml:space="preserve">UC-04</w:t>
            </w:r>
          </w:p>
        </w:tc>
        <w:tc>
          <w:tcPr>
            <w:tcW w:type="dxa" w:w="4876"/>
            <w:tcMar>
              <w:top w:type="dxa" w:w="60"/>
              <w:left w:type="dxa" w:w="100"/>
              <w:bottom w:type="dxa" w:w="60"/>
              <w:right w:type="dxa" w:w="100"/>
            </w:tcMar>
          </w:tcPr>
          <w:p>
            <w:pPr>
              <w:spacing w:after="0" w:line="250"/>
            </w:pPr>
            <w:r>
              <w:rPr>
                <w:sz w:val="19"/>
                <w:szCs w:val="19"/>
              </w:rPr>
              <w:t xml:space="preserve">Out-of-hours or dormant-account access</w:t>
            </w:r>
          </w:p>
        </w:tc>
        <w:tc>
          <w:tcPr>
            <w:tcW w:type="dxa" w:w="1300"/>
            <w:tcMar>
              <w:top w:type="dxa" w:w="60"/>
              <w:left w:type="dxa" w:w="100"/>
              <w:bottom w:type="dxa" w:w="60"/>
              <w:right w:type="dxa" w:w="100"/>
            </w:tcMar>
          </w:tcPr>
          <w:p>
            <w:pPr>
              <w:spacing w:after="0" w:line="250"/>
            </w:pPr>
            <w:r>
              <w:rPr>
                <w:sz w:val="19"/>
                <w:szCs w:val="19"/>
              </w:rPr>
              <w:t xml:space="preserve">IF-01</w:t>
            </w:r>
          </w:p>
        </w:tc>
        <w:tc>
          <w:tcPr>
            <w:tcW w:type="dxa" w:w="2000"/>
            <w:tcMar>
              <w:top w:type="dxa" w:w="60"/>
              <w:left w:type="dxa" w:w="100"/>
              <w:bottom w:type="dxa" w:w="60"/>
              <w:right w:type="dxa" w:w="100"/>
            </w:tcMar>
          </w:tcPr>
          <w:p>
            <w:pPr>
              <w:spacing w:after="0" w:line="250"/>
            </w:pPr>
            <w:r>
              <w:rPr>
                <w:sz w:val="19"/>
                <w:szCs w:val="19"/>
              </w:rPr>
              <w:t xml:space="preserve">log_tstmp, UserID, useralias</w:t>
            </w:r>
          </w:p>
        </w:tc>
      </w:tr>
      <w:tr>
        <w:tc>
          <w:tcPr>
            <w:tcW w:type="dxa" w:w="850"/>
            <w:tcMar>
              <w:top w:type="dxa" w:w="60"/>
              <w:left w:type="dxa" w:w="100"/>
              <w:bottom w:type="dxa" w:w="60"/>
              <w:right w:type="dxa" w:w="100"/>
            </w:tcMar>
          </w:tcPr>
          <w:p>
            <w:pPr>
              <w:spacing w:after="0" w:line="250"/>
            </w:pPr>
            <w:r>
              <w:rPr>
                <w:sz w:val="19"/>
                <w:szCs w:val="19"/>
              </w:rPr>
              <w:t xml:space="preserve">UC-05</w:t>
            </w:r>
          </w:p>
        </w:tc>
        <w:tc>
          <w:tcPr>
            <w:tcW w:type="dxa" w:w="4876"/>
            <w:tcMar>
              <w:top w:type="dxa" w:w="60"/>
              <w:left w:type="dxa" w:w="100"/>
              <w:bottom w:type="dxa" w:w="60"/>
              <w:right w:type="dxa" w:w="100"/>
            </w:tcMar>
          </w:tcPr>
          <w:p>
            <w:pPr>
              <w:spacing w:after="0" w:line="250"/>
            </w:pPr>
            <w:r>
              <w:rPr>
                <w:sz w:val="19"/>
                <w:szCs w:val="19"/>
              </w:rPr>
              <w:t xml:space="preserve">Execution of privileged transactions or reports</w:t>
            </w:r>
          </w:p>
        </w:tc>
        <w:tc>
          <w:tcPr>
            <w:tcW w:type="dxa" w:w="1300"/>
            <w:tcMar>
              <w:top w:type="dxa" w:w="60"/>
              <w:left w:type="dxa" w:w="100"/>
              <w:bottom w:type="dxa" w:w="60"/>
              <w:right w:type="dxa" w:w="100"/>
            </w:tcMar>
          </w:tcPr>
          <w:p>
            <w:pPr>
              <w:spacing w:after="0" w:line="250"/>
            </w:pPr>
            <w:r>
              <w:rPr>
                <w:sz w:val="19"/>
                <w:szCs w:val="19"/>
              </w:rPr>
              <w:t xml:space="preserve">IF-01</w:t>
            </w:r>
          </w:p>
        </w:tc>
        <w:tc>
          <w:tcPr>
            <w:tcW w:type="dxa" w:w="2000"/>
            <w:tcMar>
              <w:top w:type="dxa" w:w="60"/>
              <w:left w:type="dxa" w:w="100"/>
              <w:bottom w:type="dxa" w:w="60"/>
              <w:right w:type="dxa" w:w="100"/>
            </w:tcMar>
          </w:tcPr>
          <w:p>
            <w:pPr>
              <w:spacing w:after="0" w:line="250"/>
            </w:pPr>
            <w:r>
              <w:rPr>
                <w:sz w:val="19"/>
                <w:szCs w:val="19"/>
              </w:rPr>
              <w:t xml:space="preserve">slgtc, slgrepna, rsau_text, UserID</w:t>
            </w:r>
          </w:p>
        </w:tc>
      </w:tr>
      <w:tr>
        <w:tc>
          <w:tcPr>
            <w:tcW w:type="dxa" w:w="850"/>
            <w:tcMar>
              <w:top w:type="dxa" w:w="60"/>
              <w:left w:type="dxa" w:w="100"/>
              <w:bottom w:type="dxa" w:w="60"/>
              <w:right w:type="dxa" w:w="100"/>
            </w:tcMar>
          </w:tcPr>
          <w:p>
            <w:pPr>
              <w:spacing w:after="0" w:line="250"/>
            </w:pPr>
            <w:r>
              <w:rPr>
                <w:sz w:val="19"/>
                <w:szCs w:val="19"/>
              </w:rPr>
              <w:t xml:space="preserve">UC-06</w:t>
            </w:r>
          </w:p>
        </w:tc>
        <w:tc>
          <w:tcPr>
            <w:tcW w:type="dxa" w:w="4876"/>
            <w:tcMar>
              <w:top w:type="dxa" w:w="60"/>
              <w:left w:type="dxa" w:w="100"/>
              <w:bottom w:type="dxa" w:w="60"/>
              <w:right w:type="dxa" w:w="100"/>
            </w:tcMar>
          </w:tcPr>
          <w:p>
            <w:pPr>
              <w:spacing w:after="0" w:line="250"/>
            </w:pPr>
            <w:r>
              <w:rPr>
                <w:sz w:val="19"/>
                <w:szCs w:val="19"/>
              </w:rPr>
              <w:t xml:space="preserve">Bulk or unusual access to personal and bank data — volume of records read by one user in a period</w:t>
            </w:r>
          </w:p>
        </w:tc>
        <w:tc>
          <w:tcPr>
            <w:tcW w:type="dxa" w:w="1300"/>
            <w:tcMar>
              <w:top w:type="dxa" w:w="60"/>
              <w:left w:type="dxa" w:w="100"/>
              <w:bottom w:type="dxa" w:w="60"/>
              <w:right w:type="dxa" w:w="100"/>
            </w:tcMar>
          </w:tcPr>
          <w:p>
            <w:pPr>
              <w:spacing w:after="0" w:line="250"/>
            </w:pPr>
            <w:r>
              <w:rPr>
                <w:sz w:val="19"/>
                <w:szCs w:val="19"/>
              </w:rPr>
              <w:t xml:space="preserve">IF-02</w:t>
            </w:r>
          </w:p>
        </w:tc>
        <w:tc>
          <w:tcPr>
            <w:tcW w:type="dxa" w:w="2000"/>
            <w:tcMar>
              <w:top w:type="dxa" w:w="60"/>
              <w:left w:type="dxa" w:w="100"/>
              <w:bottom w:type="dxa" w:w="60"/>
              <w:right w:type="dxa" w:w="100"/>
            </w:tcMar>
          </w:tcPr>
          <w:p>
            <w:pPr>
              <w:spacing w:after="0" w:line="250"/>
            </w:pPr>
            <w:r>
              <w:rPr>
                <w:sz w:val="19"/>
                <w:szCs w:val="19"/>
              </w:rPr>
              <w:t xml:space="preserve">UserID, LogDomainName, FieldName, FieldValue, LogTimestamp</w:t>
            </w:r>
          </w:p>
        </w:tc>
      </w:tr>
      <w:tr>
        <w:tc>
          <w:tcPr>
            <w:tcW w:type="dxa" w:w="850"/>
            <w:tcMar>
              <w:top w:type="dxa" w:w="60"/>
              <w:left w:type="dxa" w:w="100"/>
              <w:bottom w:type="dxa" w:w="60"/>
              <w:right w:type="dxa" w:w="100"/>
            </w:tcMar>
          </w:tcPr>
          <w:p>
            <w:pPr>
              <w:spacing w:after="0" w:line="250"/>
            </w:pPr>
            <w:r>
              <w:rPr>
                <w:sz w:val="19"/>
                <w:szCs w:val="19"/>
              </w:rPr>
              <w:t xml:space="preserve">UC-07</w:t>
            </w:r>
          </w:p>
        </w:tc>
        <w:tc>
          <w:tcPr>
            <w:tcW w:type="dxa" w:w="4876"/>
            <w:tcMar>
              <w:top w:type="dxa" w:w="60"/>
              <w:left w:type="dxa" w:w="100"/>
              <w:bottom w:type="dxa" w:w="60"/>
              <w:right w:type="dxa" w:w="100"/>
            </w:tcMar>
          </w:tcPr>
          <w:p>
            <w:pPr>
              <w:spacing w:after="0" w:line="250"/>
            </w:pPr>
            <w:r>
              <w:rPr>
                <w:sz w:val="19"/>
                <w:szCs w:val="19"/>
              </w:rPr>
              <w:t xml:space="preserve">Privilege escalation — account unlocked, validity extended, user group changed, user created</w:t>
            </w:r>
          </w:p>
        </w:tc>
        <w:tc>
          <w:tcPr>
            <w:tcW w:type="dxa" w:w="1300"/>
            <w:tcMar>
              <w:top w:type="dxa" w:w="60"/>
              <w:left w:type="dxa" w:w="100"/>
              <w:bottom w:type="dxa" w:w="60"/>
              <w:right w:type="dxa" w:w="100"/>
            </w:tcMar>
          </w:tcPr>
          <w:p>
            <w:pPr>
              <w:spacing w:after="0" w:line="250"/>
            </w:pPr>
            <w:r>
              <w:rPr>
                <w:sz w:val="19"/>
                <w:szCs w:val="19"/>
              </w:rPr>
              <w:t xml:space="preserve">IF-03</w:t>
            </w:r>
          </w:p>
        </w:tc>
        <w:tc>
          <w:tcPr>
            <w:tcW w:type="dxa" w:w="2000"/>
            <w:tcMar>
              <w:top w:type="dxa" w:w="60"/>
              <w:left w:type="dxa" w:w="100"/>
              <w:bottom w:type="dxa" w:w="60"/>
              <w:right w:type="dxa" w:w="100"/>
            </w:tcMar>
          </w:tcPr>
          <w:p>
            <w:pPr>
              <w:spacing w:after="0" w:line="250"/>
            </w:pPr>
            <w:r>
              <w:rPr>
                <w:sz w:val="19"/>
                <w:szCs w:val="19"/>
              </w:rPr>
              <w:t xml:space="preserve">BusinessUserID, Action, Attribute, ValueChangedFrom / ValueChangedTo, ChangedByUserID</w:t>
            </w:r>
          </w:p>
        </w:tc>
      </w:tr>
      <w:tr>
        <w:tc>
          <w:tcPr>
            <w:tcW w:type="dxa" w:w="850"/>
            <w:tcMar>
              <w:top w:type="dxa" w:w="60"/>
              <w:left w:type="dxa" w:w="100"/>
              <w:bottom w:type="dxa" w:w="60"/>
              <w:right w:type="dxa" w:w="100"/>
            </w:tcMar>
          </w:tcPr>
          <w:p>
            <w:pPr>
              <w:spacing w:after="0" w:line="250"/>
            </w:pPr>
            <w:r>
              <w:rPr>
                <w:sz w:val="19"/>
                <w:szCs w:val="19"/>
              </w:rPr>
              <w:t xml:space="preserve">UC-08</w:t>
            </w:r>
          </w:p>
        </w:tc>
        <w:tc>
          <w:tcPr>
            <w:tcW w:type="dxa" w:w="4876"/>
            <w:tcMar>
              <w:top w:type="dxa" w:w="60"/>
              <w:left w:type="dxa" w:w="100"/>
              <w:bottom w:type="dxa" w:w="60"/>
              <w:right w:type="dxa" w:w="100"/>
            </w:tcMar>
          </w:tcPr>
          <w:p>
            <w:pPr>
              <w:spacing w:after="0" w:line="250"/>
            </w:pPr>
            <w:r>
              <w:rPr>
                <w:sz w:val="19"/>
                <w:szCs w:val="19"/>
              </w:rPr>
              <w:t xml:space="preserve">Sensitive business role modified — authorisation or IAM app added to a role</w:t>
            </w:r>
          </w:p>
        </w:tc>
        <w:tc>
          <w:tcPr>
            <w:tcW w:type="dxa" w:w="1300"/>
            <w:tcMar>
              <w:top w:type="dxa" w:w="60"/>
              <w:left w:type="dxa" w:w="100"/>
              <w:bottom w:type="dxa" w:w="60"/>
              <w:right w:type="dxa" w:w="100"/>
            </w:tcMar>
          </w:tcPr>
          <w:p>
            <w:pPr>
              <w:spacing w:after="0" w:line="250"/>
            </w:pPr>
            <w:r>
              <w:rPr>
                <w:sz w:val="19"/>
                <w:szCs w:val="19"/>
              </w:rPr>
              <w:t xml:space="preserve">IF-04</w:t>
            </w:r>
          </w:p>
        </w:tc>
        <w:tc>
          <w:tcPr>
            <w:tcW w:type="dxa" w:w="2000"/>
            <w:tcMar>
              <w:top w:type="dxa" w:w="60"/>
              <w:left w:type="dxa" w:w="100"/>
              <w:bottom w:type="dxa" w:w="60"/>
              <w:right w:type="dxa" w:w="100"/>
            </w:tcMar>
          </w:tcPr>
          <w:p>
            <w:pPr>
              <w:spacing w:after="0" w:line="250"/>
            </w:pPr>
            <w:r>
              <w:rPr>
                <w:sz w:val="19"/>
                <w:szCs w:val="19"/>
              </w:rPr>
              <w:t xml:space="preserve">BusinessRoleID, Action, Attribute, ChangeCategory, ChangedByUserID</w:t>
            </w:r>
          </w:p>
        </w:tc>
      </w:tr>
      <w:tr>
        <w:tc>
          <w:tcPr>
            <w:tcW w:type="dxa" w:w="850"/>
            <w:tcMar>
              <w:top w:type="dxa" w:w="60"/>
              <w:left w:type="dxa" w:w="100"/>
              <w:bottom w:type="dxa" w:w="60"/>
              <w:right w:type="dxa" w:w="100"/>
            </w:tcMar>
          </w:tcPr>
          <w:p>
            <w:pPr>
              <w:spacing w:after="0" w:line="250"/>
            </w:pPr>
            <w:r>
              <w:rPr>
                <w:sz w:val="19"/>
                <w:szCs w:val="19"/>
              </w:rPr>
              <w:t xml:space="preserve">UC-09</w:t>
            </w:r>
          </w:p>
        </w:tc>
        <w:tc>
          <w:tcPr>
            <w:tcW w:type="dxa" w:w="4876"/>
            <w:tcMar>
              <w:top w:type="dxa" w:w="60"/>
              <w:left w:type="dxa" w:w="100"/>
              <w:bottom w:type="dxa" w:w="60"/>
              <w:right w:type="dxa" w:w="100"/>
            </w:tcMar>
          </w:tcPr>
          <w:p>
            <w:pPr>
              <w:spacing w:after="0" w:line="250"/>
            </w:pPr>
            <w:r>
              <w:rPr>
                <w:sz w:val="19"/>
                <w:szCs w:val="19"/>
              </w:rPr>
              <w:t xml:space="preserve">Self-granted change — the actor performing the change is also its subject</w:t>
            </w:r>
          </w:p>
        </w:tc>
        <w:tc>
          <w:tcPr>
            <w:tcW w:type="dxa" w:w="1300"/>
            <w:tcMar>
              <w:top w:type="dxa" w:w="60"/>
              <w:left w:type="dxa" w:w="100"/>
              <w:bottom w:type="dxa" w:w="60"/>
              <w:right w:type="dxa" w:w="100"/>
            </w:tcMar>
          </w:tcPr>
          <w:p>
            <w:pPr>
              <w:spacing w:after="0" w:line="250"/>
            </w:pPr>
            <w:r>
              <w:rPr>
                <w:sz w:val="19"/>
                <w:szCs w:val="19"/>
              </w:rPr>
              <w:t xml:space="preserve">IF-03 / IF-04</w:t>
            </w:r>
          </w:p>
        </w:tc>
        <w:tc>
          <w:tcPr>
            <w:tcW w:type="dxa" w:w="2000"/>
            <w:tcMar>
              <w:top w:type="dxa" w:w="60"/>
              <w:left w:type="dxa" w:w="100"/>
              <w:bottom w:type="dxa" w:w="60"/>
              <w:right w:type="dxa" w:w="100"/>
            </w:tcMar>
          </w:tcPr>
          <w:p>
            <w:pPr>
              <w:spacing w:after="0" w:line="250"/>
            </w:pPr>
            <w:r>
              <w:rPr>
                <w:sz w:val="19"/>
                <w:szCs w:val="19"/>
              </w:rPr>
              <w:t xml:space="preserve">ChangedByUserID compared with BusinessUserID / BusinessRoleID</w:t>
            </w:r>
          </w:p>
        </w:tc>
      </w:tr>
    </w:tbl>
    <w:p>
      <w:pPr>
        <w:spacing w:after="120" w:line="276"/>
      </w:pPr>
      <w:r>
        <w:rPr>
          <w:i/>
          <w:iCs/>
          <w:sz w:val="21"/>
          <w:szCs w:val="21"/>
        </w:rPr>
        <w:t xml:space="preserve">Note on source IP (UC-01, UC-02): in the Security Audit Log the source address is carried in terminal_name. Sample data confirms it is populated for dialog and HTTP logons but is empty for background and batch logons, which have no originating address. Geo-IP rules must therefore treat an empty terminal_name as 'not applicable' rather than as a failed lookup, or they will generate false negatives on interactive sessions and noise on batch activity.</w:t>
      </w:r>
    </w:p>
    <w:p>
      <w:pPr>
        <w:pStyle w:val="Heading2"/>
        <w:spacing w:after="140" w:before="240"/>
      </w:pPr>
      <w:r>
        <w:t xml:space="preserve">2.4 Division of responsibility</w:t>
      </w:r>
    </w:p>
    <w:tbl>
      <w:tblPr>
        <w:tblW w:type="dxa" w:w="9026"/>
        <w:tblBorders>
          <w:top w:val="single" w:color="8EA9DB" w:sz="4"/>
          <w:left w:val="single" w:color="8EA9DB" w:sz="4"/>
          <w:bottom w:val="single" w:color="8EA9DB" w:sz="4"/>
          <w:right w:val="single" w:color="8EA9DB" w:sz="4"/>
          <w:insideH w:val="single" w:color="B4C6E7" w:sz="3"/>
          <w:insideV w:val="single" w:color="B4C6E7" w:sz="3"/>
        </w:tblBorders>
      </w:tblPr>
      <w:tblGrid>
        <w:gridCol w:w="2500"/>
        <w:gridCol w:w="6526"/>
      </w:tblGrid>
      <w:tr>
        <w:tc>
          <w:tcPr>
            <w:tcW w:type="dxa" w:w="2500"/>
            <w:tcMar>
              <w:top w:type="dxa" w:w="60"/>
              <w:left w:type="dxa" w:w="100"/>
              <w:bottom w:type="dxa" w:w="60"/>
              <w:right w:type="dxa" w:w="100"/>
            </w:tcMar>
          </w:tcPr>
          <w:p>
            <w:pPr>
              <w:spacing w:after="0" w:line="250"/>
            </w:pPr>
            <w:r>
              <w:rPr>
                <w:b/>
                <w:bCs/>
                <w:sz w:val="19"/>
                <w:szCs w:val="19"/>
              </w:rPr>
              <w:t xml:space="preserve">In scope — this specification</w:t>
            </w:r>
          </w:p>
        </w:tc>
        <w:tc>
          <w:tcPr>
            <w:tcW w:type="dxa" w:w="6526"/>
            <w:tcMar>
              <w:top w:type="dxa" w:w="60"/>
              <w:left w:type="dxa" w:w="100"/>
              <w:bottom w:type="dxa" w:w="60"/>
              <w:right w:type="dxa" w:w="100"/>
            </w:tcMar>
          </w:tcPr>
          <w:p>
            <w:pPr>
              <w:spacing w:after="0" w:line="250"/>
            </w:pPr>
            <w:r>
              <w:rPr>
                <w:sz w:val="19"/>
                <w:szCs w:val="19"/>
              </w:rPr>
              <w:t xml:space="preserve">Reliable, complete, gap-free extraction of the four log types; preservation of the original event timestamp; delivery of the full field set including source address and user identity; recovery without data loss; operational visibility of extraction failures.</w:t>
            </w:r>
          </w:p>
        </w:tc>
      </w:tr>
      <w:tr>
        <w:tc>
          <w:tcPr>
            <w:tcW w:type="dxa" w:w="2500"/>
            <w:tcMar>
              <w:top w:type="dxa" w:w="60"/>
              <w:left w:type="dxa" w:w="100"/>
              <w:bottom w:type="dxa" w:w="60"/>
              <w:right w:type="dxa" w:w="100"/>
            </w:tcMar>
          </w:tcPr>
          <w:p>
            <w:pPr>
              <w:spacing w:after="0" w:line="250"/>
            </w:pPr>
            <w:r>
              <w:rPr>
                <w:b/>
                <w:bCs/>
                <w:sz w:val="19"/>
                <w:szCs w:val="19"/>
              </w:rPr>
              <w:t xml:space="preserve">Out of scope — Splunk / SOC</w:t>
            </w:r>
          </w:p>
        </w:tc>
        <w:tc>
          <w:tcPr>
            <w:tcW w:type="dxa" w:w="6526"/>
            <w:tcMar>
              <w:top w:type="dxa" w:w="60"/>
              <w:left w:type="dxa" w:w="100"/>
              <w:bottom w:type="dxa" w:w="60"/>
              <w:right w:type="dxa" w:w="100"/>
            </w:tcMar>
          </w:tcPr>
          <w:p>
            <w:pPr>
              <w:spacing w:after="0" w:line="250"/>
            </w:pPr>
            <w:r>
              <w:rPr>
                <w:sz w:val="19"/>
                <w:szCs w:val="19"/>
              </w:rPr>
              <w:t xml:space="preserve">Index and sourcetype configuration; geo-IP enrichment and the approved-country list; correlation searches, thresholds and severities; notable-event generation and alert routing; dashboards; retention policy; deduplication on the documented event keys.</w:t>
            </w:r>
          </w:p>
        </w:tc>
      </w:tr>
    </w:tbl>
    <w:p>
      <w:pPr>
        <w:spacing w:after="120" w:line="276"/>
      </w:pPr>
      <w:r>
        <w:rPr>
          <w:sz w:val="21"/>
          <w:szCs w:val="21"/>
        </w:rPr>
        <w:t xml:space="preserve">In short, these interfaces are responsible for the data being present, complete and correctly timestamped. Splunk is responsible for deciding what is suspicious.</w:t>
      </w:r>
    </w:p>
    <w:p>
      <w:pPr>
        <w:pStyle w:val="Heading2"/>
        <w:spacing w:after="140" w:before="240"/>
      </w:pPr>
      <w:r>
        <w:t xml:space="preserve">2.5 What the use cases demand of the interface</w:t>
      </w:r>
    </w:p>
    <w:tbl>
      <w:tblPr>
        <w:tblW w:type="dxa" w:w="9026"/>
        <w:tblBorders>
          <w:top w:val="single" w:color="8EA9DB" w:sz="4"/>
          <w:left w:val="single" w:color="8EA9DB" w:sz="4"/>
          <w:bottom w:val="single" w:color="8EA9DB" w:sz="4"/>
          <w:right w:val="single" w:color="8EA9DB" w:sz="4"/>
          <w:insideH w:val="single" w:color="B4C6E7" w:sz="3"/>
          <w:insideV w:val="single" w:color="B4C6E7" w:sz="3"/>
        </w:tblBorders>
      </w:tblPr>
      <w:tblGrid>
        <w:gridCol w:w="2900"/>
        <w:gridCol w:w="4626"/>
        <w:gridCol w:w="1500"/>
      </w:tblGrid>
      <w:tr>
        <w:trPr>
          <w:tblHeader/>
        </w:trPr>
        <w:tc>
          <w:tcPr>
            <w:tcW w:type="dxa" w:w="2900"/>
            <w:shd w:fill="D9E2F3" w:color="auto" w:val="clear"/>
            <w:tcMar>
              <w:top w:type="dxa" w:w="60"/>
              <w:left w:type="dxa" w:w="100"/>
              <w:bottom w:type="dxa" w:w="60"/>
              <w:right w:type="dxa" w:w="100"/>
            </w:tcMar>
          </w:tcPr>
          <w:p>
            <w:pPr>
              <w:spacing w:after="0" w:line="250"/>
            </w:pPr>
            <w:r>
              <w:rPr>
                <w:b/>
                <w:bCs/>
                <w:sz w:val="19"/>
                <w:szCs w:val="19"/>
              </w:rPr>
              <w:t xml:space="preserve">Requirement arising from the use cases</w:t>
            </w:r>
          </w:p>
        </w:tc>
        <w:tc>
          <w:tcPr>
            <w:tcW w:type="dxa" w:w="4626"/>
            <w:shd w:fill="D9E2F3" w:color="auto" w:val="clear"/>
            <w:tcMar>
              <w:top w:type="dxa" w:w="60"/>
              <w:left w:type="dxa" w:w="100"/>
              <w:bottom w:type="dxa" w:w="60"/>
              <w:right w:type="dxa" w:w="100"/>
            </w:tcMar>
          </w:tcPr>
          <w:p>
            <w:pPr>
              <w:spacing w:after="0" w:line="250"/>
            </w:pPr>
            <w:r>
              <w:rPr>
                <w:b/>
                <w:bCs/>
                <w:sz w:val="19"/>
                <w:szCs w:val="19"/>
              </w:rPr>
              <w:t xml:space="preserve">How the design meets it</w:t>
            </w:r>
          </w:p>
        </w:tc>
        <w:tc>
          <w:tcPr>
            <w:tcW w:type="dxa" w:w="1500"/>
            <w:shd w:fill="D9E2F3" w:color="auto" w:val="clear"/>
            <w:tcMar>
              <w:top w:type="dxa" w:w="60"/>
              <w:left w:type="dxa" w:w="100"/>
              <w:bottom w:type="dxa" w:w="60"/>
              <w:right w:type="dxa" w:w="100"/>
            </w:tcMar>
          </w:tcPr>
          <w:p>
            <w:pPr>
              <w:spacing w:after="0" w:line="250"/>
            </w:pPr>
            <w:r>
              <w:rPr>
                <w:b/>
                <w:bCs/>
                <w:sz w:val="19"/>
                <w:szCs w:val="19"/>
              </w:rPr>
              <w:t xml:space="preserve">Reference</w:t>
            </w:r>
          </w:p>
        </w:tc>
      </w:tr>
      <w:tr>
        <w:tc>
          <w:tcPr>
            <w:tcW w:type="dxa" w:w="2900"/>
            <w:tcMar>
              <w:top w:type="dxa" w:w="60"/>
              <w:left w:type="dxa" w:w="100"/>
              <w:bottom w:type="dxa" w:w="60"/>
              <w:right w:type="dxa" w:w="100"/>
            </w:tcMar>
          </w:tcPr>
          <w:p>
            <w:pPr>
              <w:spacing w:after="0" w:line="250"/>
            </w:pPr>
            <w:r>
              <w:rPr>
                <w:sz w:val="19"/>
                <w:szCs w:val="19"/>
              </w:rPr>
              <w:t xml:space="preserve">Detection cannot have blind windows — a missed batch of events is a missed alert</w:t>
            </w:r>
          </w:p>
        </w:tc>
        <w:tc>
          <w:tcPr>
            <w:tcW w:type="dxa" w:w="4626"/>
            <w:tcMar>
              <w:top w:type="dxa" w:w="60"/>
              <w:left w:type="dxa" w:w="100"/>
              <w:bottom w:type="dxa" w:w="60"/>
              <w:right w:type="dxa" w:w="100"/>
            </w:tcMar>
          </w:tcPr>
          <w:p>
            <w:pPr>
              <w:spacing w:after="0" w:line="250"/>
            </w:pPr>
            <w:r>
              <w:rPr>
                <w:sz w:val="19"/>
                <w:szCs w:val="19"/>
              </w:rPr>
              <w:t xml:space="preserve">Strict delta window with a persisted high-water mark advanced only after a successful run</w:t>
            </w:r>
          </w:p>
        </w:tc>
        <w:tc>
          <w:tcPr>
            <w:tcW w:type="dxa" w:w="1500"/>
            <w:tcMar>
              <w:top w:type="dxa" w:w="60"/>
              <w:left w:type="dxa" w:w="100"/>
              <w:bottom w:type="dxa" w:w="60"/>
              <w:right w:type="dxa" w:w="100"/>
            </w:tcMar>
          </w:tcPr>
          <w:p>
            <w:pPr>
              <w:spacing w:after="0" w:line="250"/>
            </w:pPr>
            <w:r>
              <w:rPr>
                <w:sz w:val="19"/>
                <w:szCs w:val="19"/>
              </w:rPr>
              <w:t xml:space="preserve">FR-02, FR-03, FR-11</w:t>
            </w:r>
          </w:p>
        </w:tc>
      </w:tr>
      <w:tr>
        <w:tc>
          <w:tcPr>
            <w:tcW w:type="dxa" w:w="2900"/>
            <w:tcMar>
              <w:top w:type="dxa" w:w="60"/>
              <w:left w:type="dxa" w:w="100"/>
              <w:bottom w:type="dxa" w:w="60"/>
              <w:right w:type="dxa" w:w="100"/>
            </w:tcMar>
          </w:tcPr>
          <w:p>
            <w:pPr>
              <w:spacing w:after="0" w:line="250"/>
            </w:pPr>
            <w:r>
              <w:rPr>
                <w:sz w:val="19"/>
                <w:szCs w:val="19"/>
              </w:rPr>
              <w:t xml:space="preserve">Alerts must reflect when the activity happened, not when it was collected</w:t>
            </w:r>
          </w:p>
        </w:tc>
        <w:tc>
          <w:tcPr>
            <w:tcW w:type="dxa" w:w="4626"/>
            <w:tcMar>
              <w:top w:type="dxa" w:w="60"/>
              <w:left w:type="dxa" w:w="100"/>
              <w:bottom w:type="dxa" w:w="60"/>
              <w:right w:type="dxa" w:w="100"/>
            </w:tcMar>
          </w:tcPr>
          <w:p>
            <w:pPr>
              <w:spacing w:after="0" w:line="250"/>
            </w:pPr>
            <w:r>
              <w:rPr>
                <w:sz w:val="19"/>
                <w:szCs w:val="19"/>
              </w:rPr>
              <w:t xml:space="preserve">Event time derived from the record's own timestamp, with tolerant parsing across the four log formats</w:t>
            </w:r>
          </w:p>
        </w:tc>
        <w:tc>
          <w:tcPr>
            <w:tcW w:type="dxa" w:w="1500"/>
            <w:tcMar>
              <w:top w:type="dxa" w:w="60"/>
              <w:left w:type="dxa" w:w="100"/>
              <w:bottom w:type="dxa" w:w="60"/>
              <w:right w:type="dxa" w:w="100"/>
            </w:tcMar>
          </w:tcPr>
          <w:p>
            <w:pPr>
              <w:spacing w:after="0" w:line="250"/>
            </w:pPr>
            <w:r>
              <w:rPr>
                <w:sz w:val="19"/>
                <w:szCs w:val="19"/>
              </w:rPr>
              <w:t xml:space="preserve">FR-10, §9.1</w:t>
            </w:r>
          </w:p>
        </w:tc>
      </w:tr>
      <w:tr>
        <w:tc>
          <w:tcPr>
            <w:tcW w:type="dxa" w:w="2900"/>
            <w:tcMar>
              <w:top w:type="dxa" w:w="60"/>
              <w:left w:type="dxa" w:w="100"/>
              <w:bottom w:type="dxa" w:w="60"/>
              <w:right w:type="dxa" w:w="100"/>
            </w:tcMar>
          </w:tcPr>
          <w:p>
            <w:pPr>
              <w:spacing w:after="0" w:line="250"/>
            </w:pPr>
            <w:r>
              <w:rPr>
                <w:sz w:val="19"/>
                <w:szCs w:val="19"/>
              </w:rPr>
              <w:t xml:space="preserve">Rules need the source address, the acting user and the changed values</w:t>
            </w:r>
          </w:p>
        </w:tc>
        <w:tc>
          <w:tcPr>
            <w:tcW w:type="dxa" w:w="4626"/>
            <w:tcMar>
              <w:top w:type="dxa" w:w="60"/>
              <w:left w:type="dxa" w:w="100"/>
              <w:bottom w:type="dxa" w:w="60"/>
              <w:right w:type="dxa" w:w="100"/>
            </w:tcMar>
          </w:tcPr>
          <w:p>
            <w:pPr>
              <w:spacing w:after="0" w:line="250"/>
            </w:pPr>
            <w:r>
              <w:rPr>
                <w:sz w:val="19"/>
                <w:szCs w:val="19"/>
              </w:rPr>
              <w:t xml:space="preserve">Full $select covering every property exposed by each service</w:t>
            </w:r>
          </w:p>
        </w:tc>
        <w:tc>
          <w:tcPr>
            <w:tcW w:type="dxa" w:w="1500"/>
            <w:tcMar>
              <w:top w:type="dxa" w:w="60"/>
              <w:left w:type="dxa" w:w="100"/>
              <w:bottom w:type="dxa" w:w="60"/>
              <w:right w:type="dxa" w:w="100"/>
            </w:tcMar>
          </w:tcPr>
          <w:p>
            <w:pPr>
              <w:spacing w:after="0" w:line="250"/>
            </w:pPr>
            <w:r>
              <w:rPr>
                <w:sz w:val="19"/>
                <w:szCs w:val="19"/>
              </w:rPr>
              <w:t xml:space="preserve">§10, Appendix A</w:t>
            </w:r>
          </w:p>
        </w:tc>
      </w:tr>
      <w:tr>
        <w:tc>
          <w:tcPr>
            <w:tcW w:type="dxa" w:w="2900"/>
            <w:tcMar>
              <w:top w:type="dxa" w:w="60"/>
              <w:left w:type="dxa" w:w="100"/>
              <w:bottom w:type="dxa" w:w="60"/>
              <w:right w:type="dxa" w:w="100"/>
            </w:tcMar>
          </w:tcPr>
          <w:p>
            <w:pPr>
              <w:spacing w:after="0" w:line="250"/>
            </w:pPr>
            <w:r>
              <w:rPr>
                <w:sz w:val="19"/>
                <w:szCs w:val="19"/>
              </w:rPr>
              <w:t xml:space="preserve">Detection must be timely</w:t>
            </w:r>
          </w:p>
        </w:tc>
        <w:tc>
          <w:tcPr>
            <w:tcW w:type="dxa" w:w="4626"/>
            <w:tcMar>
              <w:top w:type="dxa" w:w="60"/>
              <w:left w:type="dxa" w:w="100"/>
              <w:bottom w:type="dxa" w:w="60"/>
              <w:right w:type="dxa" w:w="100"/>
            </w:tcMar>
          </w:tcPr>
          <w:p>
            <w:pPr>
              <w:spacing w:after="0" w:line="250"/>
            </w:pPr>
            <w:r>
              <w:rPr>
                <w:sz w:val="19"/>
                <w:szCs w:val="19"/>
              </w:rPr>
              <w:t xml:space="preserve">Consumer-driven cadence, with bounded backlog drain after any outage</w:t>
            </w:r>
          </w:p>
        </w:tc>
        <w:tc>
          <w:tcPr>
            <w:tcW w:type="dxa" w:w="1500"/>
            <w:tcMar>
              <w:top w:type="dxa" w:w="60"/>
              <w:left w:type="dxa" w:w="100"/>
              <w:bottom w:type="dxa" w:w="60"/>
              <w:right w:type="dxa" w:w="100"/>
            </w:tcMar>
          </w:tcPr>
          <w:p>
            <w:pPr>
              <w:spacing w:after="0" w:line="250"/>
            </w:pPr>
            <w:r>
              <w:rPr>
                <w:sz w:val="19"/>
                <w:szCs w:val="19"/>
              </w:rPr>
              <w:t xml:space="preserve">FR-05, §6.3</w:t>
            </w:r>
          </w:p>
        </w:tc>
      </w:tr>
      <w:tr>
        <w:tc>
          <w:tcPr>
            <w:tcW w:type="dxa" w:w="2900"/>
            <w:tcMar>
              <w:top w:type="dxa" w:w="60"/>
              <w:left w:type="dxa" w:w="100"/>
              <w:bottom w:type="dxa" w:w="60"/>
              <w:right w:type="dxa" w:w="100"/>
            </w:tcMar>
          </w:tcPr>
          <w:p>
            <w:pPr>
              <w:spacing w:after="0" w:line="250"/>
            </w:pPr>
            <w:r>
              <w:rPr>
                <w:sz w:val="19"/>
                <w:szCs w:val="19"/>
              </w:rPr>
              <w:t xml:space="preserve">Re-extraction after a failure must not create false volume spikes</w:t>
            </w:r>
          </w:p>
        </w:tc>
        <w:tc>
          <w:tcPr>
            <w:tcW w:type="dxa" w:w="4626"/>
            <w:tcMar>
              <w:top w:type="dxa" w:w="60"/>
              <w:left w:type="dxa" w:w="100"/>
              <w:bottom w:type="dxa" w:w="60"/>
              <w:right w:type="dxa" w:w="100"/>
            </w:tcMar>
          </w:tcPr>
          <w:p>
            <w:pPr>
              <w:spacing w:after="0" w:line="250"/>
            </w:pPr>
            <w:r>
              <w:rPr>
                <w:sz w:val="19"/>
                <w:szCs w:val="19"/>
              </w:rPr>
              <w:t xml:space="preserve">Documented natural deduplication key per interface</w:t>
            </w:r>
          </w:p>
        </w:tc>
        <w:tc>
          <w:tcPr>
            <w:tcW w:type="dxa" w:w="1500"/>
            <w:tcMar>
              <w:top w:type="dxa" w:w="60"/>
              <w:left w:type="dxa" w:w="100"/>
              <w:bottom w:type="dxa" w:w="60"/>
              <w:right w:type="dxa" w:w="100"/>
            </w:tcMar>
          </w:tcPr>
          <w:p>
            <w:pPr>
              <w:spacing w:after="0" w:line="250"/>
            </w:pPr>
            <w:r>
              <w:rPr>
                <w:sz w:val="19"/>
                <w:szCs w:val="19"/>
              </w:rPr>
              <w:t xml:space="preserve">FR-04, §9.2</w:t>
            </w:r>
          </w:p>
        </w:tc>
      </w:tr>
      <w:tr>
        <w:tc>
          <w:tcPr>
            <w:tcW w:type="dxa" w:w="2900"/>
            <w:tcMar>
              <w:top w:type="dxa" w:w="60"/>
              <w:left w:type="dxa" w:w="100"/>
              <w:bottom w:type="dxa" w:w="60"/>
              <w:right w:type="dxa" w:w="100"/>
            </w:tcMar>
          </w:tcPr>
          <w:p>
            <w:pPr>
              <w:spacing w:after="0" w:line="250"/>
            </w:pPr>
            <w:r>
              <w:rPr>
                <w:sz w:val="19"/>
                <w:szCs w:val="19"/>
              </w:rPr>
              <w:t xml:space="preserve">An extraction outage must be visible, not silent</w:t>
            </w:r>
          </w:p>
        </w:tc>
        <w:tc>
          <w:tcPr>
            <w:tcW w:type="dxa" w:w="4626"/>
            <w:tcMar>
              <w:top w:type="dxa" w:w="60"/>
              <w:left w:type="dxa" w:w="100"/>
              <w:bottom w:type="dxa" w:w="60"/>
              <w:right w:type="dxa" w:w="100"/>
            </w:tcMar>
          </w:tcPr>
          <w:p>
            <w:pPr>
              <w:spacing w:after="0" w:line="250"/>
            </w:pPr>
            <w:r>
              <w:rPr>
                <w:sz w:val="19"/>
                <w:szCs w:val="19"/>
              </w:rPr>
              <w:t xml:space="preserve">HTTP 500 with error detail, MPL custom status, and X- headers on every reply</w:t>
            </w:r>
          </w:p>
        </w:tc>
        <w:tc>
          <w:tcPr>
            <w:tcW w:type="dxa" w:w="1500"/>
            <w:tcMar>
              <w:top w:type="dxa" w:w="60"/>
              <w:left w:type="dxa" w:w="100"/>
              <w:bottom w:type="dxa" w:w="60"/>
              <w:right w:type="dxa" w:w="100"/>
            </w:tcMar>
          </w:tcPr>
          <w:p>
            <w:pPr>
              <w:spacing w:after="0" w:line="250"/>
            </w:pPr>
            <w:r>
              <w:rPr>
                <w:sz w:val="19"/>
                <w:szCs w:val="19"/>
              </w:rPr>
              <w:t xml:space="preserve">FR-12, §17</w:t>
            </w:r>
          </w:p>
        </w:tc>
      </w:tr>
    </w:tbl>
    <w:p>
      <w:r>
        <w:br w:type="page"/>
      </w:r>
    </w:p>
    <w:p>
      <w:pPr>
        <w:pStyle w:val="Heading1"/>
        <w:spacing w:after="140" w:before="320"/>
      </w:pPr>
      <w:r>
        <w:t xml:space="preserve">3. Solution Architecture</w:t>
      </w:r>
    </w:p>
    <w:p>
      <w:pPr>
        <w:pStyle w:val="Heading2"/>
        <w:spacing w:after="140" w:before="240"/>
      </w:pPr>
      <w:r>
        <w:t xml:space="preserve">3.1 Overview</w:t>
      </w:r>
    </w:p>
    <w:p>
      <w:pPr>
        <w:spacing w:after="120" w:line="276"/>
      </w:pPr>
      <w:r>
        <w:rPr>
          <w:sz w:val="21"/>
          <w:szCs w:val="21"/>
        </w:rPr>
        <w:t xml:space="preserve">Each interface is a stateless-per-invocation, request-reply (pull) service. A consumer calls the CPI HTTPS endpoint; CPI determines the delta window from its persisted high-water mark, pages through the S/4HANA OData service, converts each page to Splunk HEC NDJSON, and returns the accumulated events in the HTTP response body. CPI does not push to Splunk.</w:t>
      </w:r>
    </w:p>
    <w:p>
      <w:pPr>
        <w:spacing w:before="120" w:after="120"/>
        <w:jc w:val="center"/>
      </w:pPr>
      <w:r>
        <w:object w:dxaOrig="9000" w:dyaOrig="295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0.0pt;height:147.6pt" o:ole="">
            <v:imagedata r:id="rId12" o:title=""/>
          </v:shape>
          <o:OLEObject Type="Embed" ProgID="PowerPoint.Show.12" ShapeID="_x0000_i1025" DrawAspect="Content" ObjectID="_1780000001" r:id="rId13"/>
        </w:object>
      </w:r>
    </w:p>
    <w:p>
      <w:pPr>
        <w:spacing w:after="200"/>
        <w:jc w:val="center"/>
      </w:pPr>
      <w:r>
        <w:rPr>
          <w:i/>
          <w:iCs/>
          <w:color w:val="595959"/>
          <w:sz w:val="18"/>
          <w:szCs w:val="18"/>
        </w:rPr>
        <w:t xml:space="preserve">Figure 1 — High-level flow: Splunk pulls, CPI extracts, S/4HANA Cloud serves</w:t>
      </w:r>
    </w:p>
    <w:p>
      <w:pPr>
        <w:pStyle w:val="Heading2"/>
        <w:spacing w:after="140" w:before="240"/>
      </w:pPr>
      <w:r>
        <w:t xml:space="preserve">3.2 Design decision: reply vs. push</w:t>
      </w:r>
    </w:p>
    <w:p>
      <w:pPr>
        <w:spacing w:after="120" w:line="276"/>
      </w:pPr>
      <w:r>
        <w:rPr>
          <w:sz w:val="21"/>
          <w:szCs w:val="21"/>
        </w:rPr>
        <w:t xml:space="preserve">An earlier iteration pushed events to the Splunk HEC endpoint and replied HTTP 200. The adopted design instead returns the events as the HTTP response. Consequences of this decision are load-bearing for the rest of this specification:</w:t>
      </w:r>
    </w:p>
    <w:tbl>
      <w:tblPr>
        <w:tblW w:type="dxa" w:w="9026"/>
        <w:tblBorders>
          <w:top w:val="single" w:color="8EA9DB" w:sz="4"/>
          <w:left w:val="single" w:color="8EA9DB" w:sz="4"/>
          <w:bottom w:val="single" w:color="8EA9DB" w:sz="4"/>
          <w:right w:val="single" w:color="8EA9DB" w:sz="4"/>
          <w:insideH w:val="single" w:color="B4C6E7" w:sz="3"/>
          <w:insideV w:val="single" w:color="B4C6E7" w:sz="3"/>
        </w:tblBorders>
      </w:tblPr>
      <w:tblGrid>
        <w:gridCol w:w="2300"/>
        <w:gridCol w:w="6726"/>
      </w:tblGrid>
      <w:tr>
        <w:tc>
          <w:tcPr>
            <w:tcW w:type="dxa" w:w="2300"/>
            <w:tcMar>
              <w:top w:type="dxa" w:w="60"/>
              <w:left w:type="dxa" w:w="100"/>
              <w:bottom w:type="dxa" w:w="60"/>
              <w:right w:type="dxa" w:w="100"/>
            </w:tcMar>
          </w:tcPr>
          <w:p>
            <w:pPr>
              <w:spacing w:after="0" w:line="250"/>
            </w:pPr>
            <w:r>
              <w:rPr>
                <w:b/>
                <w:bCs/>
                <w:sz w:val="19"/>
                <w:szCs w:val="19"/>
              </w:rPr>
              <w:t xml:space="preserve">Advantage</w:t>
            </w:r>
          </w:p>
        </w:tc>
        <w:tc>
          <w:tcPr>
            <w:tcW w:type="dxa" w:w="6726"/>
            <w:tcMar>
              <w:top w:type="dxa" w:w="60"/>
              <w:left w:type="dxa" w:w="100"/>
              <w:bottom w:type="dxa" w:w="60"/>
              <w:right w:type="dxa" w:w="100"/>
            </w:tcMar>
          </w:tcPr>
          <w:p>
            <w:pPr>
              <w:spacing w:after="0" w:line="250"/>
            </w:pPr>
            <w:r>
              <w:rPr>
                <w:sz w:val="19"/>
                <w:szCs w:val="19"/>
              </w:rPr>
              <w:t xml:space="preserve">No outbound firewall path or HEC token needed in CPI; the consumer controls ingestion pace and retry; a single call is self-describing and easy to test.</w:t>
            </w:r>
          </w:p>
        </w:tc>
      </w:tr>
      <w:tr>
        <w:tc>
          <w:tcPr>
            <w:tcW w:type="dxa" w:w="2300"/>
            <w:tcMar>
              <w:top w:type="dxa" w:w="60"/>
              <w:left w:type="dxa" w:w="100"/>
              <w:bottom w:type="dxa" w:w="60"/>
              <w:right w:type="dxa" w:w="100"/>
            </w:tcMar>
          </w:tcPr>
          <w:p>
            <w:pPr>
              <w:spacing w:after="0" w:line="250"/>
            </w:pPr>
            <w:r>
              <w:rPr>
                <w:b/>
                <w:bCs/>
                <w:sz w:val="19"/>
                <w:szCs w:val="19"/>
              </w:rPr>
              <w:t xml:space="preserve">Consequence</w:t>
            </w:r>
          </w:p>
        </w:tc>
        <w:tc>
          <w:tcPr>
            <w:tcW w:type="dxa" w:w="6726"/>
            <w:tcMar>
              <w:top w:type="dxa" w:w="60"/>
              <w:left w:type="dxa" w:w="100"/>
              <w:bottom w:type="dxa" w:w="60"/>
              <w:right w:type="dxa" w:w="100"/>
            </w:tcMar>
          </w:tcPr>
          <w:p>
            <w:pPr>
              <w:spacing w:after="0" w:line="250"/>
            </w:pPr>
            <w:r>
              <w:rPr>
                <w:sz w:val="19"/>
                <w:szCs w:val="19"/>
              </w:rPr>
              <w:t xml:space="preserve">The whole delta window must be buffered in memory to be returned in one response — which makes the window cap in section 6.3 mandatory, not optional.</w:t>
            </w:r>
          </w:p>
        </w:tc>
      </w:tr>
      <w:tr>
        <w:tc>
          <w:tcPr>
            <w:tcW w:type="dxa" w:w="2300"/>
            <w:tcMar>
              <w:top w:type="dxa" w:w="60"/>
              <w:left w:type="dxa" w:w="100"/>
              <w:bottom w:type="dxa" w:w="60"/>
              <w:right w:type="dxa" w:w="100"/>
            </w:tcMar>
          </w:tcPr>
          <w:p>
            <w:pPr>
              <w:spacing w:after="0" w:line="250"/>
            </w:pPr>
            <w:r>
              <w:rPr>
                <w:b/>
                <w:bCs/>
                <w:sz w:val="19"/>
                <w:szCs w:val="19"/>
              </w:rPr>
              <w:t xml:space="preserve">Consequence</w:t>
            </w:r>
          </w:p>
        </w:tc>
        <w:tc>
          <w:tcPr>
            <w:tcW w:type="dxa" w:w="6726"/>
            <w:tcMar>
              <w:top w:type="dxa" w:w="60"/>
              <w:left w:type="dxa" w:w="100"/>
              <w:bottom w:type="dxa" w:w="60"/>
              <w:right w:type="dxa" w:w="100"/>
            </w:tcMar>
          </w:tcPr>
          <w:p>
            <w:pPr>
              <w:spacing w:after="0" w:line="250"/>
            </w:pPr>
            <w:r>
              <w:rPr>
                <w:sz w:val="19"/>
                <w:szCs w:val="19"/>
              </w:rPr>
              <w:t xml:space="preserve">CPI cannot confirm the consumer ingested the reply, so delivery is at-least-once with consumer-side deduplication (section 9.2).</w:t>
            </w:r>
          </w:p>
        </w:tc>
      </w:tr>
    </w:tbl>
    <w:p>
      <w:pPr>
        <w:pStyle w:val="Heading2"/>
        <w:spacing w:after="140" w:before="240"/>
      </w:pPr>
      <w:r>
        <w:t xml:space="preserve">3.3 Trigger model</w:t>
      </w:r>
    </w:p>
    <w:p>
      <w:pPr>
        <w:spacing w:after="120" w:line="276"/>
      </w:pPr>
      <w:r>
        <w:rPr>
          <w:sz w:val="21"/>
          <w:szCs w:val="21"/>
        </w:rPr>
        <w:t xml:space="preserve">The cadence lives in the calling scheduler (Splunk modular input, BTP Job Scheduling Service, Control-M or equivalent), not in a CPI timer. This keeps the iFlow stateless per call, allows on-demand replay, and lets backlog draining run faster than the normal cadence.</w:t>
      </w:r>
    </w:p>
    <w:p>
      <w:pPr>
        <w:pStyle w:val="Heading2"/>
        <w:spacing w:after="140" w:before="240"/>
      </w:pPr>
      <w:r>
        <w:t xml:space="preserve">3.4 Common flow structure</w:t>
      </w:r>
    </w:p>
    <w:p>
      <w:pPr>
        <w:spacing w:after="120" w:line="276"/>
      </w:pPr>
      <w:r>
        <w:rPr>
          <w:sz w:val="21"/>
          <w:szCs w:val="21"/>
        </w:rPr>
        <w:t xml:space="preserve">All four artifacts are structurally identical (17 flow steps); only the OData channel, field names and identifiers differ.</w:t>
      </w:r>
    </w:p>
    <w:p>
      <w:pPr>
        <w:spacing w:before="120" w:after="120"/>
        <w:jc w:val="center"/>
      </w:pPr>
      <w:r>
        <w:object w:dxaOrig="9000" w:dyaOrig="770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450.0pt;height:385.2pt" o:ole="">
            <v:imagedata r:id="rId14" o:title=""/>
          </v:shape>
          <o:OLEObject Type="Embed" ProgID="PowerPoint.Show.12" ShapeID="_x0000_i1026" DrawAspect="Content" ObjectID="_1780000002" r:id="rId15"/>
        </w:object>
      </w:r>
    </w:p>
    <w:p>
      <w:pPr>
        <w:spacing w:after="200"/>
        <w:jc w:val="center"/>
      </w:pPr>
      <w:r>
        <w:rPr>
          <w:i/>
          <w:iCs/>
          <w:color w:val="595959"/>
          <w:sz w:val="18"/>
          <w:szCs w:val="18"/>
        </w:rPr>
        <w:t xml:space="preserve">Figure 2 — Detailed flow (identical across all four interfaces)</w:t>
      </w:r>
    </w:p>
    <w:p>
      <w:r>
        <w:br w:type="page"/>
      </w:r>
    </w:p>
    <w:p>
      <w:pPr>
        <w:pStyle w:val="Heading1"/>
        <w:spacing w:after="140" w:before="320"/>
      </w:pPr>
      <w:r>
        <w:t xml:space="preserve">4. Interface Inventory</w:t>
      </w:r>
    </w:p>
    <w:tbl>
      <w:tblPr>
        <w:tblW w:type="dxa" w:w="9026"/>
        <w:tblBorders>
          <w:top w:val="single" w:color="8EA9DB" w:sz="4"/>
          <w:left w:val="single" w:color="8EA9DB" w:sz="4"/>
          <w:bottom w:val="single" w:color="8EA9DB" w:sz="4"/>
          <w:right w:val="single" w:color="8EA9DB" w:sz="4"/>
          <w:insideH w:val="single" w:color="B4C6E7" w:sz="3"/>
          <w:insideV w:val="single" w:color="B4C6E7" w:sz="3"/>
        </w:tblBorders>
      </w:tblPr>
      <w:tblGrid>
        <w:gridCol w:w="850"/>
        <w:gridCol w:w="2250"/>
        <w:gridCol w:w="1150"/>
        <w:gridCol w:w="2000"/>
        <w:gridCol w:w="2776"/>
      </w:tblGrid>
      <w:tr>
        <w:trPr>
          <w:tblHeader/>
        </w:trPr>
        <w:tc>
          <w:tcPr>
            <w:tcW w:type="dxa" w:w="850"/>
            <w:shd w:fill="D9E2F3" w:color="auto" w:val="clear"/>
            <w:tcMar>
              <w:top w:type="dxa" w:w="60"/>
              <w:left w:type="dxa" w:w="100"/>
              <w:bottom w:type="dxa" w:w="60"/>
              <w:right w:type="dxa" w:w="100"/>
            </w:tcMar>
          </w:tcPr>
          <w:p>
            <w:pPr>
              <w:spacing w:after="0" w:line="250"/>
            </w:pPr>
            <w:r>
              <w:rPr>
                <w:b/>
                <w:bCs/>
                <w:sz w:val="19"/>
                <w:szCs w:val="19"/>
              </w:rPr>
              <w:t xml:space="preserve">ID</w:t>
            </w:r>
          </w:p>
        </w:tc>
        <w:tc>
          <w:tcPr>
            <w:tcW w:type="dxa" w:w="2250"/>
            <w:shd w:fill="D9E2F3" w:color="auto" w:val="clear"/>
            <w:tcMar>
              <w:top w:type="dxa" w:w="60"/>
              <w:left w:type="dxa" w:w="100"/>
              <w:bottom w:type="dxa" w:w="60"/>
              <w:right w:type="dxa" w:w="100"/>
            </w:tcMar>
          </w:tcPr>
          <w:p>
            <w:pPr>
              <w:spacing w:after="0" w:line="250"/>
            </w:pPr>
            <w:r>
              <w:rPr>
                <w:b/>
                <w:bCs/>
                <w:sz w:val="19"/>
                <w:szCs w:val="19"/>
              </w:rPr>
              <w:t xml:space="preserve">Log type</w:t>
            </w:r>
          </w:p>
        </w:tc>
        <w:tc>
          <w:tcPr>
            <w:tcW w:type="dxa" w:w="1150"/>
            <w:shd w:fill="D9E2F3" w:color="auto" w:val="clear"/>
            <w:tcMar>
              <w:top w:type="dxa" w:w="60"/>
              <w:left w:type="dxa" w:w="100"/>
              <w:bottom w:type="dxa" w:w="60"/>
              <w:right w:type="dxa" w:w="100"/>
            </w:tcMar>
          </w:tcPr>
          <w:p>
            <w:pPr>
              <w:spacing w:after="0" w:line="250"/>
            </w:pPr>
            <w:r>
              <w:rPr>
                <w:b/>
                <w:bCs/>
                <w:sz w:val="19"/>
                <w:szCs w:val="19"/>
              </w:rPr>
              <w:t xml:space="preserve">OData</w:t>
            </w:r>
          </w:p>
        </w:tc>
        <w:tc>
          <w:tcPr>
            <w:tcW w:type="dxa" w:w="2000"/>
            <w:shd w:fill="D9E2F3" w:color="auto" w:val="clear"/>
            <w:tcMar>
              <w:top w:type="dxa" w:w="60"/>
              <w:left w:type="dxa" w:w="100"/>
              <w:bottom w:type="dxa" w:w="60"/>
              <w:right w:type="dxa" w:w="100"/>
            </w:tcMar>
          </w:tcPr>
          <w:p>
            <w:pPr>
              <w:spacing w:after="0" w:line="250"/>
            </w:pPr>
            <w:r>
              <w:rPr>
                <w:b/>
                <w:bCs/>
                <w:sz w:val="19"/>
                <w:szCs w:val="19"/>
              </w:rPr>
              <w:t xml:space="preserve">Entity set</w:t>
            </w:r>
          </w:p>
        </w:tc>
        <w:tc>
          <w:tcPr>
            <w:tcW w:type="dxa" w:w="2776"/>
            <w:shd w:fill="D9E2F3" w:color="auto" w:val="clear"/>
            <w:tcMar>
              <w:top w:type="dxa" w:w="60"/>
              <w:left w:type="dxa" w:w="100"/>
              <w:bottom w:type="dxa" w:w="60"/>
              <w:right w:type="dxa" w:w="100"/>
            </w:tcMar>
          </w:tcPr>
          <w:p>
            <w:pPr>
              <w:spacing w:after="0" w:line="250"/>
            </w:pPr>
            <w:r>
              <w:rPr>
                <w:b/>
                <w:bCs/>
                <w:sz w:val="19"/>
                <w:szCs w:val="19"/>
              </w:rPr>
              <w:t xml:space="preserve">Endpoint</w:t>
            </w:r>
          </w:p>
        </w:tc>
      </w:tr>
      <w:tr>
        <w:tc>
          <w:tcPr>
            <w:tcW w:type="dxa" w:w="850"/>
            <w:tcMar>
              <w:top w:type="dxa" w:w="60"/>
              <w:left w:type="dxa" w:w="100"/>
              <w:bottom w:type="dxa" w:w="60"/>
              <w:right w:type="dxa" w:w="100"/>
            </w:tcMar>
          </w:tcPr>
          <w:p>
            <w:pPr>
              <w:spacing w:after="0" w:line="250"/>
            </w:pPr>
            <w:r>
              <w:rPr>
                <w:sz w:val="19"/>
                <w:szCs w:val="19"/>
              </w:rPr>
              <w:t xml:space="preserve">IF-01</w:t>
            </w:r>
          </w:p>
        </w:tc>
        <w:tc>
          <w:tcPr>
            <w:tcW w:type="dxa" w:w="2250"/>
            <w:tcMar>
              <w:top w:type="dxa" w:w="60"/>
              <w:left w:type="dxa" w:w="100"/>
              <w:bottom w:type="dxa" w:w="60"/>
              <w:right w:type="dxa" w:w="100"/>
            </w:tcMar>
          </w:tcPr>
          <w:p>
            <w:pPr>
              <w:spacing w:after="0" w:line="250"/>
            </w:pPr>
            <w:r>
              <w:rPr>
                <w:sz w:val="19"/>
                <w:szCs w:val="19"/>
              </w:rPr>
              <w:t xml:space="preserve">Security Audit Log</w:t>
            </w:r>
          </w:p>
        </w:tc>
        <w:tc>
          <w:tcPr>
            <w:tcW w:type="dxa" w:w="1150"/>
            <w:tcMar>
              <w:top w:type="dxa" w:w="60"/>
              <w:left w:type="dxa" w:w="100"/>
              <w:bottom w:type="dxa" w:w="60"/>
              <w:right w:type="dxa" w:w="100"/>
            </w:tcMar>
          </w:tcPr>
          <w:p>
            <w:pPr>
              <w:spacing w:after="0" w:line="250"/>
            </w:pPr>
            <w:r>
              <w:rPr>
                <w:sz w:val="19"/>
                <w:szCs w:val="19"/>
              </w:rPr>
              <w:t xml:space="preserve">OData V4</w:t>
            </w:r>
          </w:p>
        </w:tc>
        <w:tc>
          <w:tcPr>
            <w:tcW w:type="dxa" w:w="2000"/>
            <w:tcMar>
              <w:top w:type="dxa" w:w="60"/>
              <w:left w:type="dxa" w:w="100"/>
              <w:bottom w:type="dxa" w:w="60"/>
              <w:right w:type="dxa" w:w="100"/>
            </w:tcMar>
          </w:tcPr>
          <w:p>
            <w:pPr>
              <w:spacing w:after="0" w:line="250"/>
            </w:pPr>
            <w:r>
              <w:rPr>
                <w:sz w:val="19"/>
                <w:szCs w:val="19"/>
              </w:rPr>
              <w:t xml:space="preserve">SecurityAuditLog</w:t>
            </w:r>
          </w:p>
        </w:tc>
        <w:tc>
          <w:tcPr>
            <w:tcW w:type="dxa" w:w="2776"/>
            <w:tcMar>
              <w:top w:type="dxa" w:w="60"/>
              <w:left w:type="dxa" w:w="100"/>
              <w:bottom w:type="dxa" w:w="60"/>
              <w:right w:type="dxa" w:w="100"/>
            </w:tcMar>
          </w:tcPr>
          <w:p>
            <w:pPr>
              <w:spacing w:after="0" w:line="250"/>
            </w:pPr>
            <w:r>
              <w:rPr>
                <w:rFonts w:ascii="Consolas" w:cs="Consolas" w:eastAsia="Consolas" w:hAnsi="Consolas"/>
                <w:sz w:val="19"/>
                <w:szCs w:val="19"/>
              </w:rPr>
              <w:t xml:space="preserve">/extract/secauditlog</w:t>
            </w:r>
          </w:p>
        </w:tc>
      </w:tr>
      <w:tr>
        <w:tc>
          <w:tcPr>
            <w:tcW w:type="dxa" w:w="850"/>
            <w:tcMar>
              <w:top w:type="dxa" w:w="60"/>
              <w:left w:type="dxa" w:w="100"/>
              <w:bottom w:type="dxa" w:w="60"/>
              <w:right w:type="dxa" w:w="100"/>
            </w:tcMar>
          </w:tcPr>
          <w:p>
            <w:pPr>
              <w:spacing w:after="0" w:line="250"/>
            </w:pPr>
            <w:r>
              <w:rPr>
                <w:sz w:val="19"/>
                <w:szCs w:val="19"/>
              </w:rPr>
              <w:t xml:space="preserve">IF-02</w:t>
            </w:r>
          </w:p>
        </w:tc>
        <w:tc>
          <w:tcPr>
            <w:tcW w:type="dxa" w:w="2250"/>
            <w:tcMar>
              <w:top w:type="dxa" w:w="60"/>
              <w:left w:type="dxa" w:w="100"/>
              <w:bottom w:type="dxa" w:w="60"/>
              <w:right w:type="dxa" w:w="100"/>
            </w:tcMar>
          </w:tcPr>
          <w:p>
            <w:pPr>
              <w:spacing w:after="0" w:line="250"/>
            </w:pPr>
            <w:r>
              <w:rPr>
                <w:sz w:val="19"/>
                <w:szCs w:val="19"/>
              </w:rPr>
              <w:t xml:space="preserve">Read Access Log (RAL)</w:t>
            </w:r>
          </w:p>
        </w:tc>
        <w:tc>
          <w:tcPr>
            <w:tcW w:type="dxa" w:w="1150"/>
            <w:tcMar>
              <w:top w:type="dxa" w:w="60"/>
              <w:left w:type="dxa" w:w="100"/>
              <w:bottom w:type="dxa" w:w="60"/>
              <w:right w:type="dxa" w:w="100"/>
            </w:tcMar>
          </w:tcPr>
          <w:p>
            <w:pPr>
              <w:spacing w:after="0" w:line="250"/>
            </w:pPr>
            <w:r>
              <w:rPr>
                <w:sz w:val="19"/>
                <w:szCs w:val="19"/>
              </w:rPr>
              <w:t xml:space="preserve">OData V4</w:t>
            </w:r>
          </w:p>
        </w:tc>
        <w:tc>
          <w:tcPr>
            <w:tcW w:type="dxa" w:w="2000"/>
            <w:tcMar>
              <w:top w:type="dxa" w:w="60"/>
              <w:left w:type="dxa" w:w="100"/>
              <w:bottom w:type="dxa" w:w="60"/>
              <w:right w:type="dxa" w:w="100"/>
            </w:tcMar>
          </w:tcPr>
          <w:p>
            <w:pPr>
              <w:spacing w:after="0" w:line="250"/>
            </w:pPr>
            <w:r>
              <w:rPr>
                <w:sz w:val="19"/>
                <w:szCs w:val="19"/>
              </w:rPr>
              <w:t xml:space="preserve">ReadAccessLogRAW</w:t>
            </w:r>
          </w:p>
        </w:tc>
        <w:tc>
          <w:tcPr>
            <w:tcW w:type="dxa" w:w="2776"/>
            <w:tcMar>
              <w:top w:type="dxa" w:w="60"/>
              <w:left w:type="dxa" w:w="100"/>
              <w:bottom w:type="dxa" w:w="60"/>
              <w:right w:type="dxa" w:w="100"/>
            </w:tcMar>
          </w:tcPr>
          <w:p>
            <w:pPr>
              <w:spacing w:after="0" w:line="250"/>
            </w:pPr>
            <w:r>
              <w:rPr>
                <w:rFonts w:ascii="Consolas" w:cs="Consolas" w:eastAsia="Consolas" w:hAnsi="Consolas"/>
                <w:sz w:val="19"/>
                <w:szCs w:val="19"/>
              </w:rPr>
              <w:t xml:space="preserve">/extract/readaccesslog</w:t>
            </w:r>
          </w:p>
        </w:tc>
      </w:tr>
      <w:tr>
        <w:tc>
          <w:tcPr>
            <w:tcW w:type="dxa" w:w="850"/>
            <w:tcMar>
              <w:top w:type="dxa" w:w="60"/>
              <w:left w:type="dxa" w:w="100"/>
              <w:bottom w:type="dxa" w:w="60"/>
              <w:right w:type="dxa" w:w="100"/>
            </w:tcMar>
          </w:tcPr>
          <w:p>
            <w:pPr>
              <w:spacing w:after="0" w:line="250"/>
            </w:pPr>
            <w:r>
              <w:rPr>
                <w:sz w:val="19"/>
                <w:szCs w:val="19"/>
              </w:rPr>
              <w:t xml:space="preserve">IF-03</w:t>
            </w:r>
          </w:p>
        </w:tc>
        <w:tc>
          <w:tcPr>
            <w:tcW w:type="dxa" w:w="2250"/>
            <w:tcMar>
              <w:top w:type="dxa" w:w="60"/>
              <w:left w:type="dxa" w:w="100"/>
              <w:bottom w:type="dxa" w:w="60"/>
              <w:right w:type="dxa" w:w="100"/>
            </w:tcMar>
          </w:tcPr>
          <w:p>
            <w:pPr>
              <w:spacing w:after="0" w:line="250"/>
            </w:pPr>
            <w:r>
              <w:rPr>
                <w:sz w:val="19"/>
                <w:szCs w:val="19"/>
              </w:rPr>
              <w:t xml:space="preserve">Business User Changes</w:t>
            </w:r>
          </w:p>
        </w:tc>
        <w:tc>
          <w:tcPr>
            <w:tcW w:type="dxa" w:w="1150"/>
            <w:tcMar>
              <w:top w:type="dxa" w:w="60"/>
              <w:left w:type="dxa" w:w="100"/>
              <w:bottom w:type="dxa" w:w="60"/>
              <w:right w:type="dxa" w:w="100"/>
            </w:tcMar>
          </w:tcPr>
          <w:p>
            <w:pPr>
              <w:spacing w:after="0" w:line="250"/>
            </w:pPr>
            <w:r>
              <w:rPr>
                <w:sz w:val="19"/>
                <w:szCs w:val="19"/>
              </w:rPr>
              <w:t xml:space="preserve">OData V2</w:t>
            </w:r>
          </w:p>
        </w:tc>
        <w:tc>
          <w:tcPr>
            <w:tcW w:type="dxa" w:w="2000"/>
            <w:tcMar>
              <w:top w:type="dxa" w:w="60"/>
              <w:left w:type="dxa" w:w="100"/>
              <w:bottom w:type="dxa" w:w="60"/>
              <w:right w:type="dxa" w:w="100"/>
            </w:tcMar>
          </w:tcPr>
          <w:p>
            <w:pPr>
              <w:spacing w:after="0" w:line="250"/>
            </w:pPr>
            <w:r>
              <w:rPr>
                <w:sz w:val="19"/>
                <w:szCs w:val="19"/>
              </w:rPr>
              <w:t xml:space="preserve">BusinessUserChanges</w:t>
            </w:r>
          </w:p>
        </w:tc>
        <w:tc>
          <w:tcPr>
            <w:tcW w:type="dxa" w:w="2776"/>
            <w:tcMar>
              <w:top w:type="dxa" w:w="60"/>
              <w:left w:type="dxa" w:w="100"/>
              <w:bottom w:type="dxa" w:w="60"/>
              <w:right w:type="dxa" w:w="100"/>
            </w:tcMar>
          </w:tcPr>
          <w:p>
            <w:pPr>
              <w:spacing w:after="0" w:line="250"/>
            </w:pPr>
            <w:r>
              <w:rPr>
                <w:rFonts w:ascii="Consolas" w:cs="Consolas" w:eastAsia="Consolas" w:hAnsi="Consolas"/>
                <w:sz w:val="19"/>
                <w:szCs w:val="19"/>
              </w:rPr>
              <w:t xml:space="preserve">/extract/businessuserchanges</w:t>
            </w:r>
          </w:p>
        </w:tc>
      </w:tr>
      <w:tr>
        <w:tc>
          <w:tcPr>
            <w:tcW w:type="dxa" w:w="850"/>
            <w:tcMar>
              <w:top w:type="dxa" w:w="60"/>
              <w:left w:type="dxa" w:w="100"/>
              <w:bottom w:type="dxa" w:w="60"/>
              <w:right w:type="dxa" w:w="100"/>
            </w:tcMar>
          </w:tcPr>
          <w:p>
            <w:pPr>
              <w:spacing w:after="0" w:line="250"/>
            </w:pPr>
            <w:r>
              <w:rPr>
                <w:sz w:val="19"/>
                <w:szCs w:val="19"/>
              </w:rPr>
              <w:t xml:space="preserve">IF-04</w:t>
            </w:r>
          </w:p>
        </w:tc>
        <w:tc>
          <w:tcPr>
            <w:tcW w:type="dxa" w:w="2250"/>
            <w:tcMar>
              <w:top w:type="dxa" w:w="60"/>
              <w:left w:type="dxa" w:w="100"/>
              <w:bottom w:type="dxa" w:w="60"/>
              <w:right w:type="dxa" w:w="100"/>
            </w:tcMar>
          </w:tcPr>
          <w:p>
            <w:pPr>
              <w:spacing w:after="0" w:line="250"/>
            </w:pPr>
            <w:r>
              <w:rPr>
                <w:sz w:val="19"/>
                <w:szCs w:val="19"/>
              </w:rPr>
              <w:t xml:space="preserve">Business Role Changes</w:t>
            </w:r>
          </w:p>
        </w:tc>
        <w:tc>
          <w:tcPr>
            <w:tcW w:type="dxa" w:w="1150"/>
            <w:tcMar>
              <w:top w:type="dxa" w:w="60"/>
              <w:left w:type="dxa" w:w="100"/>
              <w:bottom w:type="dxa" w:w="60"/>
              <w:right w:type="dxa" w:w="100"/>
            </w:tcMar>
          </w:tcPr>
          <w:p>
            <w:pPr>
              <w:spacing w:after="0" w:line="250"/>
            </w:pPr>
            <w:r>
              <w:rPr>
                <w:sz w:val="19"/>
                <w:szCs w:val="19"/>
              </w:rPr>
              <w:t xml:space="preserve">OData V2</w:t>
            </w:r>
          </w:p>
        </w:tc>
        <w:tc>
          <w:tcPr>
            <w:tcW w:type="dxa" w:w="2000"/>
            <w:tcMar>
              <w:top w:type="dxa" w:w="60"/>
              <w:left w:type="dxa" w:w="100"/>
              <w:bottom w:type="dxa" w:w="60"/>
              <w:right w:type="dxa" w:w="100"/>
            </w:tcMar>
          </w:tcPr>
          <w:p>
            <w:pPr>
              <w:spacing w:after="0" w:line="250"/>
            </w:pPr>
            <w:r>
              <w:rPr>
                <w:sz w:val="19"/>
                <w:szCs w:val="19"/>
              </w:rPr>
              <w:t xml:space="preserve">BusinessRoleChanges</w:t>
            </w:r>
          </w:p>
        </w:tc>
        <w:tc>
          <w:tcPr>
            <w:tcW w:type="dxa" w:w="2776"/>
            <w:tcMar>
              <w:top w:type="dxa" w:w="60"/>
              <w:left w:type="dxa" w:w="100"/>
              <w:bottom w:type="dxa" w:w="60"/>
              <w:right w:type="dxa" w:w="100"/>
            </w:tcMar>
          </w:tcPr>
          <w:p>
            <w:pPr>
              <w:spacing w:after="0" w:line="250"/>
            </w:pPr>
            <w:r>
              <w:rPr>
                <w:rFonts w:ascii="Consolas" w:cs="Consolas" w:eastAsia="Consolas" w:hAnsi="Consolas"/>
                <w:sz w:val="19"/>
                <w:szCs w:val="19"/>
              </w:rPr>
              <w:t xml:space="preserve">/extract/businessrolechanges</w:t>
            </w:r>
          </w:p>
        </w:tc>
      </w:tr>
    </w:tbl>
    <w:p>
      <w:pPr>
        <w:spacing w:after="200"/>
      </w:pPr>
    </w:p>
    <w:p>
      <w:pPr>
        <w:spacing w:after="120" w:line="276"/>
      </w:pPr>
      <w:r>
        <w:rPr>
          <w:b/>
          <w:bCs/>
          <w:sz w:val="21"/>
          <w:szCs w:val="21"/>
        </w:rPr>
        <w:t xml:space="preserve">Communication scenario per log type (S/4HANA Cloud prerequisite):</w:t>
      </w:r>
    </w:p>
    <w:tbl>
      <w:tblPr>
        <w:tblW w:type="dxa" w:w="9026"/>
        <w:tblBorders>
          <w:top w:val="single" w:color="8EA9DB" w:sz="4"/>
          <w:left w:val="single" w:color="8EA9DB" w:sz="4"/>
          <w:bottom w:val="single" w:color="8EA9DB" w:sz="4"/>
          <w:right w:val="single" w:color="8EA9DB" w:sz="4"/>
          <w:insideH w:val="single" w:color="B4C6E7" w:sz="3"/>
          <w:insideV w:val="single" w:color="B4C6E7" w:sz="3"/>
        </w:tblBorders>
      </w:tblPr>
      <w:tblGrid>
        <w:gridCol w:w="850"/>
        <w:gridCol w:w="2250"/>
        <w:gridCol w:w="2100"/>
        <w:gridCol w:w="3826"/>
      </w:tblGrid>
      <w:tr>
        <w:trPr>
          <w:tblHeader/>
        </w:trPr>
        <w:tc>
          <w:tcPr>
            <w:tcW w:type="dxa" w:w="850"/>
            <w:shd w:fill="D9E2F3" w:color="auto" w:val="clear"/>
            <w:tcMar>
              <w:top w:type="dxa" w:w="60"/>
              <w:left w:type="dxa" w:w="100"/>
              <w:bottom w:type="dxa" w:w="60"/>
              <w:right w:type="dxa" w:w="100"/>
            </w:tcMar>
          </w:tcPr>
          <w:p>
            <w:pPr>
              <w:spacing w:after="0" w:line="250"/>
            </w:pPr>
            <w:r>
              <w:rPr>
                <w:b/>
                <w:bCs/>
                <w:sz w:val="19"/>
                <w:szCs w:val="19"/>
              </w:rPr>
              <w:t xml:space="preserve">ID</w:t>
            </w:r>
          </w:p>
        </w:tc>
        <w:tc>
          <w:tcPr>
            <w:tcW w:type="dxa" w:w="2250"/>
            <w:shd w:fill="D9E2F3" w:color="auto" w:val="clear"/>
            <w:tcMar>
              <w:top w:type="dxa" w:w="60"/>
              <w:left w:type="dxa" w:w="100"/>
              <w:bottom w:type="dxa" w:w="60"/>
              <w:right w:type="dxa" w:w="100"/>
            </w:tcMar>
          </w:tcPr>
          <w:p>
            <w:pPr>
              <w:spacing w:after="0" w:line="250"/>
            </w:pPr>
            <w:r>
              <w:rPr>
                <w:b/>
                <w:bCs/>
                <w:sz w:val="19"/>
                <w:szCs w:val="19"/>
              </w:rPr>
              <w:t xml:space="preserve">Log type</w:t>
            </w:r>
          </w:p>
        </w:tc>
        <w:tc>
          <w:tcPr>
            <w:tcW w:type="dxa" w:w="2100"/>
            <w:shd w:fill="D9E2F3" w:color="auto" w:val="clear"/>
            <w:tcMar>
              <w:top w:type="dxa" w:w="60"/>
              <w:left w:type="dxa" w:w="100"/>
              <w:bottom w:type="dxa" w:w="60"/>
              <w:right w:type="dxa" w:w="100"/>
            </w:tcMar>
          </w:tcPr>
          <w:p>
            <w:pPr>
              <w:spacing w:after="0" w:line="250"/>
            </w:pPr>
            <w:r>
              <w:rPr>
                <w:b/>
                <w:bCs/>
                <w:sz w:val="19"/>
                <w:szCs w:val="19"/>
              </w:rPr>
              <w:t xml:space="preserve">Comm. scenario</w:t>
            </w:r>
          </w:p>
        </w:tc>
        <w:tc>
          <w:tcPr>
            <w:tcW w:type="dxa" w:w="3826"/>
            <w:shd w:fill="D9E2F3" w:color="auto" w:val="clear"/>
            <w:tcMar>
              <w:top w:type="dxa" w:w="60"/>
              <w:left w:type="dxa" w:w="100"/>
              <w:bottom w:type="dxa" w:w="60"/>
              <w:right w:type="dxa" w:w="100"/>
            </w:tcMar>
          </w:tcPr>
          <w:p>
            <w:pPr>
              <w:spacing w:after="0" w:line="250"/>
            </w:pPr>
            <w:r>
              <w:rPr>
                <w:b/>
                <w:bCs/>
                <w:sz w:val="19"/>
                <w:szCs w:val="19"/>
              </w:rPr>
              <w:t xml:space="preserve">Notes</w:t>
            </w:r>
          </w:p>
        </w:tc>
      </w:tr>
      <w:tr>
        <w:tc>
          <w:tcPr>
            <w:tcW w:type="dxa" w:w="850"/>
            <w:tcMar>
              <w:top w:type="dxa" w:w="60"/>
              <w:left w:type="dxa" w:w="100"/>
              <w:bottom w:type="dxa" w:w="60"/>
              <w:right w:type="dxa" w:w="100"/>
            </w:tcMar>
          </w:tcPr>
          <w:p>
            <w:pPr>
              <w:spacing w:after="0" w:line="250"/>
            </w:pPr>
            <w:r>
              <w:rPr>
                <w:sz w:val="19"/>
                <w:szCs w:val="19"/>
              </w:rPr>
              <w:t xml:space="preserve">IF-01</w:t>
            </w:r>
          </w:p>
        </w:tc>
        <w:tc>
          <w:tcPr>
            <w:tcW w:type="dxa" w:w="2250"/>
            <w:tcMar>
              <w:top w:type="dxa" w:w="60"/>
              <w:left w:type="dxa" w:w="100"/>
              <w:bottom w:type="dxa" w:w="60"/>
              <w:right w:type="dxa" w:w="100"/>
            </w:tcMar>
          </w:tcPr>
          <w:p>
            <w:pPr>
              <w:spacing w:after="0" w:line="250"/>
            </w:pPr>
            <w:r>
              <w:rPr>
                <w:sz w:val="19"/>
                <w:szCs w:val="19"/>
              </w:rPr>
              <w:t xml:space="preserve">Security Audit Log</w:t>
            </w:r>
          </w:p>
        </w:tc>
        <w:tc>
          <w:tcPr>
            <w:tcW w:type="dxa" w:w="2100"/>
            <w:tcMar>
              <w:top w:type="dxa" w:w="60"/>
              <w:left w:type="dxa" w:w="100"/>
              <w:bottom w:type="dxa" w:w="60"/>
              <w:right w:type="dxa" w:w="100"/>
            </w:tcMar>
          </w:tcPr>
          <w:p>
            <w:pPr>
              <w:spacing w:after="0" w:line="250"/>
            </w:pPr>
            <w:r>
              <w:rPr>
                <w:sz w:val="19"/>
                <w:szCs w:val="19"/>
              </w:rPr>
              <w:t xml:space="preserve">SAP_COM_0750</w:t>
            </w:r>
          </w:p>
        </w:tc>
        <w:tc>
          <w:tcPr>
            <w:tcW w:type="dxa" w:w="3826"/>
            <w:tcMar>
              <w:top w:type="dxa" w:w="60"/>
              <w:left w:type="dxa" w:w="100"/>
              <w:bottom w:type="dxa" w:w="60"/>
              <w:right w:type="dxa" w:w="100"/>
            </w:tcMar>
          </w:tcPr>
          <w:p>
            <w:pPr>
              <w:spacing w:after="0" w:line="250"/>
            </w:pPr>
            <w:r>
              <w:rPr>
                <w:sz w:val="19"/>
                <w:szCs w:val="19"/>
              </w:rPr>
              <w:t xml:space="preserve">OData V4 service; native adapter pagination</w:t>
            </w:r>
          </w:p>
        </w:tc>
      </w:tr>
      <w:tr>
        <w:tc>
          <w:tcPr>
            <w:tcW w:type="dxa" w:w="850"/>
            <w:tcMar>
              <w:top w:type="dxa" w:w="60"/>
              <w:left w:type="dxa" w:w="100"/>
              <w:bottom w:type="dxa" w:w="60"/>
              <w:right w:type="dxa" w:w="100"/>
            </w:tcMar>
          </w:tcPr>
          <w:p>
            <w:pPr>
              <w:spacing w:after="0" w:line="250"/>
            </w:pPr>
            <w:r>
              <w:rPr>
                <w:sz w:val="19"/>
                <w:szCs w:val="19"/>
              </w:rPr>
              <w:t xml:space="preserve">IF-02</w:t>
            </w:r>
          </w:p>
        </w:tc>
        <w:tc>
          <w:tcPr>
            <w:tcW w:type="dxa" w:w="2250"/>
            <w:tcMar>
              <w:top w:type="dxa" w:w="60"/>
              <w:left w:type="dxa" w:w="100"/>
              <w:bottom w:type="dxa" w:w="60"/>
              <w:right w:type="dxa" w:w="100"/>
            </w:tcMar>
          </w:tcPr>
          <w:p>
            <w:pPr>
              <w:spacing w:after="0" w:line="250"/>
            </w:pPr>
            <w:r>
              <w:rPr>
                <w:sz w:val="19"/>
                <w:szCs w:val="19"/>
              </w:rPr>
              <w:t xml:space="preserve">Read Access Log (RAL)</w:t>
            </w:r>
          </w:p>
        </w:tc>
        <w:tc>
          <w:tcPr>
            <w:tcW w:type="dxa" w:w="2100"/>
            <w:tcMar>
              <w:top w:type="dxa" w:w="60"/>
              <w:left w:type="dxa" w:w="100"/>
              <w:bottom w:type="dxa" w:w="60"/>
              <w:right w:type="dxa" w:w="100"/>
            </w:tcMar>
          </w:tcPr>
          <w:p>
            <w:pPr>
              <w:spacing w:after="0" w:line="250"/>
            </w:pPr>
            <w:r>
              <w:rPr>
                <w:sz w:val="19"/>
                <w:szCs w:val="19"/>
              </w:rPr>
              <w:t xml:space="preserve">SAP_COM_0915</w:t>
            </w:r>
          </w:p>
        </w:tc>
        <w:tc>
          <w:tcPr>
            <w:tcW w:type="dxa" w:w="3826"/>
            <w:tcMar>
              <w:top w:type="dxa" w:w="60"/>
              <w:left w:type="dxa" w:w="100"/>
              <w:bottom w:type="dxa" w:w="60"/>
              <w:right w:type="dxa" w:w="100"/>
            </w:tcMar>
          </w:tcPr>
          <w:p>
            <w:pPr>
              <w:spacing w:after="0" w:line="250"/>
            </w:pPr>
            <w:r>
              <w:rPr>
                <w:sz w:val="19"/>
                <w:szCs w:val="19"/>
              </w:rPr>
              <w:t xml:space="preserve">OData V4 service; native adapter pagination</w:t>
            </w:r>
          </w:p>
        </w:tc>
      </w:tr>
      <w:tr>
        <w:tc>
          <w:tcPr>
            <w:tcW w:type="dxa" w:w="850"/>
            <w:tcMar>
              <w:top w:type="dxa" w:w="60"/>
              <w:left w:type="dxa" w:w="100"/>
              <w:bottom w:type="dxa" w:w="60"/>
              <w:right w:type="dxa" w:w="100"/>
            </w:tcMar>
          </w:tcPr>
          <w:p>
            <w:pPr>
              <w:spacing w:after="0" w:line="250"/>
            </w:pPr>
            <w:r>
              <w:rPr>
                <w:sz w:val="19"/>
                <w:szCs w:val="19"/>
              </w:rPr>
              <w:t xml:space="preserve">IF-03</w:t>
            </w:r>
          </w:p>
        </w:tc>
        <w:tc>
          <w:tcPr>
            <w:tcW w:type="dxa" w:w="2250"/>
            <w:tcMar>
              <w:top w:type="dxa" w:w="60"/>
              <w:left w:type="dxa" w:w="100"/>
              <w:bottom w:type="dxa" w:w="60"/>
              <w:right w:type="dxa" w:w="100"/>
            </w:tcMar>
          </w:tcPr>
          <w:p>
            <w:pPr>
              <w:spacing w:after="0" w:line="250"/>
            </w:pPr>
            <w:r>
              <w:rPr>
                <w:sz w:val="19"/>
                <w:szCs w:val="19"/>
              </w:rPr>
              <w:t xml:space="preserve">Business User Changes</w:t>
            </w:r>
          </w:p>
        </w:tc>
        <w:tc>
          <w:tcPr>
            <w:tcW w:type="dxa" w:w="2100"/>
            <w:tcMar>
              <w:top w:type="dxa" w:w="60"/>
              <w:left w:type="dxa" w:w="100"/>
              <w:bottom w:type="dxa" w:w="60"/>
              <w:right w:type="dxa" w:w="100"/>
            </w:tcMar>
          </w:tcPr>
          <w:p>
            <w:pPr>
              <w:spacing w:after="0" w:line="250"/>
            </w:pPr>
            <w:r>
              <w:rPr>
                <w:sz w:val="19"/>
                <w:szCs w:val="19"/>
              </w:rPr>
              <w:t xml:space="preserve">SAP_COM_0327</w:t>
            </w:r>
          </w:p>
        </w:tc>
        <w:tc>
          <w:tcPr>
            <w:tcW w:type="dxa" w:w="3826"/>
            <w:tcMar>
              <w:top w:type="dxa" w:w="60"/>
              <w:left w:type="dxa" w:w="100"/>
              <w:bottom w:type="dxa" w:w="60"/>
              <w:right w:type="dxa" w:w="100"/>
            </w:tcMar>
          </w:tcPr>
          <w:p>
            <w:pPr>
              <w:spacing w:after="0" w:line="250"/>
            </w:pPr>
            <w:r>
              <w:rPr>
                <w:sz w:val="19"/>
                <w:szCs w:val="19"/>
              </w:rPr>
              <w:t xml:space="preserve">IAM change-document API; OData V2 semantics</w:t>
            </w:r>
          </w:p>
        </w:tc>
      </w:tr>
      <w:tr>
        <w:tc>
          <w:tcPr>
            <w:tcW w:type="dxa" w:w="850"/>
            <w:tcMar>
              <w:top w:type="dxa" w:w="60"/>
              <w:left w:type="dxa" w:w="100"/>
              <w:bottom w:type="dxa" w:w="60"/>
              <w:right w:type="dxa" w:w="100"/>
            </w:tcMar>
          </w:tcPr>
          <w:p>
            <w:pPr>
              <w:spacing w:after="0" w:line="250"/>
            </w:pPr>
            <w:r>
              <w:rPr>
                <w:sz w:val="19"/>
                <w:szCs w:val="19"/>
              </w:rPr>
              <w:t xml:space="preserve">IF-04</w:t>
            </w:r>
          </w:p>
        </w:tc>
        <w:tc>
          <w:tcPr>
            <w:tcW w:type="dxa" w:w="2250"/>
            <w:tcMar>
              <w:top w:type="dxa" w:w="60"/>
              <w:left w:type="dxa" w:w="100"/>
              <w:bottom w:type="dxa" w:w="60"/>
              <w:right w:type="dxa" w:w="100"/>
            </w:tcMar>
          </w:tcPr>
          <w:p>
            <w:pPr>
              <w:spacing w:after="0" w:line="250"/>
            </w:pPr>
            <w:r>
              <w:rPr>
                <w:sz w:val="19"/>
                <w:szCs w:val="19"/>
              </w:rPr>
              <w:t xml:space="preserve">Business Role Changes</w:t>
            </w:r>
          </w:p>
        </w:tc>
        <w:tc>
          <w:tcPr>
            <w:tcW w:type="dxa" w:w="2100"/>
            <w:tcMar>
              <w:top w:type="dxa" w:w="60"/>
              <w:left w:type="dxa" w:w="100"/>
              <w:bottom w:type="dxa" w:w="60"/>
              <w:right w:type="dxa" w:w="100"/>
            </w:tcMar>
          </w:tcPr>
          <w:p>
            <w:pPr>
              <w:spacing w:after="0" w:line="250"/>
            </w:pPr>
            <w:r>
              <w:rPr>
                <w:sz w:val="19"/>
                <w:szCs w:val="19"/>
              </w:rPr>
              <w:t xml:space="preserve">SAP_COM_0366</w:t>
            </w:r>
          </w:p>
        </w:tc>
        <w:tc>
          <w:tcPr>
            <w:tcW w:type="dxa" w:w="3826"/>
            <w:tcMar>
              <w:top w:type="dxa" w:w="60"/>
              <w:left w:type="dxa" w:w="100"/>
              <w:bottom w:type="dxa" w:w="60"/>
              <w:right w:type="dxa" w:w="100"/>
            </w:tcMar>
          </w:tcPr>
          <w:p>
            <w:pPr>
              <w:spacing w:after="0" w:line="250"/>
            </w:pPr>
            <w:r>
              <w:rPr>
                <w:sz w:val="19"/>
                <w:szCs w:val="19"/>
              </w:rPr>
              <w:t xml:space="preserve">IAM change-document API; OData V2 semantics</w:t>
            </w:r>
          </w:p>
        </w:tc>
      </w:tr>
    </w:tbl>
    <w:p>
      <w:r>
        <w:br w:type="page"/>
      </w:r>
    </w:p>
    <w:p>
      <w:pPr>
        <w:pStyle w:val="Heading1"/>
        <w:spacing w:after="140" w:before="320"/>
      </w:pPr>
      <w:r>
        <w:t xml:space="preserve">5. Functional Requirements</w:t>
      </w:r>
    </w:p>
    <w:tbl>
      <w:tblPr>
        <w:tblW w:type="dxa" w:w="9026"/>
        <w:tblBorders>
          <w:top w:val="single" w:color="8EA9DB" w:sz="4"/>
          <w:left w:val="single" w:color="8EA9DB" w:sz="4"/>
          <w:bottom w:val="single" w:color="8EA9DB" w:sz="4"/>
          <w:right w:val="single" w:color="8EA9DB" w:sz="4"/>
          <w:insideH w:val="single" w:color="B4C6E7" w:sz="3"/>
          <w:insideV w:val="single" w:color="B4C6E7" w:sz="3"/>
        </w:tblBorders>
      </w:tblPr>
      <w:tblGrid>
        <w:gridCol w:w="1050"/>
        <w:gridCol w:w="6726"/>
        <w:gridCol w:w="1250"/>
      </w:tblGrid>
      <w:tr>
        <w:trPr>
          <w:tblHeader/>
        </w:trPr>
        <w:tc>
          <w:tcPr>
            <w:tcW w:type="dxa" w:w="1050"/>
            <w:shd w:fill="D9E2F3" w:color="auto" w:val="clear"/>
            <w:tcMar>
              <w:top w:type="dxa" w:w="60"/>
              <w:left w:type="dxa" w:w="100"/>
              <w:bottom w:type="dxa" w:w="60"/>
              <w:right w:type="dxa" w:w="100"/>
            </w:tcMar>
          </w:tcPr>
          <w:p>
            <w:pPr>
              <w:spacing w:after="0" w:line="250"/>
            </w:pPr>
            <w:r>
              <w:rPr>
                <w:b/>
                <w:bCs/>
                <w:sz w:val="19"/>
                <w:szCs w:val="19"/>
              </w:rPr>
              <w:t xml:space="preserve">ID</w:t>
            </w:r>
          </w:p>
        </w:tc>
        <w:tc>
          <w:tcPr>
            <w:tcW w:type="dxa" w:w="6726"/>
            <w:shd w:fill="D9E2F3" w:color="auto" w:val="clear"/>
            <w:tcMar>
              <w:top w:type="dxa" w:w="60"/>
              <w:left w:type="dxa" w:w="100"/>
              <w:bottom w:type="dxa" w:w="60"/>
              <w:right w:type="dxa" w:w="100"/>
            </w:tcMar>
          </w:tcPr>
          <w:p>
            <w:pPr>
              <w:spacing w:after="0" w:line="250"/>
            </w:pPr>
            <w:r>
              <w:rPr>
                <w:b/>
                <w:bCs/>
                <w:sz w:val="19"/>
                <w:szCs w:val="19"/>
              </w:rPr>
              <w:t xml:space="preserve">Requirement</w:t>
            </w:r>
          </w:p>
        </w:tc>
        <w:tc>
          <w:tcPr>
            <w:tcW w:type="dxa" w:w="1250"/>
            <w:shd w:fill="D9E2F3" w:color="auto" w:val="clear"/>
            <w:tcMar>
              <w:top w:type="dxa" w:w="60"/>
              <w:left w:type="dxa" w:w="100"/>
              <w:bottom w:type="dxa" w:w="60"/>
              <w:right w:type="dxa" w:w="100"/>
            </w:tcMar>
          </w:tcPr>
          <w:p>
            <w:pPr>
              <w:spacing w:after="0" w:line="250"/>
            </w:pPr>
            <w:r>
              <w:rPr>
                <w:b/>
                <w:bCs/>
                <w:sz w:val="19"/>
                <w:szCs w:val="19"/>
              </w:rPr>
              <w:t xml:space="preserve">Priority</w:t>
            </w:r>
          </w:p>
        </w:tc>
      </w:tr>
      <w:tr>
        <w:tc>
          <w:tcPr>
            <w:tcW w:type="dxa" w:w="1050"/>
            <w:tcMar>
              <w:top w:type="dxa" w:w="60"/>
              <w:left w:type="dxa" w:w="100"/>
              <w:bottom w:type="dxa" w:w="60"/>
              <w:right w:type="dxa" w:w="100"/>
            </w:tcMar>
          </w:tcPr>
          <w:p>
            <w:pPr>
              <w:spacing w:after="0" w:line="250"/>
            </w:pPr>
            <w:r>
              <w:rPr>
                <w:sz w:val="19"/>
                <w:szCs w:val="19"/>
              </w:rPr>
              <w:t xml:space="preserve">FR-01</w:t>
            </w:r>
          </w:p>
        </w:tc>
        <w:tc>
          <w:tcPr>
            <w:tcW w:type="dxa" w:w="6726"/>
            <w:tcMar>
              <w:top w:type="dxa" w:w="60"/>
              <w:left w:type="dxa" w:w="100"/>
              <w:bottom w:type="dxa" w:w="60"/>
              <w:right w:type="dxa" w:w="100"/>
            </w:tcMar>
          </w:tcPr>
          <w:p>
            <w:pPr>
              <w:spacing w:after="0" w:line="250"/>
            </w:pPr>
            <w:r>
              <w:rPr>
                <w:sz w:val="19"/>
                <w:szCs w:val="19"/>
              </w:rPr>
              <w:t xml:space="preserve">Each interface SHALL expose an HTTPS sender endpoint that returns extracted events in the HTTP response body as NDJSON.</w:t>
            </w:r>
          </w:p>
        </w:tc>
        <w:tc>
          <w:tcPr>
            <w:tcW w:type="dxa" w:w="1250"/>
            <w:tcMar>
              <w:top w:type="dxa" w:w="60"/>
              <w:left w:type="dxa" w:w="100"/>
              <w:bottom w:type="dxa" w:w="60"/>
              <w:right w:type="dxa" w:w="100"/>
            </w:tcMar>
          </w:tcPr>
          <w:p>
            <w:pPr>
              <w:spacing w:after="0" w:line="250"/>
            </w:pPr>
            <w:r>
              <w:rPr>
                <w:sz w:val="19"/>
                <w:szCs w:val="19"/>
              </w:rPr>
              <w:t xml:space="preserve">Must</w:t>
            </w:r>
          </w:p>
        </w:tc>
      </w:tr>
      <w:tr>
        <w:tc>
          <w:tcPr>
            <w:tcW w:type="dxa" w:w="1050"/>
            <w:tcMar>
              <w:top w:type="dxa" w:w="60"/>
              <w:left w:type="dxa" w:w="100"/>
              <w:bottom w:type="dxa" w:w="60"/>
              <w:right w:type="dxa" w:w="100"/>
            </w:tcMar>
          </w:tcPr>
          <w:p>
            <w:pPr>
              <w:spacing w:after="0" w:line="250"/>
            </w:pPr>
            <w:r>
              <w:rPr>
                <w:sz w:val="19"/>
                <w:szCs w:val="19"/>
              </w:rPr>
              <w:t xml:space="preserve">FR-02</w:t>
            </w:r>
          </w:p>
        </w:tc>
        <w:tc>
          <w:tcPr>
            <w:tcW w:type="dxa" w:w="6726"/>
            <w:tcMar>
              <w:top w:type="dxa" w:w="60"/>
              <w:left w:type="dxa" w:w="100"/>
              <w:bottom w:type="dxa" w:w="60"/>
              <w:right w:type="dxa" w:w="100"/>
            </w:tcMar>
          </w:tcPr>
          <w:p>
            <w:pPr>
              <w:spacing w:after="0" w:line="250"/>
            </w:pPr>
            <w:r>
              <w:rPr>
                <w:sz w:val="19"/>
                <w:szCs w:val="19"/>
              </w:rPr>
              <w:t xml:space="preserve">Each interface SHALL persist a last-run high-water mark in a CPI Data Store, scoped to that interface.</w:t>
            </w:r>
          </w:p>
        </w:tc>
        <w:tc>
          <w:tcPr>
            <w:tcW w:type="dxa" w:w="1250"/>
            <w:tcMar>
              <w:top w:type="dxa" w:w="60"/>
              <w:left w:type="dxa" w:w="100"/>
              <w:bottom w:type="dxa" w:w="60"/>
              <w:right w:type="dxa" w:w="100"/>
            </w:tcMar>
          </w:tcPr>
          <w:p>
            <w:pPr>
              <w:spacing w:after="0" w:line="250"/>
            </w:pPr>
            <w:r>
              <w:rPr>
                <w:sz w:val="19"/>
                <w:szCs w:val="19"/>
              </w:rPr>
              <w:t xml:space="preserve">Must</w:t>
            </w:r>
          </w:p>
        </w:tc>
      </w:tr>
      <w:tr>
        <w:tc>
          <w:tcPr>
            <w:tcW w:type="dxa" w:w="1050"/>
            <w:tcMar>
              <w:top w:type="dxa" w:w="60"/>
              <w:left w:type="dxa" w:w="100"/>
              <w:bottom w:type="dxa" w:w="60"/>
              <w:right w:type="dxa" w:w="100"/>
            </w:tcMar>
          </w:tcPr>
          <w:p>
            <w:pPr>
              <w:spacing w:after="0" w:line="250"/>
            </w:pPr>
            <w:r>
              <w:rPr>
                <w:sz w:val="19"/>
                <w:szCs w:val="19"/>
              </w:rPr>
              <w:t xml:space="preserve">FR-03</w:t>
            </w:r>
          </w:p>
        </w:tc>
        <w:tc>
          <w:tcPr>
            <w:tcW w:type="dxa" w:w="6726"/>
            <w:tcMar>
              <w:top w:type="dxa" w:w="60"/>
              <w:left w:type="dxa" w:w="100"/>
              <w:bottom w:type="dxa" w:w="60"/>
              <w:right w:type="dxa" w:w="100"/>
            </w:tcMar>
          </w:tcPr>
          <w:p>
            <w:pPr>
              <w:spacing w:after="0" w:line="250"/>
            </w:pPr>
            <w:r>
              <w:rPr>
                <w:sz w:val="19"/>
                <w:szCs w:val="19"/>
              </w:rPr>
              <w:t xml:space="preserve">The delta window SHALL be strictly (windowFrom, runStartTime] — exclusive lower bound, inclusive upper bound.</w:t>
            </w:r>
          </w:p>
        </w:tc>
        <w:tc>
          <w:tcPr>
            <w:tcW w:type="dxa" w:w="1250"/>
            <w:tcMar>
              <w:top w:type="dxa" w:w="60"/>
              <w:left w:type="dxa" w:w="100"/>
              <w:bottom w:type="dxa" w:w="60"/>
              <w:right w:type="dxa" w:w="100"/>
            </w:tcMar>
          </w:tcPr>
          <w:p>
            <w:pPr>
              <w:spacing w:after="0" w:line="250"/>
            </w:pPr>
            <w:r>
              <w:rPr>
                <w:sz w:val="19"/>
                <w:szCs w:val="19"/>
              </w:rPr>
              <w:t xml:space="preserve">Must</w:t>
            </w:r>
          </w:p>
        </w:tc>
      </w:tr>
      <w:tr>
        <w:tc>
          <w:tcPr>
            <w:tcW w:type="dxa" w:w="1050"/>
            <w:tcMar>
              <w:top w:type="dxa" w:w="60"/>
              <w:left w:type="dxa" w:w="100"/>
              <w:bottom w:type="dxa" w:w="60"/>
              <w:right w:type="dxa" w:w="100"/>
            </w:tcMar>
          </w:tcPr>
          <w:p>
            <w:pPr>
              <w:spacing w:after="0" w:line="250"/>
            </w:pPr>
            <w:r>
              <w:rPr>
                <w:sz w:val="19"/>
                <w:szCs w:val="19"/>
              </w:rPr>
              <w:t xml:space="preserve">FR-04</w:t>
            </w:r>
          </w:p>
        </w:tc>
        <w:tc>
          <w:tcPr>
            <w:tcW w:type="dxa" w:w="6726"/>
            <w:tcMar>
              <w:top w:type="dxa" w:w="60"/>
              <w:left w:type="dxa" w:w="100"/>
              <w:bottom w:type="dxa" w:w="60"/>
              <w:right w:type="dxa" w:w="100"/>
            </w:tcMar>
          </w:tcPr>
          <w:p>
            <w:pPr>
              <w:spacing w:after="0" w:line="250"/>
            </w:pPr>
            <w:r>
              <w:rPr>
                <w:sz w:val="19"/>
                <w:szCs w:val="19"/>
              </w:rPr>
              <w:t xml:space="preserve">On first run (no stored high-water) the interface SHALL bootstrap the lower bound to now minus defaultLookbackMinutes (default 15) rather than extracting all history.</w:t>
            </w:r>
          </w:p>
        </w:tc>
        <w:tc>
          <w:tcPr>
            <w:tcW w:type="dxa" w:w="1250"/>
            <w:tcMar>
              <w:top w:type="dxa" w:w="60"/>
              <w:left w:type="dxa" w:w="100"/>
              <w:bottom w:type="dxa" w:w="60"/>
              <w:right w:type="dxa" w:w="100"/>
            </w:tcMar>
          </w:tcPr>
          <w:p>
            <w:pPr>
              <w:spacing w:after="0" w:line="250"/>
            </w:pPr>
            <w:r>
              <w:rPr>
                <w:sz w:val="19"/>
                <w:szCs w:val="19"/>
              </w:rPr>
              <w:t xml:space="preserve">Must</w:t>
            </w:r>
          </w:p>
        </w:tc>
      </w:tr>
      <w:tr>
        <w:tc>
          <w:tcPr>
            <w:tcW w:type="dxa" w:w="1050"/>
            <w:tcMar>
              <w:top w:type="dxa" w:w="60"/>
              <w:left w:type="dxa" w:w="100"/>
              <w:bottom w:type="dxa" w:w="60"/>
              <w:right w:type="dxa" w:w="100"/>
            </w:tcMar>
          </w:tcPr>
          <w:p>
            <w:pPr>
              <w:spacing w:after="0" w:line="250"/>
            </w:pPr>
            <w:r>
              <w:rPr>
                <w:sz w:val="19"/>
                <w:szCs w:val="19"/>
              </w:rPr>
              <w:t xml:space="preserve">FR-05</w:t>
            </w:r>
          </w:p>
        </w:tc>
        <w:tc>
          <w:tcPr>
            <w:tcW w:type="dxa" w:w="6726"/>
            <w:tcMar>
              <w:top w:type="dxa" w:w="60"/>
              <w:left w:type="dxa" w:w="100"/>
              <w:bottom w:type="dxa" w:w="60"/>
              <w:right w:type="dxa" w:w="100"/>
            </w:tcMar>
          </w:tcPr>
          <w:p>
            <w:pPr>
              <w:spacing w:after="0" w:line="250"/>
            </w:pPr>
            <w:r>
              <w:rPr>
                <w:sz w:val="19"/>
                <w:szCs w:val="19"/>
              </w:rPr>
              <w:t xml:space="preserve">The window span SHALL be capped at maxWindowMinutes (default 60); when capped the interface SHALL advance the high-water to the capped upper bound and signal that a backlog remains.</w:t>
            </w:r>
          </w:p>
        </w:tc>
        <w:tc>
          <w:tcPr>
            <w:tcW w:type="dxa" w:w="1250"/>
            <w:tcMar>
              <w:top w:type="dxa" w:w="60"/>
              <w:left w:type="dxa" w:w="100"/>
              <w:bottom w:type="dxa" w:w="60"/>
              <w:right w:type="dxa" w:w="100"/>
            </w:tcMar>
          </w:tcPr>
          <w:p>
            <w:pPr>
              <w:spacing w:after="0" w:line="250"/>
            </w:pPr>
            <w:r>
              <w:rPr>
                <w:sz w:val="19"/>
                <w:szCs w:val="19"/>
              </w:rPr>
              <w:t xml:space="preserve">Must</w:t>
            </w:r>
          </w:p>
        </w:tc>
      </w:tr>
      <w:tr>
        <w:tc>
          <w:tcPr>
            <w:tcW w:type="dxa" w:w="1050"/>
            <w:tcMar>
              <w:top w:type="dxa" w:w="60"/>
              <w:left w:type="dxa" w:w="100"/>
              <w:bottom w:type="dxa" w:w="60"/>
              <w:right w:type="dxa" w:w="100"/>
            </w:tcMar>
          </w:tcPr>
          <w:p>
            <w:pPr>
              <w:spacing w:after="0" w:line="250"/>
            </w:pPr>
            <w:r>
              <w:rPr>
                <w:sz w:val="19"/>
                <w:szCs w:val="19"/>
              </w:rPr>
              <w:t xml:space="preserve">FR-06</w:t>
            </w:r>
          </w:p>
        </w:tc>
        <w:tc>
          <w:tcPr>
            <w:tcW w:type="dxa" w:w="6726"/>
            <w:tcMar>
              <w:top w:type="dxa" w:w="60"/>
              <w:left w:type="dxa" w:w="100"/>
              <w:bottom w:type="dxa" w:w="60"/>
              <w:right w:type="dxa" w:w="100"/>
            </w:tcMar>
          </w:tcPr>
          <w:p>
            <w:pPr>
              <w:spacing w:after="0" w:line="250"/>
            </w:pPr>
            <w:r>
              <w:rPr>
                <w:sz w:val="19"/>
                <w:szCs w:val="19"/>
              </w:rPr>
              <w:t xml:space="preserve">The interface SHALL page through all pages of the window using the adapter's native pagination, driven by a Looping Process Call.</w:t>
            </w:r>
          </w:p>
        </w:tc>
        <w:tc>
          <w:tcPr>
            <w:tcW w:type="dxa" w:w="1250"/>
            <w:tcMar>
              <w:top w:type="dxa" w:w="60"/>
              <w:left w:type="dxa" w:w="100"/>
              <w:bottom w:type="dxa" w:w="60"/>
              <w:right w:type="dxa" w:w="100"/>
            </w:tcMar>
          </w:tcPr>
          <w:p>
            <w:pPr>
              <w:spacing w:after="0" w:line="250"/>
            </w:pPr>
            <w:r>
              <w:rPr>
                <w:sz w:val="19"/>
                <w:szCs w:val="19"/>
              </w:rPr>
              <w:t xml:space="preserve">Must</w:t>
            </w:r>
          </w:p>
        </w:tc>
      </w:tr>
      <w:tr>
        <w:tc>
          <w:tcPr>
            <w:tcW w:type="dxa" w:w="1050"/>
            <w:tcMar>
              <w:top w:type="dxa" w:w="60"/>
              <w:left w:type="dxa" w:w="100"/>
              <w:bottom w:type="dxa" w:w="60"/>
              <w:right w:type="dxa" w:w="100"/>
            </w:tcMar>
          </w:tcPr>
          <w:p>
            <w:pPr>
              <w:spacing w:after="0" w:line="250"/>
            </w:pPr>
            <w:r>
              <w:rPr>
                <w:sz w:val="19"/>
                <w:szCs w:val="19"/>
              </w:rPr>
              <w:t xml:space="preserve">FR-07</w:t>
            </w:r>
          </w:p>
        </w:tc>
        <w:tc>
          <w:tcPr>
            <w:tcW w:type="dxa" w:w="6726"/>
            <w:tcMar>
              <w:top w:type="dxa" w:w="60"/>
              <w:left w:type="dxa" w:w="100"/>
              <w:bottom w:type="dxa" w:w="60"/>
              <w:right w:type="dxa" w:w="100"/>
            </w:tcMar>
          </w:tcPr>
          <w:p>
            <w:pPr>
              <w:spacing w:after="0" w:line="250"/>
            </w:pPr>
            <w:r>
              <w:rPr>
                <w:sz w:val="19"/>
                <w:szCs w:val="19"/>
              </w:rPr>
              <w:t xml:space="preserve">The OData query SHALL include an ascending $orderby on the timestamp field to guarantee stable paging.</w:t>
            </w:r>
          </w:p>
        </w:tc>
        <w:tc>
          <w:tcPr>
            <w:tcW w:type="dxa" w:w="1250"/>
            <w:tcMar>
              <w:top w:type="dxa" w:w="60"/>
              <w:left w:type="dxa" w:w="100"/>
              <w:bottom w:type="dxa" w:w="60"/>
              <w:right w:type="dxa" w:w="100"/>
            </w:tcMar>
          </w:tcPr>
          <w:p>
            <w:pPr>
              <w:spacing w:after="0" w:line="250"/>
            </w:pPr>
            <w:r>
              <w:rPr>
                <w:sz w:val="19"/>
                <w:szCs w:val="19"/>
              </w:rPr>
              <w:t xml:space="preserve">Must</w:t>
            </w:r>
          </w:p>
        </w:tc>
      </w:tr>
      <w:tr>
        <w:tc>
          <w:tcPr>
            <w:tcW w:type="dxa" w:w="1050"/>
            <w:tcMar>
              <w:top w:type="dxa" w:w="60"/>
              <w:left w:type="dxa" w:w="100"/>
              <w:bottom w:type="dxa" w:w="60"/>
              <w:right w:type="dxa" w:w="100"/>
            </w:tcMar>
          </w:tcPr>
          <w:p>
            <w:pPr>
              <w:spacing w:after="0" w:line="250"/>
            </w:pPr>
            <w:r>
              <w:rPr>
                <w:sz w:val="19"/>
                <w:szCs w:val="19"/>
              </w:rPr>
              <w:t xml:space="preserve">FR-08</w:t>
            </w:r>
          </w:p>
        </w:tc>
        <w:tc>
          <w:tcPr>
            <w:tcW w:type="dxa" w:w="6726"/>
            <w:tcMar>
              <w:top w:type="dxa" w:w="60"/>
              <w:left w:type="dxa" w:w="100"/>
              <w:bottom w:type="dxa" w:w="60"/>
              <w:right w:type="dxa" w:w="100"/>
            </w:tcMar>
          </w:tcPr>
          <w:p>
            <w:pPr>
              <w:spacing w:after="0" w:line="250"/>
            </w:pPr>
            <w:r>
              <w:rPr>
                <w:sz w:val="19"/>
                <w:szCs w:val="19"/>
              </w:rPr>
              <w:t xml:space="preserve">The OData query SHALL use the literal syntax correct for its protocol version: unquoted ISO-8601 for V4; datetimeoffset'...' for V2.</w:t>
            </w:r>
          </w:p>
        </w:tc>
        <w:tc>
          <w:tcPr>
            <w:tcW w:type="dxa" w:w="1250"/>
            <w:tcMar>
              <w:top w:type="dxa" w:w="60"/>
              <w:left w:type="dxa" w:w="100"/>
              <w:bottom w:type="dxa" w:w="60"/>
              <w:right w:type="dxa" w:w="100"/>
            </w:tcMar>
          </w:tcPr>
          <w:p>
            <w:pPr>
              <w:spacing w:after="0" w:line="250"/>
            </w:pPr>
            <w:r>
              <w:rPr>
                <w:sz w:val="19"/>
                <w:szCs w:val="19"/>
              </w:rPr>
              <w:t xml:space="preserve">Must</w:t>
            </w:r>
          </w:p>
        </w:tc>
      </w:tr>
      <w:tr>
        <w:tc>
          <w:tcPr>
            <w:tcW w:type="dxa" w:w="1050"/>
            <w:tcMar>
              <w:top w:type="dxa" w:w="60"/>
              <w:left w:type="dxa" w:w="100"/>
              <w:bottom w:type="dxa" w:w="60"/>
              <w:right w:type="dxa" w:w="100"/>
            </w:tcMar>
          </w:tcPr>
          <w:p>
            <w:pPr>
              <w:spacing w:after="0" w:line="250"/>
            </w:pPr>
            <w:r>
              <w:rPr>
                <w:sz w:val="19"/>
                <w:szCs w:val="19"/>
              </w:rPr>
              <w:t xml:space="preserve">FR-09</w:t>
            </w:r>
          </w:p>
        </w:tc>
        <w:tc>
          <w:tcPr>
            <w:tcW w:type="dxa" w:w="6726"/>
            <w:tcMar>
              <w:top w:type="dxa" w:w="60"/>
              <w:left w:type="dxa" w:w="100"/>
              <w:bottom w:type="dxa" w:w="60"/>
              <w:right w:type="dxa" w:w="100"/>
            </w:tcMar>
          </w:tcPr>
          <w:p>
            <w:pPr>
              <w:spacing w:after="0" w:line="250"/>
            </w:pPr>
            <w:r>
              <w:rPr>
                <w:sz w:val="19"/>
                <w:szCs w:val="19"/>
              </w:rPr>
              <w:t xml:space="preserve">Each record SHALL be emitted as one HEC envelope containing host, source, sourcetype, time and event.</w:t>
            </w:r>
          </w:p>
        </w:tc>
        <w:tc>
          <w:tcPr>
            <w:tcW w:type="dxa" w:w="1250"/>
            <w:tcMar>
              <w:top w:type="dxa" w:w="60"/>
              <w:left w:type="dxa" w:w="100"/>
              <w:bottom w:type="dxa" w:w="60"/>
              <w:right w:type="dxa" w:w="100"/>
            </w:tcMar>
          </w:tcPr>
          <w:p>
            <w:pPr>
              <w:spacing w:after="0" w:line="250"/>
            </w:pPr>
            <w:r>
              <w:rPr>
                <w:sz w:val="19"/>
                <w:szCs w:val="19"/>
              </w:rPr>
              <w:t xml:space="preserve">Must</w:t>
            </w:r>
          </w:p>
        </w:tc>
      </w:tr>
      <w:tr>
        <w:tc>
          <w:tcPr>
            <w:tcW w:type="dxa" w:w="1050"/>
            <w:tcMar>
              <w:top w:type="dxa" w:w="60"/>
              <w:left w:type="dxa" w:w="100"/>
              <w:bottom w:type="dxa" w:w="60"/>
              <w:right w:type="dxa" w:w="100"/>
            </w:tcMar>
          </w:tcPr>
          <w:p>
            <w:pPr>
              <w:spacing w:after="0" w:line="250"/>
            </w:pPr>
            <w:r>
              <w:rPr>
                <w:sz w:val="19"/>
                <w:szCs w:val="19"/>
              </w:rPr>
              <w:t xml:space="preserve">FR-10</w:t>
            </w:r>
          </w:p>
        </w:tc>
        <w:tc>
          <w:tcPr>
            <w:tcW w:type="dxa" w:w="6726"/>
            <w:tcMar>
              <w:top w:type="dxa" w:w="60"/>
              <w:left w:type="dxa" w:w="100"/>
              <w:bottom w:type="dxa" w:w="60"/>
              <w:right w:type="dxa" w:w="100"/>
            </w:tcMar>
          </w:tcPr>
          <w:p>
            <w:pPr>
              <w:spacing w:after="0" w:line="250"/>
            </w:pPr>
            <w:r>
              <w:rPr>
                <w:sz w:val="19"/>
                <w:szCs w:val="19"/>
              </w:rPr>
              <w:t xml:space="preserve">The HEC time field SHALL be derived from the record's own timestamp field, tolerating values with or without a timezone designator.</w:t>
            </w:r>
          </w:p>
        </w:tc>
        <w:tc>
          <w:tcPr>
            <w:tcW w:type="dxa" w:w="1250"/>
            <w:tcMar>
              <w:top w:type="dxa" w:w="60"/>
              <w:left w:type="dxa" w:w="100"/>
              <w:bottom w:type="dxa" w:w="60"/>
              <w:right w:type="dxa" w:w="100"/>
            </w:tcMar>
          </w:tcPr>
          <w:p>
            <w:pPr>
              <w:spacing w:after="0" w:line="250"/>
            </w:pPr>
            <w:r>
              <w:rPr>
                <w:sz w:val="19"/>
                <w:szCs w:val="19"/>
              </w:rPr>
              <w:t xml:space="preserve">Must</w:t>
            </w:r>
          </w:p>
        </w:tc>
      </w:tr>
      <w:tr>
        <w:tc>
          <w:tcPr>
            <w:tcW w:type="dxa" w:w="1050"/>
            <w:tcMar>
              <w:top w:type="dxa" w:w="60"/>
              <w:left w:type="dxa" w:w="100"/>
              <w:bottom w:type="dxa" w:w="60"/>
              <w:right w:type="dxa" w:w="100"/>
            </w:tcMar>
          </w:tcPr>
          <w:p>
            <w:pPr>
              <w:spacing w:after="0" w:line="250"/>
            </w:pPr>
            <w:r>
              <w:rPr>
                <w:sz w:val="19"/>
                <w:szCs w:val="19"/>
              </w:rPr>
              <w:t xml:space="preserve">FR-11</w:t>
            </w:r>
          </w:p>
        </w:tc>
        <w:tc>
          <w:tcPr>
            <w:tcW w:type="dxa" w:w="6726"/>
            <w:tcMar>
              <w:top w:type="dxa" w:w="60"/>
              <w:left w:type="dxa" w:w="100"/>
              <w:bottom w:type="dxa" w:w="60"/>
              <w:right w:type="dxa" w:w="100"/>
            </w:tcMar>
          </w:tcPr>
          <w:p>
            <w:pPr>
              <w:spacing w:after="0" w:line="250"/>
            </w:pPr>
            <w:r>
              <w:rPr>
                <w:sz w:val="19"/>
                <w:szCs w:val="19"/>
              </w:rPr>
              <w:t xml:space="preserve">The high-water SHALL be advanced only after the extraction loop completes successfully.</w:t>
            </w:r>
          </w:p>
        </w:tc>
        <w:tc>
          <w:tcPr>
            <w:tcW w:type="dxa" w:w="1250"/>
            <w:tcMar>
              <w:top w:type="dxa" w:w="60"/>
              <w:left w:type="dxa" w:w="100"/>
              <w:bottom w:type="dxa" w:w="60"/>
              <w:right w:type="dxa" w:w="100"/>
            </w:tcMar>
          </w:tcPr>
          <w:p>
            <w:pPr>
              <w:spacing w:after="0" w:line="250"/>
            </w:pPr>
            <w:r>
              <w:rPr>
                <w:sz w:val="19"/>
                <w:szCs w:val="19"/>
              </w:rPr>
              <w:t xml:space="preserve">Must</w:t>
            </w:r>
          </w:p>
        </w:tc>
      </w:tr>
      <w:tr>
        <w:tc>
          <w:tcPr>
            <w:tcW w:type="dxa" w:w="1050"/>
            <w:tcMar>
              <w:top w:type="dxa" w:w="60"/>
              <w:left w:type="dxa" w:w="100"/>
              <w:bottom w:type="dxa" w:w="60"/>
              <w:right w:type="dxa" w:w="100"/>
            </w:tcMar>
          </w:tcPr>
          <w:p>
            <w:pPr>
              <w:spacing w:after="0" w:line="250"/>
            </w:pPr>
            <w:r>
              <w:rPr>
                <w:sz w:val="19"/>
                <w:szCs w:val="19"/>
              </w:rPr>
              <w:t xml:space="preserve">FR-12</w:t>
            </w:r>
          </w:p>
        </w:tc>
        <w:tc>
          <w:tcPr>
            <w:tcW w:type="dxa" w:w="6726"/>
            <w:tcMar>
              <w:top w:type="dxa" w:w="60"/>
              <w:left w:type="dxa" w:w="100"/>
              <w:bottom w:type="dxa" w:w="60"/>
              <w:right w:type="dxa" w:w="100"/>
            </w:tcMar>
          </w:tcPr>
          <w:p>
            <w:pPr>
              <w:spacing w:after="0" w:line="250"/>
            </w:pPr>
            <w:r>
              <w:rPr>
                <w:sz w:val="19"/>
                <w:szCs w:val="19"/>
              </w:rPr>
              <w:t xml:space="preserve">On any error the interface SHALL return HTTP 500 with a JSON error body and SHALL NOT advance the high-water.</w:t>
            </w:r>
          </w:p>
        </w:tc>
        <w:tc>
          <w:tcPr>
            <w:tcW w:type="dxa" w:w="1250"/>
            <w:tcMar>
              <w:top w:type="dxa" w:w="60"/>
              <w:left w:type="dxa" w:w="100"/>
              <w:bottom w:type="dxa" w:w="60"/>
              <w:right w:type="dxa" w:w="100"/>
            </w:tcMar>
          </w:tcPr>
          <w:p>
            <w:pPr>
              <w:spacing w:after="0" w:line="250"/>
            </w:pPr>
            <w:r>
              <w:rPr>
                <w:sz w:val="19"/>
                <w:szCs w:val="19"/>
              </w:rPr>
              <w:t xml:space="preserve">Must</w:t>
            </w:r>
          </w:p>
        </w:tc>
      </w:tr>
      <w:tr>
        <w:tc>
          <w:tcPr>
            <w:tcW w:type="dxa" w:w="1050"/>
            <w:tcMar>
              <w:top w:type="dxa" w:w="60"/>
              <w:left w:type="dxa" w:w="100"/>
              <w:bottom w:type="dxa" w:w="60"/>
              <w:right w:type="dxa" w:w="100"/>
            </w:tcMar>
          </w:tcPr>
          <w:p>
            <w:pPr>
              <w:spacing w:after="0" w:line="250"/>
            </w:pPr>
            <w:r>
              <w:rPr>
                <w:sz w:val="19"/>
                <w:szCs w:val="19"/>
              </w:rPr>
              <w:t xml:space="preserve">FR-13</w:t>
            </w:r>
          </w:p>
        </w:tc>
        <w:tc>
          <w:tcPr>
            <w:tcW w:type="dxa" w:w="6726"/>
            <w:tcMar>
              <w:top w:type="dxa" w:w="60"/>
              <w:left w:type="dxa" w:w="100"/>
              <w:bottom w:type="dxa" w:w="60"/>
              <w:right w:type="dxa" w:w="100"/>
            </w:tcMar>
          </w:tcPr>
          <w:p>
            <w:pPr>
              <w:spacing w:after="0" w:line="250"/>
            </w:pPr>
            <w:r>
              <w:rPr>
                <w:sz w:val="19"/>
                <w:szCs w:val="19"/>
              </w:rPr>
              <w:t xml:space="preserve">The response SHALL carry window and status metadata as X- headers (section 8.2).</w:t>
            </w:r>
          </w:p>
        </w:tc>
        <w:tc>
          <w:tcPr>
            <w:tcW w:type="dxa" w:w="1250"/>
            <w:tcMar>
              <w:top w:type="dxa" w:w="60"/>
              <w:left w:type="dxa" w:w="100"/>
              <w:bottom w:type="dxa" w:w="60"/>
              <w:right w:type="dxa" w:w="100"/>
            </w:tcMar>
          </w:tcPr>
          <w:p>
            <w:pPr>
              <w:spacing w:after="0" w:line="250"/>
            </w:pPr>
            <w:r>
              <w:rPr>
                <w:sz w:val="19"/>
                <w:szCs w:val="19"/>
              </w:rPr>
              <w:t xml:space="preserve">Must</w:t>
            </w:r>
          </w:p>
        </w:tc>
      </w:tr>
      <w:tr>
        <w:tc>
          <w:tcPr>
            <w:tcW w:type="dxa" w:w="1050"/>
            <w:tcMar>
              <w:top w:type="dxa" w:w="60"/>
              <w:left w:type="dxa" w:w="100"/>
              <w:bottom w:type="dxa" w:w="60"/>
              <w:right w:type="dxa" w:w="100"/>
            </w:tcMar>
          </w:tcPr>
          <w:p>
            <w:pPr>
              <w:spacing w:after="0" w:line="250"/>
            </w:pPr>
            <w:r>
              <w:rPr>
                <w:sz w:val="19"/>
                <w:szCs w:val="19"/>
              </w:rPr>
              <w:t xml:space="preserve">FR-14</w:t>
            </w:r>
          </w:p>
        </w:tc>
        <w:tc>
          <w:tcPr>
            <w:tcW w:type="dxa" w:w="6726"/>
            <w:tcMar>
              <w:top w:type="dxa" w:w="60"/>
              <w:left w:type="dxa" w:w="100"/>
              <w:bottom w:type="dxa" w:w="60"/>
              <w:right w:type="dxa" w:w="100"/>
            </w:tcMar>
          </w:tcPr>
          <w:p>
            <w:pPr>
              <w:spacing w:after="0" w:line="250"/>
            </w:pPr>
            <w:r>
              <w:rPr>
                <w:sz w:val="19"/>
                <w:szCs w:val="19"/>
              </w:rPr>
              <w:t xml:space="preserve">An empty window SHALL return successfully with a zero count and no events.</w:t>
            </w:r>
          </w:p>
        </w:tc>
        <w:tc>
          <w:tcPr>
            <w:tcW w:type="dxa" w:w="1250"/>
            <w:tcMar>
              <w:top w:type="dxa" w:w="60"/>
              <w:left w:type="dxa" w:w="100"/>
              <w:bottom w:type="dxa" w:w="60"/>
              <w:right w:type="dxa" w:w="100"/>
            </w:tcMar>
          </w:tcPr>
          <w:p>
            <w:pPr>
              <w:spacing w:after="0" w:line="250"/>
            </w:pPr>
            <w:r>
              <w:rPr>
                <w:sz w:val="19"/>
                <w:szCs w:val="19"/>
              </w:rPr>
              <w:t xml:space="preserve">Must</w:t>
            </w:r>
          </w:p>
        </w:tc>
      </w:tr>
      <w:tr>
        <w:tc>
          <w:tcPr>
            <w:tcW w:type="dxa" w:w="1050"/>
            <w:tcMar>
              <w:top w:type="dxa" w:w="60"/>
              <w:left w:type="dxa" w:w="100"/>
              <w:bottom w:type="dxa" w:w="60"/>
              <w:right w:type="dxa" w:w="100"/>
            </w:tcMar>
          </w:tcPr>
          <w:p>
            <w:pPr>
              <w:spacing w:after="0" w:line="250"/>
            </w:pPr>
            <w:r>
              <w:rPr>
                <w:sz w:val="19"/>
                <w:szCs w:val="19"/>
              </w:rPr>
              <w:t xml:space="preserve">FR-15</w:t>
            </w:r>
          </w:p>
        </w:tc>
        <w:tc>
          <w:tcPr>
            <w:tcW w:type="dxa" w:w="6726"/>
            <w:tcMar>
              <w:top w:type="dxa" w:w="60"/>
              <w:left w:type="dxa" w:w="100"/>
              <w:bottom w:type="dxa" w:w="60"/>
              <w:right w:type="dxa" w:w="100"/>
            </w:tcMar>
          </w:tcPr>
          <w:p>
            <w:pPr>
              <w:spacing w:after="0" w:line="250"/>
            </w:pPr>
            <w:r>
              <w:rPr>
                <w:sz w:val="19"/>
                <w:szCs w:val="19"/>
              </w:rPr>
              <w:t xml:space="preserve">Records whose timestamp cannot be parsed SHALL still be emitted, with the omission counted and visible in MPL.</w:t>
            </w:r>
          </w:p>
        </w:tc>
        <w:tc>
          <w:tcPr>
            <w:tcW w:type="dxa" w:w="1250"/>
            <w:tcMar>
              <w:top w:type="dxa" w:w="60"/>
              <w:left w:type="dxa" w:w="100"/>
              <w:bottom w:type="dxa" w:w="60"/>
              <w:right w:type="dxa" w:w="100"/>
            </w:tcMar>
          </w:tcPr>
          <w:p>
            <w:pPr>
              <w:spacing w:after="0" w:line="250"/>
            </w:pPr>
            <w:r>
              <w:rPr>
                <w:sz w:val="19"/>
                <w:szCs w:val="19"/>
              </w:rPr>
              <w:t xml:space="preserve">Should</w:t>
            </w:r>
          </w:p>
        </w:tc>
      </w:tr>
    </w:tbl>
    <w:p>
      <w:r>
        <w:br w:type="page"/>
      </w:r>
    </w:p>
    <w:p>
      <w:pPr>
        <w:pStyle w:val="Heading1"/>
        <w:spacing w:after="140" w:before="320"/>
      </w:pPr>
      <w:r>
        <w:t xml:space="preserve">6. Delta and High-Water Logic</w:t>
      </w:r>
    </w:p>
    <w:p>
      <w:pPr>
        <w:pStyle w:val="Heading2"/>
        <w:spacing w:after="140" w:before="240"/>
      </w:pPr>
      <w:r>
        <w:t xml:space="preserve">6.1 Window definition</w:t>
      </w:r>
    </w:p>
    <w:p>
      <w:pPr>
        <w:spacing w:after="120" w:line="276"/>
      </w:pPr>
      <w:r>
        <w:rPr>
          <w:sz w:val="21"/>
          <w:szCs w:val="21"/>
        </w:rPr>
        <w:t xml:space="preserve">runStartTime is captured once per invocation (UTC, second precision) and serves as both the query upper bound and the next high-water value. Bounding the upper end prevents a race with events arriving mid-run.</w:t>
      </w:r>
    </w:p>
    <w:p>
      <w:pPr>
        <w:pBdr>
          <w:left w:val="single" w:color="1F4E79" w:sz="12" w:space="6"/>
        </w:pBdr>
        <w:shd w:fill="F2F2F2" w:color="auto" w:val="clear"/>
        <w:spacing w:after="60" w:before="60"/>
        <w:ind w:left="180"/>
      </w:pPr>
      <w:r>
        <w:rPr>
          <w:rFonts w:ascii="Consolas" w:cs="Consolas" w:eastAsia="Consolas" w:hAnsi="Consolas"/>
          <w:sz w:val="17"/>
          <w:szCs w:val="17"/>
        </w:rPr>
        <w:t xml:space="preserve">&lt;tsField&gt; gt &lt;windowFrom&gt;  AND  &lt;tsField&gt; le &lt;runStartTime&gt;</w:t>
      </w:r>
    </w:p>
    <w:p>
      <w:pPr>
        <w:pStyle w:val="Heading2"/>
        <w:spacing w:after="140" w:before="240"/>
      </w:pPr>
      <w:r>
        <w:t xml:space="preserve">6.2 First run</w:t>
      </w:r>
    </w:p>
    <w:p>
      <w:pPr>
        <w:spacing w:after="120" w:line="276"/>
      </w:pPr>
      <w:r>
        <w:rPr>
          <w:sz w:val="21"/>
          <w:szCs w:val="21"/>
        </w:rPr>
        <w:t xml:space="preserve">The Data Store Get is configured with stopOnMissingEntry = false, so the first invocation returns an empty body rather than failing. resolveWindow.groovy detects the empty value and bootstraps:</w:t>
      </w:r>
    </w:p>
    <w:p>
      <w:pPr>
        <w:pBdr>
          <w:left w:val="single" w:color="1F4E79" w:sz="12" w:space="6"/>
        </w:pBdr>
        <w:shd w:fill="F2F2F2" w:color="auto" w:val="clear"/>
        <w:spacing w:after="60" w:before="60"/>
        <w:ind w:left="180"/>
      </w:pPr>
      <w:r>
        <w:rPr>
          <w:rFonts w:ascii="Consolas" w:cs="Consolas" w:eastAsia="Consolas" w:hAnsi="Consolas"/>
          <w:sz w:val="17"/>
          <w:szCs w:val="17"/>
        </w:rPr>
        <w:t xml:space="preserve">windowFrom = now - defaultLookbackMinutes   (default 15 minutes)</w:t>
      </w:r>
    </w:p>
    <w:p>
      <w:pPr>
        <w:spacing w:after="120" w:line="276"/>
      </w:pPr>
      <w:r>
        <w:rPr>
          <w:i/>
          <w:iCs/>
          <w:sz w:val="21"/>
          <w:szCs w:val="21"/>
        </w:rPr>
        <w:t xml:space="preserve">This prevents an unbounded initial extraction. The response reports X-First-Run: true.</w:t>
      </w:r>
    </w:p>
    <w:p>
      <w:pPr>
        <w:pStyle w:val="Heading2"/>
        <w:spacing w:after="140" w:before="240"/>
      </w:pPr>
      <w:r>
        <w:t xml:space="preserve">6.3 Long-gap handling (out-of-memory guard)</w:t>
      </w:r>
    </w:p>
    <w:p>
      <w:pPr>
        <w:spacing w:after="120" w:line="276"/>
      </w:pPr>
      <w:r>
        <w:rPr>
          <w:sz w:val="21"/>
          <w:szCs w:val="21"/>
        </w:rPr>
        <w:t xml:space="preserve">Because the reply model buffers the entire window in memory, an interface that has not run for several hours must not attempt to return the whole backlog in one response. The window span is therefore capped:</w:t>
      </w:r>
    </w:p>
    <w:p>
      <w:pPr>
        <w:pBdr>
          <w:left w:val="single" w:color="1F4E79" w:sz="12" w:space="6"/>
        </w:pBdr>
        <w:shd w:fill="F2F2F2" w:color="auto" w:val="clear"/>
        <w:spacing w:after="60" w:before="60"/>
        <w:ind w:left="180"/>
      </w:pPr>
      <w:r>
        <w:rPr>
          <w:rFonts w:ascii="Consolas" w:cs="Consolas" w:eastAsia="Consolas" w:hAnsi="Consolas"/>
          <w:sz w:val="17"/>
          <w:szCs w:val="17"/>
        </w:rPr>
        <w:t xml:space="preserve">runStartTime = min( now , windowFrom + maxWindowMinutes )   (default 60 minutes)</w:t>
      </w:r>
    </w:p>
    <w:p>
      <w:pPr>
        <w:spacing w:after="120" w:line="276"/>
      </w:pPr>
      <w:r>
        <w:rPr>
          <w:sz w:val="21"/>
          <w:szCs w:val="21"/>
        </w:rPr>
        <w:t xml:space="preserve">Behaviour when the cap engages:</w:t>
      </w:r>
    </w:p>
    <w:p>
      <w:pPr>
        <w:pStyle w:val="ListParagraph"/>
        <w:numPr>
          <w:ilvl w:val="0"/>
          <w:numId w:val="2"/>
        </w:numPr>
        <w:spacing w:after="70" w:line="276"/>
      </w:pPr>
      <w:r>
        <w:rPr>
          <w:sz w:val="21"/>
          <w:szCs w:val="21"/>
        </w:rPr>
        <w:t xml:space="preserve">At most maxWindowMinutes of data is extracted and buffered in that invocation.</w:t>
      </w:r>
    </w:p>
    <w:p>
      <w:pPr>
        <w:pStyle w:val="ListParagraph"/>
        <w:numPr>
          <w:ilvl w:val="0"/>
          <w:numId w:val="2"/>
        </w:numPr>
        <w:spacing w:after="70" w:line="276"/>
      </w:pPr>
      <w:r>
        <w:rPr>
          <w:sz w:val="21"/>
          <w:szCs w:val="21"/>
        </w:rPr>
        <w:t xml:space="preserve">The high-water is advanced to the capped upper bound and persisted, so the next call resumes exactly where this one stopped.</w:t>
      </w:r>
    </w:p>
    <w:p>
      <w:pPr>
        <w:pStyle w:val="ListParagraph"/>
        <w:numPr>
          <w:ilvl w:val="0"/>
          <w:numId w:val="2"/>
        </w:numPr>
        <w:spacing w:after="70" w:line="276"/>
      </w:pPr>
      <w:r>
        <w:rPr>
          <w:sz w:val="21"/>
          <w:szCs w:val="21"/>
        </w:rPr>
        <w:t xml:space="preserve">The response returns X-Caught-Up: false and X-Truncated: true.</w:t>
      </w:r>
    </w:p>
    <w:p>
      <w:pPr>
        <w:pStyle w:val="ListParagraph"/>
        <w:numPr>
          <w:ilvl w:val="0"/>
          <w:numId w:val="2"/>
        </w:numPr>
        <w:spacing w:after="70" w:line="276"/>
      </w:pPr>
      <w:r>
        <w:rPr>
          <w:sz w:val="21"/>
          <w:szCs w:val="21"/>
        </w:rPr>
        <w:t xml:space="preserve">The consumer re-invokes immediately, repeatedly, until X-Caught-Up: true.</w:t>
      </w:r>
    </w:p>
    <w:p>
      <w:pPr>
        <w:spacing w:after="120" w:line="276"/>
      </w:pPr>
      <w:r>
        <w:rPr>
          <w:i/>
          <w:iCs/>
          <w:sz w:val="21"/>
          <w:szCs w:val="21"/>
        </w:rPr>
        <w:t xml:space="preserve">Worked example: a five-hour outage drains in approximately five successive bounded calls of one hour each. No single invocation ever holds five hours of data in memory.</w:t>
      </w:r>
    </w:p>
    <w:p>
      <w:pPr>
        <w:pStyle w:val="Heading2"/>
        <w:spacing w:after="140" w:before="240"/>
      </w:pPr>
      <w:r>
        <w:t xml:space="preserve">6.4 Tunable parameters</w:t>
      </w:r>
    </w:p>
    <w:tbl>
      <w:tblPr>
        <w:tblW w:type="dxa" w:w="9026"/>
        <w:tblBorders>
          <w:top w:val="single" w:color="8EA9DB" w:sz="4"/>
          <w:left w:val="single" w:color="8EA9DB" w:sz="4"/>
          <w:bottom w:val="single" w:color="8EA9DB" w:sz="4"/>
          <w:right w:val="single" w:color="8EA9DB" w:sz="4"/>
          <w:insideH w:val="single" w:color="B4C6E7" w:sz="3"/>
          <w:insideV w:val="single" w:color="B4C6E7" w:sz="3"/>
        </w:tblBorders>
      </w:tblPr>
      <w:tblGrid>
        <w:gridCol w:w="2600"/>
        <w:gridCol w:w="1500"/>
        <w:gridCol w:w="4926"/>
      </w:tblGrid>
      <w:tr>
        <w:trPr>
          <w:tblHeader/>
        </w:trPr>
        <w:tc>
          <w:tcPr>
            <w:tcW w:type="dxa" w:w="2600"/>
            <w:shd w:fill="D9E2F3" w:color="auto" w:val="clear"/>
            <w:tcMar>
              <w:top w:type="dxa" w:w="60"/>
              <w:left w:type="dxa" w:w="100"/>
              <w:bottom w:type="dxa" w:w="60"/>
              <w:right w:type="dxa" w:w="100"/>
            </w:tcMar>
          </w:tcPr>
          <w:p>
            <w:pPr>
              <w:spacing w:after="0" w:line="250"/>
            </w:pPr>
            <w:r>
              <w:rPr>
                <w:b/>
                <w:bCs/>
                <w:sz w:val="19"/>
                <w:szCs w:val="19"/>
              </w:rPr>
              <w:t xml:space="preserve">Exchange property</w:t>
            </w:r>
          </w:p>
        </w:tc>
        <w:tc>
          <w:tcPr>
            <w:tcW w:type="dxa" w:w="1500"/>
            <w:shd w:fill="D9E2F3" w:color="auto" w:val="clear"/>
            <w:tcMar>
              <w:top w:type="dxa" w:w="60"/>
              <w:left w:type="dxa" w:w="100"/>
              <w:bottom w:type="dxa" w:w="60"/>
              <w:right w:type="dxa" w:w="100"/>
            </w:tcMar>
          </w:tcPr>
          <w:p>
            <w:pPr>
              <w:spacing w:after="0" w:line="250"/>
            </w:pPr>
            <w:r>
              <w:rPr>
                <w:b/>
                <w:bCs/>
                <w:sz w:val="19"/>
                <w:szCs w:val="19"/>
              </w:rPr>
              <w:t xml:space="preserve">Default</w:t>
            </w:r>
          </w:p>
        </w:tc>
        <w:tc>
          <w:tcPr>
            <w:tcW w:type="dxa" w:w="4926"/>
            <w:shd w:fill="D9E2F3" w:color="auto" w:val="clear"/>
            <w:tcMar>
              <w:top w:type="dxa" w:w="60"/>
              <w:left w:type="dxa" w:w="100"/>
              <w:bottom w:type="dxa" w:w="60"/>
              <w:right w:type="dxa" w:w="100"/>
            </w:tcMar>
          </w:tcPr>
          <w:p>
            <w:pPr>
              <w:spacing w:after="0" w:line="250"/>
            </w:pPr>
            <w:r>
              <w:rPr>
                <w:b/>
                <w:bCs/>
                <w:sz w:val="19"/>
                <w:szCs w:val="19"/>
              </w:rPr>
              <w:t xml:space="preserve">Purpose</w:t>
            </w:r>
          </w:p>
        </w:tc>
      </w:tr>
      <w:tr>
        <w:tc>
          <w:tcPr>
            <w:tcW w:type="dxa" w:w="2600"/>
            <w:tcMar>
              <w:top w:type="dxa" w:w="60"/>
              <w:left w:type="dxa" w:w="100"/>
              <w:bottom w:type="dxa" w:w="60"/>
              <w:right w:type="dxa" w:w="100"/>
            </w:tcMar>
          </w:tcPr>
          <w:p>
            <w:pPr>
              <w:spacing w:after="0" w:line="250"/>
            </w:pPr>
            <w:r>
              <w:rPr>
                <w:rFonts w:ascii="Consolas" w:cs="Consolas" w:eastAsia="Consolas" w:hAnsi="Consolas"/>
                <w:sz w:val="19"/>
                <w:szCs w:val="19"/>
              </w:rPr>
              <w:t xml:space="preserve">defaultLookbackMinutes</w:t>
            </w:r>
          </w:p>
        </w:tc>
        <w:tc>
          <w:tcPr>
            <w:tcW w:type="dxa" w:w="1500"/>
            <w:tcMar>
              <w:top w:type="dxa" w:w="60"/>
              <w:left w:type="dxa" w:w="100"/>
              <w:bottom w:type="dxa" w:w="60"/>
              <w:right w:type="dxa" w:w="100"/>
            </w:tcMar>
          </w:tcPr>
          <w:p>
            <w:pPr>
              <w:spacing w:after="0" w:line="250"/>
            </w:pPr>
            <w:r>
              <w:rPr>
                <w:sz w:val="19"/>
                <w:szCs w:val="19"/>
              </w:rPr>
              <w:t xml:space="preserve">15</w:t>
            </w:r>
          </w:p>
        </w:tc>
        <w:tc>
          <w:tcPr>
            <w:tcW w:type="dxa" w:w="4926"/>
            <w:tcMar>
              <w:top w:type="dxa" w:w="60"/>
              <w:left w:type="dxa" w:w="100"/>
              <w:bottom w:type="dxa" w:w="60"/>
              <w:right w:type="dxa" w:w="100"/>
            </w:tcMar>
          </w:tcPr>
          <w:p>
            <w:pPr>
              <w:spacing w:after="0" w:line="250"/>
            </w:pPr>
            <w:r>
              <w:rPr>
                <w:sz w:val="19"/>
                <w:szCs w:val="19"/>
              </w:rPr>
              <w:t xml:space="preserve">First-run bootstrap look-back</w:t>
            </w:r>
          </w:p>
        </w:tc>
      </w:tr>
      <w:tr>
        <w:tc>
          <w:tcPr>
            <w:tcW w:type="dxa" w:w="2600"/>
            <w:tcMar>
              <w:top w:type="dxa" w:w="60"/>
              <w:left w:type="dxa" w:w="100"/>
              <w:bottom w:type="dxa" w:w="60"/>
              <w:right w:type="dxa" w:w="100"/>
            </w:tcMar>
          </w:tcPr>
          <w:p>
            <w:pPr>
              <w:spacing w:after="0" w:line="250"/>
            </w:pPr>
            <w:r>
              <w:rPr>
                <w:rFonts w:ascii="Consolas" w:cs="Consolas" w:eastAsia="Consolas" w:hAnsi="Consolas"/>
                <w:sz w:val="19"/>
                <w:szCs w:val="19"/>
              </w:rPr>
              <w:t xml:space="preserve">maxWindowMinutes</w:t>
            </w:r>
          </w:p>
        </w:tc>
        <w:tc>
          <w:tcPr>
            <w:tcW w:type="dxa" w:w="1500"/>
            <w:tcMar>
              <w:top w:type="dxa" w:w="60"/>
              <w:left w:type="dxa" w:w="100"/>
              <w:bottom w:type="dxa" w:w="60"/>
              <w:right w:type="dxa" w:w="100"/>
            </w:tcMar>
          </w:tcPr>
          <w:p>
            <w:pPr>
              <w:spacing w:after="0" w:line="250"/>
            </w:pPr>
            <w:r>
              <w:rPr>
                <w:sz w:val="19"/>
                <w:szCs w:val="19"/>
              </w:rPr>
              <w:t xml:space="preserve">60</w:t>
            </w:r>
          </w:p>
        </w:tc>
        <w:tc>
          <w:tcPr>
            <w:tcW w:type="dxa" w:w="4926"/>
            <w:tcMar>
              <w:top w:type="dxa" w:w="60"/>
              <w:left w:type="dxa" w:w="100"/>
              <w:bottom w:type="dxa" w:w="60"/>
              <w:right w:type="dxa" w:w="100"/>
            </w:tcMar>
          </w:tcPr>
          <w:p>
            <w:pPr>
              <w:spacing w:after="0" w:line="250"/>
            </w:pPr>
            <w:r>
              <w:rPr>
                <w:sz w:val="19"/>
                <w:szCs w:val="19"/>
              </w:rPr>
              <w:t xml:space="preserve">Maximum span extracted per invocation (memory guard)</w:t>
            </w:r>
          </w:p>
        </w:tc>
      </w:tr>
      <w:tr>
        <w:tc>
          <w:tcPr>
            <w:tcW w:type="dxa" w:w="2600"/>
            <w:tcMar>
              <w:top w:type="dxa" w:w="60"/>
              <w:left w:type="dxa" w:w="100"/>
              <w:bottom w:type="dxa" w:w="60"/>
              <w:right w:type="dxa" w:w="100"/>
            </w:tcMar>
          </w:tcPr>
          <w:p>
            <w:pPr>
              <w:spacing w:after="0" w:line="250"/>
            </w:pPr>
            <w:r>
              <w:rPr>
                <w:rFonts w:ascii="Consolas" w:cs="Consolas" w:eastAsia="Consolas" w:hAnsi="Consolas"/>
                <w:sz w:val="19"/>
                <w:szCs w:val="19"/>
              </w:rPr>
              <w:t xml:space="preserve">tsField</w:t>
            </w:r>
          </w:p>
        </w:tc>
        <w:tc>
          <w:tcPr>
            <w:tcW w:type="dxa" w:w="1500"/>
            <w:tcMar>
              <w:top w:type="dxa" w:w="60"/>
              <w:left w:type="dxa" w:w="100"/>
              <w:bottom w:type="dxa" w:w="60"/>
              <w:right w:type="dxa" w:w="100"/>
            </w:tcMar>
          </w:tcPr>
          <w:p>
            <w:pPr>
              <w:spacing w:after="0" w:line="250"/>
            </w:pPr>
            <w:r>
              <w:rPr>
                <w:sz w:val="19"/>
                <w:szCs w:val="19"/>
              </w:rPr>
              <w:t xml:space="preserve">per flow</w:t>
            </w:r>
          </w:p>
        </w:tc>
        <w:tc>
          <w:tcPr>
            <w:tcW w:type="dxa" w:w="4926"/>
            <w:tcMar>
              <w:top w:type="dxa" w:w="60"/>
              <w:left w:type="dxa" w:w="100"/>
              <w:bottom w:type="dxa" w:w="60"/>
              <w:right w:type="dxa" w:w="100"/>
            </w:tcMar>
          </w:tcPr>
          <w:p>
            <w:pPr>
              <w:spacing w:after="0" w:line="250"/>
            </w:pPr>
            <w:r>
              <w:rPr>
                <w:sz w:val="19"/>
                <w:szCs w:val="19"/>
              </w:rPr>
              <w:t xml:space="preserve">Timestamp property name used for filter and HEC time</w:t>
            </w:r>
          </w:p>
        </w:tc>
      </w:tr>
      <w:tr>
        <w:tc>
          <w:tcPr>
            <w:tcW w:type="dxa" w:w="2600"/>
            <w:tcMar>
              <w:top w:type="dxa" w:w="60"/>
              <w:left w:type="dxa" w:w="100"/>
              <w:bottom w:type="dxa" w:w="60"/>
              <w:right w:type="dxa" w:w="100"/>
            </w:tcMar>
          </w:tcPr>
          <w:p>
            <w:pPr>
              <w:spacing w:after="0" w:line="250"/>
            </w:pPr>
            <w:r>
              <w:rPr>
                <w:rFonts w:ascii="Consolas" w:cs="Consolas" w:eastAsia="Consolas" w:hAnsi="Consolas"/>
                <w:sz w:val="19"/>
                <w:szCs w:val="19"/>
              </w:rPr>
              <w:t xml:space="preserve">splunkSourcetype</w:t>
            </w:r>
          </w:p>
        </w:tc>
        <w:tc>
          <w:tcPr>
            <w:tcW w:type="dxa" w:w="1500"/>
            <w:tcMar>
              <w:top w:type="dxa" w:w="60"/>
              <w:left w:type="dxa" w:w="100"/>
              <w:bottom w:type="dxa" w:w="60"/>
              <w:right w:type="dxa" w:w="100"/>
            </w:tcMar>
          </w:tcPr>
          <w:p>
            <w:pPr>
              <w:spacing w:after="0" w:line="250"/>
            </w:pPr>
            <w:r>
              <w:rPr>
                <w:sz w:val="19"/>
                <w:szCs w:val="19"/>
              </w:rPr>
              <w:t xml:space="preserve">per flow</w:t>
            </w:r>
          </w:p>
        </w:tc>
        <w:tc>
          <w:tcPr>
            <w:tcW w:type="dxa" w:w="4926"/>
            <w:tcMar>
              <w:top w:type="dxa" w:w="60"/>
              <w:left w:type="dxa" w:w="100"/>
              <w:bottom w:type="dxa" w:w="60"/>
              <w:right w:type="dxa" w:w="100"/>
            </w:tcMar>
          </w:tcPr>
          <w:p>
            <w:pPr>
              <w:spacing w:after="0" w:line="250"/>
            </w:pPr>
            <w:r>
              <w:rPr>
                <w:sz w:val="19"/>
                <w:szCs w:val="19"/>
              </w:rPr>
              <w:t xml:space="preserve">Value written to the HEC sourcetype field</w:t>
            </w:r>
          </w:p>
        </w:tc>
      </w:tr>
      <w:tr>
        <w:tc>
          <w:tcPr>
            <w:tcW w:type="dxa" w:w="2600"/>
            <w:tcMar>
              <w:top w:type="dxa" w:w="60"/>
              <w:left w:type="dxa" w:w="100"/>
              <w:bottom w:type="dxa" w:w="60"/>
              <w:right w:type="dxa" w:w="100"/>
            </w:tcMar>
          </w:tcPr>
          <w:p>
            <w:pPr>
              <w:spacing w:after="0" w:line="250"/>
            </w:pPr>
            <w:r>
              <w:rPr>
                <w:rFonts w:ascii="Consolas" w:cs="Consolas" w:eastAsia="Consolas" w:hAnsi="Consolas"/>
                <w:sz w:val="19"/>
                <w:szCs w:val="19"/>
              </w:rPr>
              <w:t xml:space="preserve">splunkSource</w:t>
            </w:r>
          </w:p>
        </w:tc>
        <w:tc>
          <w:tcPr>
            <w:tcW w:type="dxa" w:w="1500"/>
            <w:tcMar>
              <w:top w:type="dxa" w:w="60"/>
              <w:left w:type="dxa" w:w="100"/>
              <w:bottom w:type="dxa" w:w="60"/>
              <w:right w:type="dxa" w:w="100"/>
            </w:tcMar>
          </w:tcPr>
          <w:p>
            <w:pPr>
              <w:spacing w:after="0" w:line="250"/>
            </w:pPr>
            <w:r>
              <w:rPr>
                <w:sz w:val="19"/>
                <w:szCs w:val="19"/>
              </w:rPr>
              <w:t xml:space="preserve">per flow</w:t>
            </w:r>
          </w:p>
        </w:tc>
        <w:tc>
          <w:tcPr>
            <w:tcW w:type="dxa" w:w="4926"/>
            <w:tcMar>
              <w:top w:type="dxa" w:w="60"/>
              <w:left w:type="dxa" w:w="100"/>
              <w:bottom w:type="dxa" w:w="60"/>
              <w:right w:type="dxa" w:w="100"/>
            </w:tcMar>
          </w:tcPr>
          <w:p>
            <w:pPr>
              <w:spacing w:after="0" w:line="250"/>
            </w:pPr>
            <w:r>
              <w:rPr>
                <w:sz w:val="19"/>
                <w:szCs w:val="19"/>
              </w:rPr>
              <w:t xml:space="preserve">Value written to the HEC source field</w:t>
            </w:r>
          </w:p>
        </w:tc>
      </w:tr>
      <w:tr>
        <w:tc>
          <w:tcPr>
            <w:tcW w:type="dxa" w:w="2600"/>
            <w:tcMar>
              <w:top w:type="dxa" w:w="60"/>
              <w:left w:type="dxa" w:w="100"/>
              <w:bottom w:type="dxa" w:w="60"/>
              <w:right w:type="dxa" w:w="100"/>
            </w:tcMar>
          </w:tcPr>
          <w:p>
            <w:pPr>
              <w:spacing w:after="0" w:line="250"/>
            </w:pPr>
            <w:r>
              <w:rPr>
                <w:rFonts w:ascii="Consolas" w:cs="Consolas" w:eastAsia="Consolas" w:hAnsi="Consolas"/>
                <w:sz w:val="19"/>
                <w:szCs w:val="19"/>
              </w:rPr>
              <w:t xml:space="preserve">s4System</w:t>
            </w:r>
          </w:p>
        </w:tc>
        <w:tc>
          <w:tcPr>
            <w:tcW w:type="dxa" w:w="1500"/>
            <w:tcMar>
              <w:top w:type="dxa" w:w="60"/>
              <w:left w:type="dxa" w:w="100"/>
              <w:bottom w:type="dxa" w:w="60"/>
              <w:right w:type="dxa" w:w="100"/>
            </w:tcMar>
          </w:tcPr>
          <w:p>
            <w:pPr>
              <w:spacing w:after="0" w:line="250"/>
            </w:pPr>
            <w:r>
              <w:rPr>
                <w:sz w:val="19"/>
                <w:szCs w:val="19"/>
              </w:rPr>
              <w:t xml:space="preserve">s4hana-cloud</w:t>
            </w:r>
          </w:p>
        </w:tc>
        <w:tc>
          <w:tcPr>
            <w:tcW w:type="dxa" w:w="4926"/>
            <w:tcMar>
              <w:top w:type="dxa" w:w="60"/>
              <w:left w:type="dxa" w:w="100"/>
              <w:bottom w:type="dxa" w:w="60"/>
              <w:right w:type="dxa" w:w="100"/>
            </w:tcMar>
          </w:tcPr>
          <w:p>
            <w:pPr>
              <w:spacing w:after="0" w:line="250"/>
            </w:pPr>
            <w:r>
              <w:rPr>
                <w:sz w:val="19"/>
                <w:szCs w:val="19"/>
              </w:rPr>
              <w:t xml:space="preserve">Value written to the HEC host field</w:t>
            </w:r>
          </w:p>
        </w:tc>
      </w:tr>
    </w:tbl>
    <w:p>
      <w:pPr>
        <w:spacing w:after="120" w:line="276"/>
      </w:pPr>
      <w:r>
        <w:rPr>
          <w:i/>
          <w:iCs/>
          <w:sz w:val="21"/>
          <w:szCs w:val="21"/>
        </w:rPr>
        <w:t xml:space="preserve">Lower maxWindowMinutes for high-volume log types (Read Access Log in particular) if MPL memory pressure is observed.</w:t>
      </w:r>
    </w:p>
    <w:p>
      <w:r>
        <w:br w:type="page"/>
      </w:r>
    </w:p>
    <w:p>
      <w:pPr>
        <w:pStyle w:val="Heading1"/>
        <w:spacing w:after="140" w:before="320"/>
      </w:pPr>
      <w:r>
        <w:t xml:space="preserve">7. Pagination</w:t>
      </w:r>
    </w:p>
    <w:p>
      <w:pPr>
        <w:spacing w:after="120" w:line="276"/>
      </w:pPr>
      <w:r>
        <w:rPr>
          <w:sz w:val="21"/>
          <w:szCs w:val="21"/>
        </w:rPr>
        <w:t xml:space="preserve">Pagination uses the OData adapter's native paging ("Process in Pages"), driven by a Looping Process Call over a Local Integration Process. Each iteration retrieves one page, converts it, maps it and appends it to the accumulator.</w:t>
      </w:r>
    </w:p>
    <w:tbl>
      <w:tblPr>
        <w:tblW w:type="dxa" w:w="9026"/>
        <w:tblBorders>
          <w:top w:val="single" w:color="8EA9DB" w:sz="4"/>
          <w:left w:val="single" w:color="8EA9DB" w:sz="4"/>
          <w:bottom w:val="single" w:color="8EA9DB" w:sz="4"/>
          <w:right w:val="single" w:color="8EA9DB" w:sz="4"/>
          <w:insideH w:val="single" w:color="B4C6E7" w:sz="3"/>
          <w:insideV w:val="single" w:color="B4C6E7" w:sz="3"/>
        </w:tblBorders>
      </w:tblPr>
      <w:tblGrid>
        <w:gridCol w:w="2600"/>
        <w:gridCol w:w="6426"/>
      </w:tblGrid>
      <w:tr>
        <w:tc>
          <w:tcPr>
            <w:tcW w:type="dxa" w:w="2600"/>
            <w:tcMar>
              <w:top w:type="dxa" w:w="60"/>
              <w:left w:type="dxa" w:w="100"/>
              <w:bottom w:type="dxa" w:w="60"/>
              <w:right w:type="dxa" w:w="100"/>
            </w:tcMar>
          </w:tcPr>
          <w:p>
            <w:pPr>
              <w:spacing w:after="0" w:line="250"/>
            </w:pPr>
            <w:r>
              <w:rPr>
                <w:b/>
                <w:bCs/>
                <w:sz w:val="19"/>
                <w:szCs w:val="19"/>
              </w:rPr>
              <w:t xml:space="preserve">Loop condition</w:t>
            </w:r>
          </w:p>
        </w:tc>
        <w:tc>
          <w:tcPr>
            <w:tcW w:type="dxa" w:w="6426"/>
            <w:tcMar>
              <w:top w:type="dxa" w:w="60"/>
              <w:left w:type="dxa" w:w="100"/>
              <w:bottom w:type="dxa" w:w="60"/>
              <w:right w:type="dxa" w:w="100"/>
            </w:tcMar>
          </w:tcPr>
          <w:p>
            <w:pPr>
              <w:spacing w:after="0" w:line="250"/>
            </w:pPr>
            <w:r>
              <w:rPr>
                <w:rFonts w:ascii="Consolas" w:cs="Consolas" w:eastAsia="Consolas" w:hAnsi="Consolas"/>
                <w:sz w:val="19"/>
                <w:szCs w:val="19"/>
              </w:rPr>
              <w:t xml:space="preserve">${property.&lt;ReceiverName&gt;.OData.hasMoreRecords} = 'true'</w:t>
            </w:r>
          </w:p>
        </w:tc>
      </w:tr>
      <w:tr>
        <w:tc>
          <w:tcPr>
            <w:tcW w:type="dxa" w:w="2600"/>
            <w:tcMar>
              <w:top w:type="dxa" w:w="60"/>
              <w:left w:type="dxa" w:w="100"/>
              <w:bottom w:type="dxa" w:w="60"/>
              <w:right w:type="dxa" w:w="100"/>
            </w:tcMar>
          </w:tcPr>
          <w:p>
            <w:pPr>
              <w:spacing w:after="0" w:line="250"/>
            </w:pPr>
            <w:r>
              <w:rPr>
                <w:b/>
                <w:bCs/>
                <w:sz w:val="19"/>
                <w:szCs w:val="19"/>
              </w:rPr>
              <w:t xml:space="preserve">Loop maximum</w:t>
            </w:r>
          </w:p>
        </w:tc>
        <w:tc>
          <w:tcPr>
            <w:tcW w:type="dxa" w:w="6426"/>
            <w:tcMar>
              <w:top w:type="dxa" w:w="60"/>
              <w:left w:type="dxa" w:w="100"/>
              <w:bottom w:type="dxa" w:w="60"/>
              <w:right w:type="dxa" w:w="100"/>
            </w:tcMar>
          </w:tcPr>
          <w:p>
            <w:pPr>
              <w:spacing w:after="0" w:line="250"/>
            </w:pPr>
            <w:r>
              <w:rPr>
                <w:rFonts w:ascii="Consolas" w:cs="Consolas" w:eastAsia="Consolas" w:hAnsi="Consolas"/>
                <w:sz w:val="19"/>
                <w:szCs w:val="19"/>
              </w:rPr>
              <w:t xml:space="preserve">10000 iterations (safety ceiling)</w:t>
            </w:r>
          </w:p>
        </w:tc>
      </w:tr>
      <w:tr>
        <w:tc>
          <w:tcPr>
            <w:tcW w:type="dxa" w:w="2600"/>
            <w:tcMar>
              <w:top w:type="dxa" w:w="60"/>
              <w:left w:type="dxa" w:w="100"/>
              <w:bottom w:type="dxa" w:w="60"/>
              <w:right w:type="dxa" w:w="100"/>
            </w:tcMar>
          </w:tcPr>
          <w:p>
            <w:pPr>
              <w:spacing w:after="0" w:line="250"/>
            </w:pPr>
            <w:r>
              <w:rPr>
                <w:b/>
                <w:bCs/>
                <w:sz w:val="19"/>
                <w:szCs w:val="19"/>
              </w:rPr>
              <w:t xml:space="preserve">V4 page size</w:t>
            </w:r>
          </w:p>
        </w:tc>
        <w:tc>
          <w:tcPr>
            <w:tcW w:type="dxa" w:w="6426"/>
            <w:tcMar>
              <w:top w:type="dxa" w:w="60"/>
              <w:left w:type="dxa" w:w="100"/>
              <w:bottom w:type="dxa" w:w="60"/>
              <w:right w:type="dxa" w:w="100"/>
            </w:tcMar>
          </w:tcPr>
          <w:p>
            <w:pPr>
              <w:spacing w:after="0" w:line="250"/>
            </w:pPr>
            <w:r>
              <w:rPr>
                <w:rFonts w:ascii="Consolas" w:cs="Consolas" w:eastAsia="Consolas" w:hAnsi="Consolas"/>
                <w:sz w:val="19"/>
                <w:szCs w:val="19"/>
              </w:rPr>
              <w:t xml:space="preserve">Adapter default</w:t>
            </w:r>
          </w:p>
        </w:tc>
      </w:tr>
      <w:tr>
        <w:tc>
          <w:tcPr>
            <w:tcW w:type="dxa" w:w="2600"/>
            <w:tcMar>
              <w:top w:type="dxa" w:w="60"/>
              <w:left w:type="dxa" w:w="100"/>
              <w:bottom w:type="dxa" w:w="60"/>
              <w:right w:type="dxa" w:w="100"/>
            </w:tcMar>
          </w:tcPr>
          <w:p>
            <w:pPr>
              <w:spacing w:after="0" w:line="250"/>
            </w:pPr>
            <w:r>
              <w:rPr>
                <w:b/>
                <w:bCs/>
                <w:sz w:val="19"/>
                <w:szCs w:val="19"/>
              </w:rPr>
              <w:t xml:space="preserve">V2 page size</w:t>
            </w:r>
          </w:p>
        </w:tc>
        <w:tc>
          <w:tcPr>
            <w:tcW w:type="dxa" w:w="6426"/>
            <w:tcMar>
              <w:top w:type="dxa" w:w="60"/>
              <w:left w:type="dxa" w:w="100"/>
              <w:bottom w:type="dxa" w:w="60"/>
              <w:right w:type="dxa" w:w="100"/>
            </w:tcMar>
          </w:tcPr>
          <w:p>
            <w:pPr>
              <w:spacing w:after="0" w:line="250"/>
            </w:pPr>
            <w:r>
              <w:rPr>
                <w:rFonts w:ascii="Consolas" w:cs="Consolas" w:eastAsia="Consolas" w:hAnsi="Consolas"/>
                <w:sz w:val="19"/>
                <w:szCs w:val="19"/>
              </w:rPr>
              <w:t xml:space="preserve">1000 (odatapagesize)</w:t>
            </w:r>
          </w:p>
        </w:tc>
      </w:tr>
      <w:tr>
        <w:tc>
          <w:tcPr>
            <w:tcW w:type="dxa" w:w="2600"/>
            <w:tcMar>
              <w:top w:type="dxa" w:w="60"/>
              <w:left w:type="dxa" w:w="100"/>
              <w:bottom w:type="dxa" w:w="60"/>
              <w:right w:type="dxa" w:w="100"/>
            </w:tcMar>
          </w:tcPr>
          <w:p>
            <w:pPr>
              <w:spacing w:after="0" w:line="250"/>
            </w:pPr>
            <w:r>
              <w:rPr>
                <w:b/>
                <w:bCs/>
                <w:sz w:val="19"/>
                <w:szCs w:val="19"/>
              </w:rPr>
              <w:t xml:space="preserve">Accumulator</w:t>
            </w:r>
          </w:p>
        </w:tc>
        <w:tc>
          <w:tcPr>
            <w:tcW w:type="dxa" w:w="6426"/>
            <w:tcMar>
              <w:top w:type="dxa" w:w="60"/>
              <w:left w:type="dxa" w:w="100"/>
              <w:bottom w:type="dxa" w:w="60"/>
              <w:right w:type="dxa" w:w="100"/>
            </w:tcMar>
          </w:tcPr>
          <w:p>
            <w:pPr>
              <w:spacing w:after="0" w:line="250"/>
            </w:pPr>
            <w:r>
              <w:rPr>
                <w:rFonts w:ascii="Consolas" w:cs="Consolas" w:eastAsia="Consolas" w:hAnsi="Consolas"/>
                <w:sz w:val="19"/>
                <w:szCs w:val="19"/>
              </w:rPr>
              <w:t xml:space="preserve">Exchange property acc, held as a StringBuilder across iterations</w:t>
            </w:r>
          </w:p>
        </w:tc>
      </w:tr>
    </w:tbl>
    <w:p>
      <w:pPr>
        <w:spacing w:after="120" w:line="276"/>
      </w:pPr>
      <w:r>
        <w:rPr>
          <w:b/>
          <w:bCs/>
          <w:sz w:val="21"/>
          <w:szCs w:val="21"/>
        </w:rPr>
        <w:t xml:space="preserve">Critical configuration constraint</w:t>
      </w:r>
    </w:p>
    <w:p>
      <w:pPr>
        <w:spacing w:after="120" w:line="276"/>
      </w:pPr>
      <w:r>
        <w:rPr>
          <w:sz w:val="21"/>
          <w:szCs w:val="21"/>
        </w:rPr>
        <w:t xml:space="preserve">The receiver participant name and the loop-condition property name MUST match exactly. If they diverge, the property never evaluates to true, the loop terminates after a single page, and the interface silently truncates the extraction while still advancing the high-water — causing permanent data loss. This must be re-verified after any rename of the receiver.</w:t>
      </w:r>
    </w:p>
    <w:p>
      <w:pPr>
        <w:spacing w:after="120" w:line="276"/>
      </w:pPr>
      <w:r>
        <w:rPr>
          <w:i/>
          <w:iCs/>
          <w:sz w:val="21"/>
          <w:szCs w:val="21"/>
        </w:rPr>
        <w:t xml:space="preserve">Likewise, loopMaximum must be large enough for the expected page count. The CPI default of 3 caps an interface at three pages per run.</w:t>
      </w:r>
    </w:p>
    <w:p>
      <w:r>
        <w:br w:type="page"/>
      </w:r>
    </w:p>
    <w:p>
      <w:pPr>
        <w:pStyle w:val="Heading1"/>
        <w:spacing w:after="140" w:before="320"/>
      </w:pPr>
      <w:r>
        <w:t xml:space="preserve">8. Interface Contract</w:t>
      </w:r>
    </w:p>
    <w:p>
      <w:pPr>
        <w:pStyle w:val="Heading2"/>
        <w:spacing w:after="140" w:before="240"/>
      </w:pPr>
      <w:r>
        <w:t xml:space="preserve">8.1 Request</w:t>
      </w:r>
    </w:p>
    <w:tbl>
      <w:tblPr>
        <w:tblW w:type="dxa" w:w="9026"/>
        <w:tblBorders>
          <w:top w:val="single" w:color="8EA9DB" w:sz="4"/>
          <w:left w:val="single" w:color="8EA9DB" w:sz="4"/>
          <w:bottom w:val="single" w:color="8EA9DB" w:sz="4"/>
          <w:right w:val="single" w:color="8EA9DB" w:sz="4"/>
          <w:insideH w:val="single" w:color="B4C6E7" w:sz="3"/>
          <w:insideV w:val="single" w:color="B4C6E7" w:sz="3"/>
        </w:tblBorders>
      </w:tblPr>
      <w:tblGrid>
        <w:gridCol w:w="2600"/>
        <w:gridCol w:w="6426"/>
      </w:tblGrid>
      <w:tr>
        <w:tc>
          <w:tcPr>
            <w:tcW w:type="dxa" w:w="2600"/>
            <w:tcMar>
              <w:top w:type="dxa" w:w="60"/>
              <w:left w:type="dxa" w:w="100"/>
              <w:bottom w:type="dxa" w:w="60"/>
              <w:right w:type="dxa" w:w="100"/>
            </w:tcMar>
          </w:tcPr>
          <w:p>
            <w:pPr>
              <w:spacing w:after="0" w:line="250"/>
            </w:pPr>
            <w:r>
              <w:rPr>
                <w:b/>
                <w:bCs/>
                <w:sz w:val="19"/>
                <w:szCs w:val="19"/>
              </w:rPr>
              <w:t xml:space="preserve">Method</w:t>
            </w:r>
          </w:p>
        </w:tc>
        <w:tc>
          <w:tcPr>
            <w:tcW w:type="dxa" w:w="6426"/>
            <w:tcMar>
              <w:top w:type="dxa" w:w="60"/>
              <w:left w:type="dxa" w:w="100"/>
              <w:bottom w:type="dxa" w:w="60"/>
              <w:right w:type="dxa" w:w="100"/>
            </w:tcMar>
          </w:tcPr>
          <w:p>
            <w:pPr>
              <w:spacing w:after="0" w:line="250"/>
            </w:pPr>
            <w:r>
              <w:rPr>
                <w:sz w:val="19"/>
                <w:szCs w:val="19"/>
              </w:rPr>
              <w:t xml:space="preserve">POST (GET also accepted)</w:t>
            </w:r>
          </w:p>
        </w:tc>
      </w:tr>
      <w:tr>
        <w:tc>
          <w:tcPr>
            <w:tcW w:type="dxa" w:w="2600"/>
            <w:tcMar>
              <w:top w:type="dxa" w:w="60"/>
              <w:left w:type="dxa" w:w="100"/>
              <w:bottom w:type="dxa" w:w="60"/>
              <w:right w:type="dxa" w:w="100"/>
            </w:tcMar>
          </w:tcPr>
          <w:p>
            <w:pPr>
              <w:spacing w:after="0" w:line="250"/>
            </w:pPr>
            <w:r>
              <w:rPr>
                <w:b/>
                <w:bCs/>
                <w:sz w:val="19"/>
                <w:szCs w:val="19"/>
              </w:rPr>
              <w:t xml:space="preserve">URL</w:t>
            </w:r>
          </w:p>
        </w:tc>
        <w:tc>
          <w:tcPr>
            <w:tcW w:type="dxa" w:w="6426"/>
            <w:tcMar>
              <w:top w:type="dxa" w:w="60"/>
              <w:left w:type="dxa" w:w="100"/>
              <w:bottom w:type="dxa" w:w="60"/>
              <w:right w:type="dxa" w:w="100"/>
            </w:tcMar>
          </w:tcPr>
          <w:p>
            <w:pPr>
              <w:spacing w:after="0" w:line="250"/>
            </w:pPr>
            <w:r>
              <w:rPr>
                <w:sz w:val="19"/>
                <w:szCs w:val="19"/>
              </w:rPr>
              <w:t xml:space="preserve">https://&lt;cpi-runtime-host&gt;/http&lt;urlPath&gt;</w:t>
            </w:r>
          </w:p>
        </w:tc>
      </w:tr>
      <w:tr>
        <w:tc>
          <w:tcPr>
            <w:tcW w:type="dxa" w:w="2600"/>
            <w:tcMar>
              <w:top w:type="dxa" w:w="60"/>
              <w:left w:type="dxa" w:w="100"/>
              <w:bottom w:type="dxa" w:w="60"/>
              <w:right w:type="dxa" w:w="100"/>
            </w:tcMar>
          </w:tcPr>
          <w:p>
            <w:pPr>
              <w:spacing w:after="0" w:line="250"/>
            </w:pPr>
            <w:r>
              <w:rPr>
                <w:b/>
                <w:bCs/>
                <w:sz w:val="19"/>
                <w:szCs w:val="19"/>
              </w:rPr>
              <w:t xml:space="preserve">Authentication</w:t>
            </w:r>
          </w:p>
        </w:tc>
        <w:tc>
          <w:tcPr>
            <w:tcW w:type="dxa" w:w="6426"/>
            <w:tcMar>
              <w:top w:type="dxa" w:w="60"/>
              <w:left w:type="dxa" w:w="100"/>
              <w:bottom w:type="dxa" w:w="60"/>
              <w:right w:type="dxa" w:w="100"/>
            </w:tcMar>
          </w:tcPr>
          <w:p>
            <w:pPr>
              <w:spacing w:after="0" w:line="250"/>
            </w:pPr>
            <w:r>
              <w:rPr>
                <w:sz w:val="19"/>
                <w:szCs w:val="19"/>
              </w:rPr>
              <w:t xml:space="preserve">Role-based; sender user role (see section 11)</w:t>
            </w:r>
          </w:p>
        </w:tc>
      </w:tr>
      <w:tr>
        <w:tc>
          <w:tcPr>
            <w:tcW w:type="dxa" w:w="2600"/>
            <w:tcMar>
              <w:top w:type="dxa" w:w="60"/>
              <w:left w:type="dxa" w:w="100"/>
              <w:bottom w:type="dxa" w:w="60"/>
              <w:right w:type="dxa" w:w="100"/>
            </w:tcMar>
          </w:tcPr>
          <w:p>
            <w:pPr>
              <w:spacing w:after="0" w:line="250"/>
            </w:pPr>
            <w:r>
              <w:rPr>
                <w:b/>
                <w:bCs/>
                <w:sz w:val="19"/>
                <w:szCs w:val="19"/>
              </w:rPr>
              <w:t xml:space="preserve">CSRF</w:t>
            </w:r>
          </w:p>
        </w:tc>
        <w:tc>
          <w:tcPr>
            <w:tcW w:type="dxa" w:w="6426"/>
            <w:tcMar>
              <w:top w:type="dxa" w:w="60"/>
              <w:left w:type="dxa" w:w="100"/>
              <w:bottom w:type="dxa" w:w="60"/>
              <w:right w:type="dxa" w:w="100"/>
            </w:tcMar>
          </w:tcPr>
          <w:p>
            <w:pPr>
              <w:spacing w:after="0" w:line="250"/>
            </w:pPr>
            <w:r>
              <w:rPr>
                <w:sz w:val="19"/>
                <w:szCs w:val="19"/>
              </w:rPr>
              <w:t xml:space="preserve">Disabled for this endpoint</w:t>
            </w:r>
          </w:p>
        </w:tc>
      </w:tr>
      <w:tr>
        <w:tc>
          <w:tcPr>
            <w:tcW w:type="dxa" w:w="2600"/>
            <w:tcMar>
              <w:top w:type="dxa" w:w="60"/>
              <w:left w:type="dxa" w:w="100"/>
              <w:bottom w:type="dxa" w:w="60"/>
              <w:right w:type="dxa" w:w="100"/>
            </w:tcMar>
          </w:tcPr>
          <w:p>
            <w:pPr>
              <w:spacing w:after="0" w:line="250"/>
            </w:pPr>
            <w:r>
              <w:rPr>
                <w:b/>
                <w:bCs/>
                <w:sz w:val="19"/>
                <w:szCs w:val="19"/>
              </w:rPr>
              <w:t xml:space="preserve">Request body</w:t>
            </w:r>
          </w:p>
        </w:tc>
        <w:tc>
          <w:tcPr>
            <w:tcW w:type="dxa" w:w="6426"/>
            <w:tcMar>
              <w:top w:type="dxa" w:w="60"/>
              <w:left w:type="dxa" w:w="100"/>
              <w:bottom w:type="dxa" w:w="60"/>
              <w:right w:type="dxa" w:w="100"/>
            </w:tcMar>
          </w:tcPr>
          <w:p>
            <w:pPr>
              <w:spacing w:after="0" w:line="250"/>
            </w:pPr>
            <w:r>
              <w:rPr>
                <w:sz w:val="19"/>
                <w:szCs w:val="19"/>
              </w:rPr>
              <w:t xml:space="preserve">Ignored — an empty body is valid</w:t>
            </w:r>
          </w:p>
        </w:tc>
      </w:tr>
    </w:tbl>
    <w:p>
      <w:pPr>
        <w:pStyle w:val="Heading2"/>
        <w:spacing w:after="140" w:before="240"/>
      </w:pPr>
      <w:r>
        <w:t xml:space="preserve">8.2 Response</w:t>
      </w:r>
    </w:p>
    <w:tbl>
      <w:tblPr>
        <w:tblW w:type="dxa" w:w="9026"/>
        <w:tblBorders>
          <w:top w:val="single" w:color="8EA9DB" w:sz="4"/>
          <w:left w:val="single" w:color="8EA9DB" w:sz="4"/>
          <w:bottom w:val="single" w:color="8EA9DB" w:sz="4"/>
          <w:right w:val="single" w:color="8EA9DB" w:sz="4"/>
          <w:insideH w:val="single" w:color="B4C6E7" w:sz="3"/>
          <w:insideV w:val="single" w:color="B4C6E7" w:sz="3"/>
        </w:tblBorders>
      </w:tblPr>
      <w:tblGrid>
        <w:gridCol w:w="2600"/>
        <w:gridCol w:w="6426"/>
      </w:tblGrid>
      <w:tr>
        <w:tc>
          <w:tcPr>
            <w:tcW w:type="dxa" w:w="2600"/>
            <w:tcMar>
              <w:top w:type="dxa" w:w="60"/>
              <w:left w:type="dxa" w:w="100"/>
              <w:bottom w:type="dxa" w:w="60"/>
              <w:right w:type="dxa" w:w="100"/>
            </w:tcMar>
          </w:tcPr>
          <w:p>
            <w:pPr>
              <w:spacing w:after="0" w:line="250"/>
            </w:pPr>
            <w:r>
              <w:rPr>
                <w:b/>
                <w:bCs/>
                <w:sz w:val="19"/>
                <w:szCs w:val="19"/>
              </w:rPr>
              <w:t xml:space="preserve">Status 200</w:t>
            </w:r>
          </w:p>
        </w:tc>
        <w:tc>
          <w:tcPr>
            <w:tcW w:type="dxa" w:w="6426"/>
            <w:tcMar>
              <w:top w:type="dxa" w:w="60"/>
              <w:left w:type="dxa" w:w="100"/>
              <w:bottom w:type="dxa" w:w="60"/>
              <w:right w:type="dxa" w:w="100"/>
            </w:tcMar>
          </w:tcPr>
          <w:p>
            <w:pPr>
              <w:spacing w:after="0" w:line="250"/>
            </w:pPr>
            <w:r>
              <w:rPr>
                <w:sz w:val="19"/>
                <w:szCs w:val="19"/>
              </w:rPr>
              <w:t xml:space="preserve">Extraction succeeded; body contains NDJSON events</w:t>
            </w:r>
          </w:p>
        </w:tc>
      </w:tr>
      <w:tr>
        <w:tc>
          <w:tcPr>
            <w:tcW w:type="dxa" w:w="2600"/>
            <w:tcMar>
              <w:top w:type="dxa" w:w="60"/>
              <w:left w:type="dxa" w:w="100"/>
              <w:bottom w:type="dxa" w:w="60"/>
              <w:right w:type="dxa" w:w="100"/>
            </w:tcMar>
          </w:tcPr>
          <w:p>
            <w:pPr>
              <w:spacing w:after="0" w:line="250"/>
            </w:pPr>
            <w:r>
              <w:rPr>
                <w:b/>
                <w:bCs/>
                <w:sz w:val="19"/>
                <w:szCs w:val="19"/>
              </w:rPr>
              <w:t xml:space="preserve">Status 500</w:t>
            </w:r>
          </w:p>
        </w:tc>
        <w:tc>
          <w:tcPr>
            <w:tcW w:type="dxa" w:w="6426"/>
            <w:tcMar>
              <w:top w:type="dxa" w:w="60"/>
              <w:left w:type="dxa" w:w="100"/>
              <w:bottom w:type="dxa" w:w="60"/>
              <w:right w:type="dxa" w:w="100"/>
            </w:tcMar>
          </w:tcPr>
          <w:p>
            <w:pPr>
              <w:spacing w:after="0" w:line="250"/>
            </w:pPr>
            <w:r>
              <w:rPr>
                <w:sz w:val="19"/>
                <w:szCs w:val="19"/>
              </w:rPr>
              <w:t xml:space="preserve">Extraction failed; body contains a JSON error object; high-water unchanged</w:t>
            </w:r>
          </w:p>
        </w:tc>
      </w:tr>
      <w:tr>
        <w:tc>
          <w:tcPr>
            <w:tcW w:type="dxa" w:w="2600"/>
            <w:tcMar>
              <w:top w:type="dxa" w:w="60"/>
              <w:left w:type="dxa" w:w="100"/>
              <w:bottom w:type="dxa" w:w="60"/>
              <w:right w:type="dxa" w:w="100"/>
            </w:tcMar>
          </w:tcPr>
          <w:p>
            <w:pPr>
              <w:spacing w:after="0" w:line="250"/>
            </w:pPr>
            <w:r>
              <w:rPr>
                <w:b/>
                <w:bCs/>
                <w:sz w:val="19"/>
                <w:szCs w:val="19"/>
              </w:rPr>
              <w:t xml:space="preserve">Content-Type</w:t>
            </w:r>
          </w:p>
        </w:tc>
        <w:tc>
          <w:tcPr>
            <w:tcW w:type="dxa" w:w="6426"/>
            <w:tcMar>
              <w:top w:type="dxa" w:w="60"/>
              <w:left w:type="dxa" w:w="100"/>
              <w:bottom w:type="dxa" w:w="60"/>
              <w:right w:type="dxa" w:w="100"/>
            </w:tcMar>
          </w:tcPr>
          <w:p>
            <w:pPr>
              <w:spacing w:after="0" w:line="250"/>
            </w:pPr>
            <w:r>
              <w:rPr>
                <w:sz w:val="19"/>
                <w:szCs w:val="19"/>
              </w:rPr>
              <w:t xml:space="preserve">application/x-ndjson</w:t>
            </w:r>
          </w:p>
        </w:tc>
      </w:tr>
      <w:tr>
        <w:tc>
          <w:tcPr>
            <w:tcW w:type="dxa" w:w="2600"/>
            <w:tcMar>
              <w:top w:type="dxa" w:w="60"/>
              <w:left w:type="dxa" w:w="100"/>
              <w:bottom w:type="dxa" w:w="60"/>
              <w:right w:type="dxa" w:w="100"/>
            </w:tcMar>
          </w:tcPr>
          <w:p>
            <w:pPr>
              <w:spacing w:after="0" w:line="250"/>
            </w:pPr>
            <w:r>
              <w:rPr>
                <w:b/>
                <w:bCs/>
                <w:sz w:val="19"/>
                <w:szCs w:val="19"/>
              </w:rPr>
              <w:t xml:space="preserve">Body</w:t>
            </w:r>
          </w:p>
        </w:tc>
        <w:tc>
          <w:tcPr>
            <w:tcW w:type="dxa" w:w="6426"/>
            <w:tcMar>
              <w:top w:type="dxa" w:w="60"/>
              <w:left w:type="dxa" w:w="100"/>
              <w:bottom w:type="dxa" w:w="60"/>
              <w:right w:type="dxa" w:w="100"/>
            </w:tcMar>
          </w:tcPr>
          <w:p>
            <w:pPr>
              <w:spacing w:after="0" w:line="250"/>
            </w:pPr>
            <w:r>
              <w:rPr>
                <w:sz w:val="19"/>
                <w:szCs w:val="19"/>
              </w:rPr>
              <w:t xml:space="preserve">One HEC envelope per line; empty when the window contained no events</w:t>
            </w:r>
          </w:p>
        </w:tc>
      </w:tr>
    </w:tbl>
    <w:p>
      <w:pPr>
        <w:spacing w:after="160"/>
      </w:pPr>
    </w:p>
    <w:p>
      <w:pPr>
        <w:spacing w:after="120" w:line="276"/>
      </w:pPr>
      <w:r>
        <w:rPr>
          <w:b/>
          <w:bCs/>
          <w:sz w:val="21"/>
          <w:szCs w:val="21"/>
        </w:rPr>
        <w:t xml:space="preserve">Response headers:</w:t>
      </w:r>
    </w:p>
    <w:tbl>
      <w:tblPr>
        <w:tblW w:type="dxa" w:w="9026"/>
        <w:tblBorders>
          <w:top w:val="single" w:color="8EA9DB" w:sz="4"/>
          <w:left w:val="single" w:color="8EA9DB" w:sz="4"/>
          <w:bottom w:val="single" w:color="8EA9DB" w:sz="4"/>
          <w:right w:val="single" w:color="8EA9DB" w:sz="4"/>
          <w:insideH w:val="single" w:color="B4C6E7" w:sz="3"/>
          <w:insideV w:val="single" w:color="B4C6E7" w:sz="3"/>
        </w:tblBorders>
      </w:tblPr>
      <w:tblGrid>
        <w:gridCol w:w="2400"/>
        <w:gridCol w:w="6626"/>
      </w:tblGrid>
      <w:tr>
        <w:trPr>
          <w:tblHeader/>
        </w:trPr>
        <w:tc>
          <w:tcPr>
            <w:tcW w:type="dxa" w:w="2400"/>
            <w:shd w:fill="D9E2F3" w:color="auto" w:val="clear"/>
            <w:tcMar>
              <w:top w:type="dxa" w:w="60"/>
              <w:left w:type="dxa" w:w="100"/>
              <w:bottom w:type="dxa" w:w="60"/>
              <w:right w:type="dxa" w:w="100"/>
            </w:tcMar>
          </w:tcPr>
          <w:p>
            <w:pPr>
              <w:spacing w:after="0" w:line="250"/>
            </w:pPr>
            <w:r>
              <w:rPr>
                <w:b/>
                <w:bCs/>
                <w:sz w:val="19"/>
                <w:szCs w:val="19"/>
              </w:rPr>
              <w:t xml:space="preserve">Header</w:t>
            </w:r>
          </w:p>
        </w:tc>
        <w:tc>
          <w:tcPr>
            <w:tcW w:type="dxa" w:w="6626"/>
            <w:shd w:fill="D9E2F3" w:color="auto" w:val="clear"/>
            <w:tcMar>
              <w:top w:type="dxa" w:w="60"/>
              <w:left w:type="dxa" w:w="100"/>
              <w:bottom w:type="dxa" w:w="60"/>
              <w:right w:type="dxa" w:w="100"/>
            </w:tcMar>
          </w:tcPr>
          <w:p>
            <w:pPr>
              <w:spacing w:after="0" w:line="250"/>
            </w:pPr>
            <w:r>
              <w:rPr>
                <w:b/>
                <w:bCs/>
                <w:sz w:val="19"/>
                <w:szCs w:val="19"/>
              </w:rPr>
              <w:t xml:space="preserve">Meaning</w:t>
            </w:r>
          </w:p>
        </w:tc>
      </w:tr>
      <w:tr>
        <w:tc>
          <w:tcPr>
            <w:tcW w:type="dxa" w:w="2400"/>
            <w:tcMar>
              <w:top w:type="dxa" w:w="60"/>
              <w:left w:type="dxa" w:w="100"/>
              <w:bottom w:type="dxa" w:w="60"/>
              <w:right w:type="dxa" w:w="100"/>
            </w:tcMar>
          </w:tcPr>
          <w:p>
            <w:pPr>
              <w:spacing w:after="0" w:line="250"/>
            </w:pPr>
            <w:r>
              <w:rPr>
                <w:rFonts w:ascii="Consolas" w:cs="Consolas" w:eastAsia="Consolas" w:hAnsi="Consolas"/>
                <w:sz w:val="19"/>
                <w:szCs w:val="19"/>
              </w:rPr>
              <w:t xml:space="preserve">X-Total-Count</w:t>
            </w:r>
          </w:p>
        </w:tc>
        <w:tc>
          <w:tcPr>
            <w:tcW w:type="dxa" w:w="6626"/>
            <w:tcMar>
              <w:top w:type="dxa" w:w="60"/>
              <w:left w:type="dxa" w:w="100"/>
              <w:bottom w:type="dxa" w:w="60"/>
              <w:right w:type="dxa" w:w="100"/>
            </w:tcMar>
          </w:tcPr>
          <w:p>
            <w:pPr>
              <w:spacing w:after="0" w:line="250"/>
            </w:pPr>
            <w:r>
              <w:rPr>
                <w:sz w:val="19"/>
                <w:szCs w:val="19"/>
              </w:rPr>
              <w:t xml:space="preserve">Number of events in the response body</w:t>
            </w:r>
          </w:p>
        </w:tc>
      </w:tr>
      <w:tr>
        <w:tc>
          <w:tcPr>
            <w:tcW w:type="dxa" w:w="2400"/>
            <w:tcMar>
              <w:top w:type="dxa" w:w="60"/>
              <w:left w:type="dxa" w:w="100"/>
              <w:bottom w:type="dxa" w:w="60"/>
              <w:right w:type="dxa" w:w="100"/>
            </w:tcMar>
          </w:tcPr>
          <w:p>
            <w:pPr>
              <w:spacing w:after="0" w:line="250"/>
            </w:pPr>
            <w:r>
              <w:rPr>
                <w:rFonts w:ascii="Consolas" w:cs="Consolas" w:eastAsia="Consolas" w:hAnsi="Consolas"/>
                <w:sz w:val="19"/>
                <w:szCs w:val="19"/>
              </w:rPr>
              <w:t xml:space="preserve">X-Window-From</w:t>
            </w:r>
          </w:p>
        </w:tc>
        <w:tc>
          <w:tcPr>
            <w:tcW w:type="dxa" w:w="6626"/>
            <w:tcMar>
              <w:top w:type="dxa" w:w="60"/>
              <w:left w:type="dxa" w:w="100"/>
              <w:bottom w:type="dxa" w:w="60"/>
              <w:right w:type="dxa" w:w="100"/>
            </w:tcMar>
          </w:tcPr>
          <w:p>
            <w:pPr>
              <w:spacing w:after="0" w:line="250"/>
            </w:pPr>
            <w:r>
              <w:rPr>
                <w:sz w:val="19"/>
                <w:szCs w:val="19"/>
              </w:rPr>
              <w:t xml:space="preserve">Exclusive lower bound of the extracted window</w:t>
            </w:r>
          </w:p>
        </w:tc>
      </w:tr>
      <w:tr>
        <w:tc>
          <w:tcPr>
            <w:tcW w:type="dxa" w:w="2400"/>
            <w:tcMar>
              <w:top w:type="dxa" w:w="60"/>
              <w:left w:type="dxa" w:w="100"/>
              <w:bottom w:type="dxa" w:w="60"/>
              <w:right w:type="dxa" w:w="100"/>
            </w:tcMar>
          </w:tcPr>
          <w:p>
            <w:pPr>
              <w:spacing w:after="0" w:line="250"/>
            </w:pPr>
            <w:r>
              <w:rPr>
                <w:rFonts w:ascii="Consolas" w:cs="Consolas" w:eastAsia="Consolas" w:hAnsi="Consolas"/>
                <w:sz w:val="19"/>
                <w:szCs w:val="19"/>
              </w:rPr>
              <w:t xml:space="preserve">X-Window-To</w:t>
            </w:r>
          </w:p>
        </w:tc>
        <w:tc>
          <w:tcPr>
            <w:tcW w:type="dxa" w:w="6626"/>
            <w:tcMar>
              <w:top w:type="dxa" w:w="60"/>
              <w:left w:type="dxa" w:w="100"/>
              <w:bottom w:type="dxa" w:w="60"/>
              <w:right w:type="dxa" w:w="100"/>
            </w:tcMar>
          </w:tcPr>
          <w:p>
            <w:pPr>
              <w:spacing w:after="0" w:line="250"/>
            </w:pPr>
            <w:r>
              <w:rPr>
                <w:sz w:val="19"/>
                <w:szCs w:val="19"/>
              </w:rPr>
              <w:t xml:space="preserve">Inclusive upper bound of the extracted window</w:t>
            </w:r>
          </w:p>
        </w:tc>
      </w:tr>
      <w:tr>
        <w:tc>
          <w:tcPr>
            <w:tcW w:type="dxa" w:w="2400"/>
            <w:tcMar>
              <w:top w:type="dxa" w:w="60"/>
              <w:left w:type="dxa" w:w="100"/>
              <w:bottom w:type="dxa" w:w="60"/>
              <w:right w:type="dxa" w:w="100"/>
            </w:tcMar>
          </w:tcPr>
          <w:p>
            <w:pPr>
              <w:spacing w:after="0" w:line="250"/>
            </w:pPr>
            <w:r>
              <w:rPr>
                <w:rFonts w:ascii="Consolas" w:cs="Consolas" w:eastAsia="Consolas" w:hAnsi="Consolas"/>
                <w:sz w:val="19"/>
                <w:szCs w:val="19"/>
              </w:rPr>
              <w:t xml:space="preserve">X-Next-Since</w:t>
            </w:r>
          </w:p>
        </w:tc>
        <w:tc>
          <w:tcPr>
            <w:tcW w:type="dxa" w:w="6626"/>
            <w:tcMar>
              <w:top w:type="dxa" w:w="60"/>
              <w:left w:type="dxa" w:w="100"/>
              <w:bottom w:type="dxa" w:w="60"/>
              <w:right w:type="dxa" w:w="100"/>
            </w:tcMar>
          </w:tcPr>
          <w:p>
            <w:pPr>
              <w:spacing w:after="0" w:line="250"/>
            </w:pPr>
            <w:r>
              <w:rPr>
                <w:sz w:val="19"/>
                <w:szCs w:val="19"/>
              </w:rPr>
              <w:t xml:space="preserve">New high-water value — the lower bound of the next call</w:t>
            </w:r>
          </w:p>
        </w:tc>
      </w:tr>
      <w:tr>
        <w:tc>
          <w:tcPr>
            <w:tcW w:type="dxa" w:w="2400"/>
            <w:tcMar>
              <w:top w:type="dxa" w:w="60"/>
              <w:left w:type="dxa" w:w="100"/>
              <w:bottom w:type="dxa" w:w="60"/>
              <w:right w:type="dxa" w:w="100"/>
            </w:tcMar>
          </w:tcPr>
          <w:p>
            <w:pPr>
              <w:spacing w:after="0" w:line="250"/>
            </w:pPr>
            <w:r>
              <w:rPr>
                <w:rFonts w:ascii="Consolas" w:cs="Consolas" w:eastAsia="Consolas" w:hAnsi="Consolas"/>
                <w:sz w:val="19"/>
                <w:szCs w:val="19"/>
              </w:rPr>
              <w:t xml:space="preserve">X-Caught-Up</w:t>
            </w:r>
          </w:p>
        </w:tc>
        <w:tc>
          <w:tcPr>
            <w:tcW w:type="dxa" w:w="6626"/>
            <w:tcMar>
              <w:top w:type="dxa" w:w="60"/>
              <w:left w:type="dxa" w:w="100"/>
              <w:bottom w:type="dxa" w:w="60"/>
              <w:right w:type="dxa" w:w="100"/>
            </w:tcMar>
          </w:tcPr>
          <w:p>
            <w:pPr>
              <w:spacing w:after="0" w:line="250"/>
            </w:pPr>
            <w:r>
              <w:rPr>
                <w:sz w:val="19"/>
                <w:szCs w:val="19"/>
              </w:rPr>
              <w:t xml:space="preserve">false when a backlog remains; the consumer should call again immediately</w:t>
            </w:r>
          </w:p>
        </w:tc>
      </w:tr>
      <w:tr>
        <w:tc>
          <w:tcPr>
            <w:tcW w:type="dxa" w:w="2400"/>
            <w:tcMar>
              <w:top w:type="dxa" w:w="60"/>
              <w:left w:type="dxa" w:w="100"/>
              <w:bottom w:type="dxa" w:w="60"/>
              <w:right w:type="dxa" w:w="100"/>
            </w:tcMar>
          </w:tcPr>
          <w:p>
            <w:pPr>
              <w:spacing w:after="0" w:line="250"/>
            </w:pPr>
            <w:r>
              <w:rPr>
                <w:rFonts w:ascii="Consolas" w:cs="Consolas" w:eastAsia="Consolas" w:hAnsi="Consolas"/>
                <w:sz w:val="19"/>
                <w:szCs w:val="19"/>
              </w:rPr>
              <w:t xml:space="preserve">X-First-Run</w:t>
            </w:r>
          </w:p>
        </w:tc>
        <w:tc>
          <w:tcPr>
            <w:tcW w:type="dxa" w:w="6626"/>
            <w:tcMar>
              <w:top w:type="dxa" w:w="60"/>
              <w:left w:type="dxa" w:w="100"/>
              <w:bottom w:type="dxa" w:w="60"/>
              <w:right w:type="dxa" w:w="100"/>
            </w:tcMar>
          </w:tcPr>
          <w:p>
            <w:pPr>
              <w:spacing w:after="0" w:line="250"/>
            </w:pPr>
            <w:r>
              <w:rPr>
                <w:sz w:val="19"/>
                <w:szCs w:val="19"/>
              </w:rPr>
              <w:t xml:space="preserve">true when this invocation bootstrapped the high-water</w:t>
            </w:r>
          </w:p>
        </w:tc>
      </w:tr>
    </w:tbl>
    <w:p>
      <w:pPr>
        <w:pStyle w:val="Heading2"/>
        <w:spacing w:after="140" w:before="240"/>
      </w:pPr>
      <w:r>
        <w:t xml:space="preserve">8.3 Event envelope</w:t>
      </w:r>
    </w:p>
    <w:p>
      <w:pPr>
        <w:spacing w:after="120" w:line="276"/>
      </w:pPr>
      <w:r>
        <w:rPr>
          <w:sz w:val="21"/>
          <w:szCs w:val="21"/>
        </w:rPr>
        <w:t xml:space="preserve">Each line of the response body is a Splunk HEC envelope:</w:t>
      </w:r>
    </w:p>
    <w:p>
      <w:pPr>
        <w:pBdr>
          <w:left w:val="single" w:color="1F4E79" w:sz="12" w:space="6"/>
        </w:pBdr>
        <w:shd w:fill="F2F2F2" w:color="auto" w:val="clear"/>
        <w:spacing w:after="60" w:before="60"/>
        <w:ind w:left="180"/>
      </w:pPr>
      <w:r>
        <w:rPr>
          <w:rFonts w:ascii="Consolas" w:cs="Consolas" w:eastAsia="Consolas" w:hAnsi="Consolas"/>
          <w:sz w:val="17"/>
          <w:szCs w:val="17"/>
        </w:rPr>
        <w:t xml:space="preserve">{"host":"s4hana-cloud","source":"&lt;source&gt;","sourcetype":"&lt;sourcetype&gt;",</w:t>
      </w:r>
    </w:p>
    <w:p>
      <w:pPr>
        <w:pBdr>
          <w:left w:val="single" w:color="1F4E79" w:sz="12" w:space="6"/>
        </w:pBdr>
        <w:shd w:fill="F2F2F2" w:color="auto" w:val="clear"/>
        <w:spacing w:after="60" w:before="60"/>
        <w:ind w:left="180"/>
      </w:pPr>
      <w:r>
        <w:rPr>
          <w:rFonts w:ascii="Consolas" w:cs="Consolas" w:eastAsia="Consolas" w:hAnsi="Consolas"/>
          <w:sz w:val="17"/>
          <w:szCs w:val="17"/>
        </w:rPr>
        <w:t xml:space="preserve"> "time":&lt;epoch seconds, fractional&gt;,"event":{ ...all selected fields... }}</w:t>
      </w:r>
    </w:p>
    <w:p>
      <w:pPr>
        <w:spacing w:after="120" w:line="276"/>
      </w:pPr>
      <w:r>
        <w:rPr>
          <w:i/>
          <w:iCs/>
          <w:sz w:val="21"/>
          <w:szCs w:val="21"/>
        </w:rPr>
        <w:t xml:space="preserve">The body is directly postable to a Splunk HEC /services/collector/event endpoint, or parseable by any consumer.</w:t>
      </w:r>
    </w:p>
    <w:p>
      <w:r>
        <w:br w:type="page"/>
      </w:r>
    </w:p>
    <w:p>
      <w:pPr>
        <w:pStyle w:val="Heading1"/>
        <w:spacing w:after="140" w:before="320"/>
      </w:pPr>
      <w:r>
        <w:t xml:space="preserve">9. Data Handling</w:t>
      </w:r>
    </w:p>
    <w:p>
      <w:pPr>
        <w:pStyle w:val="Heading2"/>
        <w:spacing w:after="140" w:before="240"/>
      </w:pPr>
      <w:r>
        <w:t xml:space="preserve">9.1 Timestamp normalisation</w:t>
      </w:r>
    </w:p>
    <w:p>
      <w:pPr>
        <w:spacing w:after="120" w:line="276"/>
      </w:pPr>
      <w:r>
        <w:rPr>
          <w:sz w:val="21"/>
          <w:szCs w:val="21"/>
        </w:rPr>
        <w:t xml:space="preserve">The four source services do not emit timestamps in a single format. Security Audit Log and Read Access Log return a trailing Z; the two IAM change-document services return a local-form value with no timezone designator. A parser that accepts only the ISO instant form silently fails on the latter, leaving events without an event time so that Splunk stamps ingestion time instead.</w:t>
      </w:r>
    </w:p>
    <w:p>
      <w:pPr>
        <w:spacing w:after="120" w:line="276"/>
      </w:pPr>
      <w:r>
        <w:rPr>
          <w:sz w:val="21"/>
          <w:szCs w:val="21"/>
        </w:rPr>
        <w:t xml:space="preserve">mapAndAccumulate.groovy therefore applies a tolerant parsing cascade:</w:t>
      </w:r>
    </w:p>
    <w:p>
      <w:pPr>
        <w:pStyle w:val="ListParagraph"/>
        <w:numPr>
          <w:ilvl w:val="0"/>
          <w:numId w:val="2"/>
        </w:numPr>
        <w:spacing w:after="70" w:line="276"/>
      </w:pPr>
      <w:r>
        <w:rPr>
          <w:sz w:val="21"/>
          <w:szCs w:val="21"/>
        </w:rPr>
        <w:t xml:space="preserve">java.time.Instant — values with a trailing Z (e.g. 2026-08-12T02:31:17.451688Z).</w:t>
      </w:r>
    </w:p>
    <w:p>
      <w:pPr>
        <w:pStyle w:val="ListParagraph"/>
        <w:numPr>
          <w:ilvl w:val="0"/>
          <w:numId w:val="2"/>
        </w:numPr>
        <w:spacing w:after="70" w:line="276"/>
      </w:pPr>
      <w:r>
        <w:rPr>
          <w:sz w:val="21"/>
          <w:szCs w:val="21"/>
        </w:rPr>
        <w:t xml:space="preserve">java.time.OffsetDateTime — values with an explicit offset (e.g. +10:00).</w:t>
      </w:r>
    </w:p>
    <w:p>
      <w:pPr>
        <w:pStyle w:val="ListParagraph"/>
        <w:numPr>
          <w:ilvl w:val="0"/>
          <w:numId w:val="2"/>
        </w:numPr>
        <w:spacing w:after="70" w:line="276"/>
      </w:pPr>
      <w:r>
        <w:rPr>
          <w:sz w:val="21"/>
          <w:szCs w:val="21"/>
        </w:rPr>
        <w:t xml:space="preserve">java.time.LocalDateTime, interpreted as UTC — values with no timezone (e.g. 2026-02-16T13:31:08.000).</w:t>
      </w:r>
    </w:p>
    <w:p>
      <w:pPr>
        <w:pStyle w:val="ListParagraph"/>
        <w:numPr>
          <w:ilvl w:val="0"/>
          <w:numId w:val="2"/>
        </w:numPr>
        <w:spacing w:after="70" w:line="276"/>
      </w:pPr>
      <w:r>
        <w:rPr>
          <w:sz w:val="21"/>
          <w:szCs w:val="21"/>
        </w:rPr>
        <w:t xml:space="preserve">OData V2 epoch form /Date(1234567890000)/.</w:t>
      </w:r>
    </w:p>
    <w:p>
      <w:pPr>
        <w:spacing w:after="120" w:line="276"/>
      </w:pPr>
      <w:r>
        <w:rPr>
          <w:sz w:val="21"/>
          <w:szCs w:val="21"/>
        </w:rPr>
        <w:t xml:space="preserve">Unparseable values leave time unset and increment the noTimeCount exchange property so the condition is visible in MPL rather than silent.</w:t>
      </w:r>
    </w:p>
    <w:p>
      <w:pPr>
        <w:pStyle w:val="Heading2"/>
        <w:spacing w:after="140" w:before="240"/>
      </w:pPr>
      <w:r>
        <w:t xml:space="preserve">9.2 Deduplication keys</w:t>
      </w:r>
    </w:p>
    <w:p>
      <w:pPr>
        <w:spacing w:after="120" w:line="276"/>
      </w:pPr>
      <w:r>
        <w:rPr>
          <w:sz w:val="21"/>
          <w:szCs w:val="21"/>
        </w:rPr>
        <w:t xml:space="preserve">Delivery is at-least-once. The consumer must deduplicate on the natural key of each entity (taken from the service EDMX):</w:t>
      </w:r>
    </w:p>
    <w:tbl>
      <w:tblPr>
        <w:tblW w:type="dxa" w:w="9026"/>
        <w:tblBorders>
          <w:top w:val="single" w:color="8EA9DB" w:sz="4"/>
          <w:left w:val="single" w:color="8EA9DB" w:sz="4"/>
          <w:bottom w:val="single" w:color="8EA9DB" w:sz="4"/>
          <w:right w:val="single" w:color="8EA9DB" w:sz="4"/>
          <w:insideH w:val="single" w:color="B4C6E7" w:sz="3"/>
          <w:insideV w:val="single" w:color="B4C6E7" w:sz="3"/>
        </w:tblBorders>
      </w:tblPr>
      <w:tblGrid>
        <w:gridCol w:w="2500"/>
        <w:gridCol w:w="6526"/>
      </w:tblGrid>
      <w:tr>
        <w:trPr>
          <w:tblHeader/>
        </w:trPr>
        <w:tc>
          <w:tcPr>
            <w:tcW w:type="dxa" w:w="2500"/>
            <w:shd w:fill="D9E2F3" w:color="auto" w:val="clear"/>
            <w:tcMar>
              <w:top w:type="dxa" w:w="60"/>
              <w:left w:type="dxa" w:w="100"/>
              <w:bottom w:type="dxa" w:w="60"/>
              <w:right w:type="dxa" w:w="100"/>
            </w:tcMar>
          </w:tcPr>
          <w:p>
            <w:pPr>
              <w:spacing w:after="0" w:line="250"/>
            </w:pPr>
            <w:r>
              <w:rPr>
                <w:b/>
                <w:bCs/>
                <w:sz w:val="19"/>
                <w:szCs w:val="19"/>
              </w:rPr>
              <w:t xml:space="preserve">Interface</w:t>
            </w:r>
          </w:p>
        </w:tc>
        <w:tc>
          <w:tcPr>
            <w:tcW w:type="dxa" w:w="6526"/>
            <w:shd w:fill="D9E2F3" w:color="auto" w:val="clear"/>
            <w:tcMar>
              <w:top w:type="dxa" w:w="60"/>
              <w:left w:type="dxa" w:w="100"/>
              <w:bottom w:type="dxa" w:w="60"/>
              <w:right w:type="dxa" w:w="100"/>
            </w:tcMar>
          </w:tcPr>
          <w:p>
            <w:pPr>
              <w:spacing w:after="0" w:line="250"/>
            </w:pPr>
            <w:r>
              <w:rPr>
                <w:b/>
                <w:bCs/>
                <w:sz w:val="19"/>
                <w:szCs w:val="19"/>
              </w:rPr>
              <w:t xml:space="preserve">Deduplication key</w:t>
            </w:r>
          </w:p>
        </w:tc>
      </w:tr>
      <w:tr>
        <w:tc>
          <w:tcPr>
            <w:tcW w:type="dxa" w:w="2500"/>
            <w:tcMar>
              <w:top w:type="dxa" w:w="60"/>
              <w:left w:type="dxa" w:w="100"/>
              <w:bottom w:type="dxa" w:w="60"/>
              <w:right w:type="dxa" w:w="100"/>
            </w:tcMar>
          </w:tcPr>
          <w:p>
            <w:pPr>
              <w:spacing w:after="0" w:line="250"/>
            </w:pPr>
            <w:r>
              <w:rPr>
                <w:sz w:val="19"/>
                <w:szCs w:val="19"/>
              </w:rPr>
              <w:t xml:space="preserve">Security Audit Log</w:t>
            </w:r>
          </w:p>
        </w:tc>
        <w:tc>
          <w:tcPr>
            <w:tcW w:type="dxa" w:w="6526"/>
            <w:tcMar>
              <w:top w:type="dxa" w:w="60"/>
              <w:left w:type="dxa" w:w="100"/>
              <w:bottom w:type="dxa" w:w="60"/>
              <w:right w:type="dxa" w:w="100"/>
            </w:tcMar>
          </w:tcPr>
          <w:p>
            <w:pPr>
              <w:spacing w:after="0" w:line="250"/>
            </w:pPr>
            <w:r>
              <w:rPr>
                <w:sz w:val="19"/>
                <w:szCs w:val="19"/>
              </w:rPr>
              <w:t xml:space="preserve">eventID + log_tstmp + slgmand + sid + counter</w:t>
            </w:r>
          </w:p>
        </w:tc>
      </w:tr>
      <w:tr>
        <w:tc>
          <w:tcPr>
            <w:tcW w:type="dxa" w:w="2500"/>
            <w:tcMar>
              <w:top w:type="dxa" w:w="60"/>
              <w:left w:type="dxa" w:w="100"/>
              <w:bottom w:type="dxa" w:w="60"/>
              <w:right w:type="dxa" w:w="100"/>
            </w:tcMar>
          </w:tcPr>
          <w:p>
            <w:pPr>
              <w:spacing w:after="0" w:line="250"/>
            </w:pPr>
            <w:r>
              <w:rPr>
                <w:sz w:val="19"/>
                <w:szCs w:val="19"/>
              </w:rPr>
              <w:t xml:space="preserve">Read Access Log (RAL)</w:t>
            </w:r>
          </w:p>
        </w:tc>
        <w:tc>
          <w:tcPr>
            <w:tcW w:type="dxa" w:w="6526"/>
            <w:tcMar>
              <w:top w:type="dxa" w:w="60"/>
              <w:left w:type="dxa" w:w="100"/>
              <w:bottom w:type="dxa" w:w="60"/>
              <w:right w:type="dxa" w:w="100"/>
            </w:tcMar>
          </w:tcPr>
          <w:p>
            <w:pPr>
              <w:spacing w:after="0" w:line="250"/>
            </w:pPr>
            <w:r>
              <w:rPr>
                <w:sz w:val="19"/>
                <w:szCs w:val="19"/>
              </w:rPr>
              <w:t xml:space="preserve">LogID + FieldName</w:t>
            </w:r>
          </w:p>
        </w:tc>
      </w:tr>
      <w:tr>
        <w:tc>
          <w:tcPr>
            <w:tcW w:type="dxa" w:w="2500"/>
            <w:tcMar>
              <w:top w:type="dxa" w:w="60"/>
              <w:left w:type="dxa" w:w="100"/>
              <w:bottom w:type="dxa" w:w="60"/>
              <w:right w:type="dxa" w:w="100"/>
            </w:tcMar>
          </w:tcPr>
          <w:p>
            <w:pPr>
              <w:spacing w:after="0" w:line="250"/>
            </w:pPr>
            <w:r>
              <w:rPr>
                <w:sz w:val="19"/>
                <w:szCs w:val="19"/>
              </w:rPr>
              <w:t xml:space="preserve">Business User Changes</w:t>
            </w:r>
          </w:p>
        </w:tc>
        <w:tc>
          <w:tcPr>
            <w:tcW w:type="dxa" w:w="6526"/>
            <w:tcMar>
              <w:top w:type="dxa" w:w="60"/>
              <w:left w:type="dxa" w:w="100"/>
              <w:bottom w:type="dxa" w:w="60"/>
              <w:right w:type="dxa" w:w="100"/>
            </w:tcMar>
          </w:tcPr>
          <w:p>
            <w:pPr>
              <w:spacing w:after="0" w:line="250"/>
            </w:pPr>
            <w:r>
              <w:rPr>
                <w:sz w:val="19"/>
                <w:szCs w:val="19"/>
              </w:rPr>
              <w:t xml:space="preserve">BusinessUserID + ChangedOn + ChangeCategory + Attribute + ValueChangedFrom + ValueChangedTo</w:t>
            </w:r>
          </w:p>
        </w:tc>
      </w:tr>
      <w:tr>
        <w:tc>
          <w:tcPr>
            <w:tcW w:type="dxa" w:w="2500"/>
            <w:tcMar>
              <w:top w:type="dxa" w:w="60"/>
              <w:left w:type="dxa" w:w="100"/>
              <w:bottom w:type="dxa" w:w="60"/>
              <w:right w:type="dxa" w:w="100"/>
            </w:tcMar>
          </w:tcPr>
          <w:p>
            <w:pPr>
              <w:spacing w:after="0" w:line="250"/>
            </w:pPr>
            <w:r>
              <w:rPr>
                <w:sz w:val="19"/>
                <w:szCs w:val="19"/>
              </w:rPr>
              <w:t xml:space="preserve">Business Role Changes</w:t>
            </w:r>
          </w:p>
        </w:tc>
        <w:tc>
          <w:tcPr>
            <w:tcW w:type="dxa" w:w="6526"/>
            <w:tcMar>
              <w:top w:type="dxa" w:w="60"/>
              <w:left w:type="dxa" w:w="100"/>
              <w:bottom w:type="dxa" w:w="60"/>
              <w:right w:type="dxa" w:w="100"/>
            </w:tcMar>
          </w:tcPr>
          <w:p>
            <w:pPr>
              <w:spacing w:after="0" w:line="250"/>
            </w:pPr>
            <w:r>
              <w:rPr>
                <w:sz w:val="19"/>
                <w:szCs w:val="19"/>
              </w:rPr>
              <w:t xml:space="preserve">BusinessRoleID + ChangedOn + ChangeCategory + Attribute + ValueChangedFrom + ValueChangedTo</w:t>
            </w:r>
          </w:p>
        </w:tc>
      </w:tr>
    </w:tbl>
    <w:p>
      <w:pPr>
        <w:pStyle w:val="Heading2"/>
        <w:spacing w:after="140" w:before="240"/>
      </w:pPr>
      <w:r>
        <w:t xml:space="preserve">9.3 Payload structure</w:t>
      </w:r>
    </w:p>
    <w:p>
      <w:pPr>
        <w:spacing w:after="120" w:line="276"/>
      </w:pPr>
      <w:r>
        <w:rPr>
          <w:sz w:val="21"/>
          <w:szCs w:val="21"/>
        </w:rPr>
        <w:t xml:space="preserve">The CPI OData receiver returns a normalised XML representation, converted to JSON by an XML-to-JSON Converter configured with a per-interface path. The Groovy mapper reads that path, with fallbacks to plain OData JSON (value[]) and OData V2 JSON (d.results) should the converter be bypassed.</w:t>
      </w:r>
    </w:p>
    <w:tbl>
      <w:tblPr>
        <w:tblW w:type="dxa" w:w="9026"/>
        <w:tblBorders>
          <w:top w:val="single" w:color="8EA9DB" w:sz="4"/>
          <w:left w:val="single" w:color="8EA9DB" w:sz="4"/>
          <w:bottom w:val="single" w:color="8EA9DB" w:sz="4"/>
          <w:right w:val="single" w:color="8EA9DB" w:sz="4"/>
          <w:insideH w:val="single" w:color="B4C6E7" w:sz="3"/>
          <w:insideV w:val="single" w:color="B4C6E7" w:sz="3"/>
        </w:tblBorders>
      </w:tblPr>
      <w:tblGrid>
        <w:gridCol w:w="2500"/>
        <w:gridCol w:w="6526"/>
      </w:tblGrid>
      <w:tr>
        <w:trPr>
          <w:tblHeader/>
        </w:trPr>
        <w:tc>
          <w:tcPr>
            <w:tcW w:type="dxa" w:w="2500"/>
            <w:shd w:fill="D9E2F3" w:color="auto" w:val="clear"/>
            <w:tcMar>
              <w:top w:type="dxa" w:w="60"/>
              <w:left w:type="dxa" w:w="100"/>
              <w:bottom w:type="dxa" w:w="60"/>
              <w:right w:type="dxa" w:w="100"/>
            </w:tcMar>
          </w:tcPr>
          <w:p>
            <w:pPr>
              <w:spacing w:after="0" w:line="250"/>
            </w:pPr>
            <w:r>
              <w:rPr>
                <w:b/>
                <w:bCs/>
                <w:sz w:val="19"/>
                <w:szCs w:val="19"/>
              </w:rPr>
              <w:t xml:space="preserve">Interface</w:t>
            </w:r>
          </w:p>
        </w:tc>
        <w:tc>
          <w:tcPr>
            <w:tcW w:type="dxa" w:w="6526"/>
            <w:shd w:fill="D9E2F3" w:color="auto" w:val="clear"/>
            <w:tcMar>
              <w:top w:type="dxa" w:w="60"/>
              <w:left w:type="dxa" w:w="100"/>
              <w:bottom w:type="dxa" w:w="60"/>
              <w:right w:type="dxa" w:w="100"/>
            </w:tcMar>
          </w:tcPr>
          <w:p>
            <w:pPr>
              <w:spacing w:after="0" w:line="250"/>
            </w:pPr>
            <w:r>
              <w:rPr>
                <w:b/>
                <w:bCs/>
                <w:sz w:val="19"/>
                <w:szCs w:val="19"/>
              </w:rPr>
              <w:t xml:space="preserve">XML-to-JSON path</w:t>
            </w:r>
          </w:p>
        </w:tc>
      </w:tr>
      <w:tr>
        <w:tc>
          <w:tcPr>
            <w:tcW w:type="dxa" w:w="2500"/>
            <w:tcMar>
              <w:top w:type="dxa" w:w="60"/>
              <w:left w:type="dxa" w:w="100"/>
              <w:bottom w:type="dxa" w:w="60"/>
              <w:right w:type="dxa" w:w="100"/>
            </w:tcMar>
          </w:tcPr>
          <w:p>
            <w:pPr>
              <w:spacing w:after="0" w:line="250"/>
            </w:pPr>
            <w:r>
              <w:rPr>
                <w:sz w:val="19"/>
                <w:szCs w:val="19"/>
              </w:rPr>
              <w:t xml:space="preserve">Security Audit Log</w:t>
            </w:r>
          </w:p>
        </w:tc>
        <w:tc>
          <w:tcPr>
            <w:tcW w:type="dxa" w:w="6526"/>
            <w:tcMar>
              <w:top w:type="dxa" w:w="60"/>
              <w:left w:type="dxa" w:w="100"/>
              <w:bottom w:type="dxa" w:w="60"/>
              <w:right w:type="dxa" w:w="100"/>
            </w:tcMar>
          </w:tcPr>
          <w:p>
            <w:pPr>
              <w:spacing w:after="0" w:line="250"/>
            </w:pPr>
            <w:r>
              <w:rPr>
                <w:rFonts w:ascii="Consolas" w:cs="Consolas" w:eastAsia="Consolas" w:hAnsi="Consolas"/>
                <w:sz w:val="19"/>
                <w:szCs w:val="19"/>
              </w:rPr>
              <w:t xml:space="preserve">SecurityAuditLog/SecurityAuditLogType</w:t>
            </w:r>
          </w:p>
        </w:tc>
      </w:tr>
      <w:tr>
        <w:tc>
          <w:tcPr>
            <w:tcW w:type="dxa" w:w="2500"/>
            <w:tcMar>
              <w:top w:type="dxa" w:w="60"/>
              <w:left w:type="dxa" w:w="100"/>
              <w:bottom w:type="dxa" w:w="60"/>
              <w:right w:type="dxa" w:w="100"/>
            </w:tcMar>
          </w:tcPr>
          <w:p>
            <w:pPr>
              <w:spacing w:after="0" w:line="250"/>
            </w:pPr>
            <w:r>
              <w:rPr>
                <w:sz w:val="19"/>
                <w:szCs w:val="19"/>
              </w:rPr>
              <w:t xml:space="preserve">Read Access Log (RAL)</w:t>
            </w:r>
          </w:p>
        </w:tc>
        <w:tc>
          <w:tcPr>
            <w:tcW w:type="dxa" w:w="6526"/>
            <w:tcMar>
              <w:top w:type="dxa" w:w="60"/>
              <w:left w:type="dxa" w:w="100"/>
              <w:bottom w:type="dxa" w:w="60"/>
              <w:right w:type="dxa" w:w="100"/>
            </w:tcMar>
          </w:tcPr>
          <w:p>
            <w:pPr>
              <w:spacing w:after="0" w:line="250"/>
            </w:pPr>
            <w:r>
              <w:rPr>
                <w:rFonts w:ascii="Consolas" w:cs="Consolas" w:eastAsia="Consolas" w:hAnsi="Consolas"/>
                <w:sz w:val="19"/>
                <w:szCs w:val="19"/>
              </w:rPr>
              <w:t xml:space="preserve">ReadAccessLogRAW/ReadAccessLogRAWType</w:t>
            </w:r>
          </w:p>
        </w:tc>
      </w:tr>
      <w:tr>
        <w:tc>
          <w:tcPr>
            <w:tcW w:type="dxa" w:w="2500"/>
            <w:tcMar>
              <w:top w:type="dxa" w:w="60"/>
              <w:left w:type="dxa" w:w="100"/>
              <w:bottom w:type="dxa" w:w="60"/>
              <w:right w:type="dxa" w:w="100"/>
            </w:tcMar>
          </w:tcPr>
          <w:p>
            <w:pPr>
              <w:spacing w:after="0" w:line="250"/>
            </w:pPr>
            <w:r>
              <w:rPr>
                <w:sz w:val="19"/>
                <w:szCs w:val="19"/>
              </w:rPr>
              <w:t xml:space="preserve">Business User Changes</w:t>
            </w:r>
          </w:p>
        </w:tc>
        <w:tc>
          <w:tcPr>
            <w:tcW w:type="dxa" w:w="6526"/>
            <w:tcMar>
              <w:top w:type="dxa" w:w="60"/>
              <w:left w:type="dxa" w:w="100"/>
              <w:bottom w:type="dxa" w:w="60"/>
              <w:right w:type="dxa" w:w="100"/>
            </w:tcMar>
          </w:tcPr>
          <w:p>
            <w:pPr>
              <w:spacing w:after="0" w:line="250"/>
            </w:pPr>
            <w:r>
              <w:rPr>
                <w:rFonts w:ascii="Consolas" w:cs="Consolas" w:eastAsia="Consolas" w:hAnsi="Consolas"/>
                <w:sz w:val="19"/>
                <w:szCs w:val="19"/>
              </w:rPr>
              <w:t xml:space="preserve">BusinessUserChanges/BusinessUserChangesType</w:t>
            </w:r>
          </w:p>
        </w:tc>
      </w:tr>
      <w:tr>
        <w:tc>
          <w:tcPr>
            <w:tcW w:type="dxa" w:w="2500"/>
            <w:tcMar>
              <w:top w:type="dxa" w:w="60"/>
              <w:left w:type="dxa" w:w="100"/>
              <w:bottom w:type="dxa" w:w="60"/>
              <w:right w:type="dxa" w:w="100"/>
            </w:tcMar>
          </w:tcPr>
          <w:p>
            <w:pPr>
              <w:spacing w:after="0" w:line="250"/>
            </w:pPr>
            <w:r>
              <w:rPr>
                <w:sz w:val="19"/>
                <w:szCs w:val="19"/>
              </w:rPr>
              <w:t xml:space="preserve">Business Role Changes</w:t>
            </w:r>
          </w:p>
        </w:tc>
        <w:tc>
          <w:tcPr>
            <w:tcW w:type="dxa" w:w="6526"/>
            <w:tcMar>
              <w:top w:type="dxa" w:w="60"/>
              <w:left w:type="dxa" w:w="100"/>
              <w:bottom w:type="dxa" w:w="60"/>
              <w:right w:type="dxa" w:w="100"/>
            </w:tcMar>
          </w:tcPr>
          <w:p>
            <w:pPr>
              <w:spacing w:after="0" w:line="250"/>
            </w:pPr>
            <w:r>
              <w:rPr>
                <w:rFonts w:ascii="Consolas" w:cs="Consolas" w:eastAsia="Consolas" w:hAnsi="Consolas"/>
                <w:sz w:val="19"/>
                <w:szCs w:val="19"/>
              </w:rPr>
              <w:t xml:space="preserve">BusinessRoleChanges/BusinessRoleChangesType</w:t>
            </w:r>
          </w:p>
        </w:tc>
      </w:tr>
    </w:tbl>
    <w:p>
      <w:r>
        <w:br w:type="page"/>
      </w:r>
    </w:p>
    <w:p>
      <w:pPr>
        <w:pStyle w:val="Heading1"/>
        <w:spacing w:after="140" w:before="320"/>
      </w:pPr>
      <w:r>
        <w:t xml:space="preserve">10. Interface Specifications</w:t>
      </w:r>
    </w:p>
    <w:p>
      <w:pPr>
        <w:pStyle w:val="Heading2"/>
        <w:spacing w:after="140" w:before="240"/>
      </w:pPr>
      <w:r>
        <w:t xml:space="preserve">10.1 IF-01 — Security Audit Log</w:t>
      </w:r>
    </w:p>
    <w:tbl>
      <w:tblPr>
        <w:tblW w:type="dxa" w:w="9026"/>
        <w:tblBorders>
          <w:top w:val="single" w:color="8EA9DB" w:sz="4"/>
          <w:left w:val="single" w:color="8EA9DB" w:sz="4"/>
          <w:bottom w:val="single" w:color="8EA9DB" w:sz="4"/>
          <w:right w:val="single" w:color="8EA9DB" w:sz="4"/>
          <w:insideH w:val="single" w:color="B4C6E7" w:sz="3"/>
          <w:insideV w:val="single" w:color="B4C6E7" w:sz="3"/>
        </w:tblBorders>
      </w:tblPr>
      <w:tblGrid>
        <w:gridCol w:w="2600"/>
        <w:gridCol w:w="6426"/>
      </w:tblGrid>
      <w:tr>
        <w:tc>
          <w:tcPr>
            <w:tcW w:type="dxa" w:w="2600"/>
            <w:tcMar>
              <w:top w:type="dxa" w:w="60"/>
              <w:left w:type="dxa" w:w="100"/>
              <w:bottom w:type="dxa" w:w="60"/>
              <w:right w:type="dxa" w:w="100"/>
            </w:tcMar>
          </w:tcPr>
          <w:p>
            <w:pPr>
              <w:spacing w:after="0" w:line="250"/>
            </w:pPr>
            <w:r>
              <w:rPr>
                <w:b/>
                <w:bCs/>
                <w:sz w:val="19"/>
                <w:szCs w:val="19"/>
              </w:rPr>
              <w:t xml:space="preserve">CPI artifact</w:t>
            </w:r>
          </w:p>
        </w:tc>
        <w:tc>
          <w:tcPr>
            <w:tcW w:type="dxa" w:w="6426"/>
            <w:tcMar>
              <w:top w:type="dxa" w:w="60"/>
              <w:left w:type="dxa" w:w="100"/>
              <w:bottom w:type="dxa" w:w="60"/>
              <w:right w:type="dxa" w:w="100"/>
            </w:tcMar>
          </w:tcPr>
          <w:p>
            <w:pPr>
              <w:spacing w:after="0" w:line="250"/>
            </w:pPr>
            <w:r>
              <w:rPr>
                <w:sz w:val="19"/>
                <w:szCs w:val="19"/>
              </w:rPr>
              <w:t xml:space="preserve">YY1 Extract Security Audit Log from S4HC</w:t>
            </w:r>
          </w:p>
        </w:tc>
      </w:tr>
      <w:tr>
        <w:tc>
          <w:tcPr>
            <w:tcW w:type="dxa" w:w="2600"/>
            <w:tcMar>
              <w:top w:type="dxa" w:w="60"/>
              <w:left w:type="dxa" w:w="100"/>
              <w:bottom w:type="dxa" w:w="60"/>
              <w:right w:type="dxa" w:w="100"/>
            </w:tcMar>
          </w:tcPr>
          <w:p>
            <w:pPr>
              <w:spacing w:after="0" w:line="250"/>
            </w:pPr>
            <w:r>
              <w:rPr>
                <w:b/>
                <w:bCs/>
                <w:sz w:val="19"/>
                <w:szCs w:val="19"/>
              </w:rPr>
              <w:t xml:space="preserve">Comm. scenario</w:t>
            </w:r>
          </w:p>
        </w:tc>
        <w:tc>
          <w:tcPr>
            <w:tcW w:type="dxa" w:w="6426"/>
            <w:tcMar>
              <w:top w:type="dxa" w:w="60"/>
              <w:left w:type="dxa" w:w="100"/>
              <w:bottom w:type="dxa" w:w="60"/>
              <w:right w:type="dxa" w:w="100"/>
            </w:tcMar>
          </w:tcPr>
          <w:p>
            <w:pPr>
              <w:spacing w:after="0" w:line="250"/>
            </w:pPr>
            <w:r>
              <w:rPr>
                <w:sz w:val="19"/>
                <w:szCs w:val="19"/>
              </w:rPr>
              <w:t xml:space="preserve">SAP_COM_0750</w:t>
            </w:r>
          </w:p>
        </w:tc>
      </w:tr>
      <w:tr>
        <w:tc>
          <w:tcPr>
            <w:tcW w:type="dxa" w:w="2600"/>
            <w:tcMar>
              <w:top w:type="dxa" w:w="60"/>
              <w:left w:type="dxa" w:w="100"/>
              <w:bottom w:type="dxa" w:w="60"/>
              <w:right w:type="dxa" w:w="100"/>
            </w:tcMar>
          </w:tcPr>
          <w:p>
            <w:pPr>
              <w:spacing w:after="0" w:line="250"/>
            </w:pPr>
            <w:r>
              <w:rPr>
                <w:b/>
                <w:bCs/>
                <w:sz w:val="19"/>
                <w:szCs w:val="19"/>
              </w:rPr>
              <w:t xml:space="preserve">Protocol</w:t>
            </w:r>
          </w:p>
        </w:tc>
        <w:tc>
          <w:tcPr>
            <w:tcW w:type="dxa" w:w="6426"/>
            <w:tcMar>
              <w:top w:type="dxa" w:w="60"/>
              <w:left w:type="dxa" w:w="100"/>
              <w:bottom w:type="dxa" w:w="60"/>
              <w:right w:type="dxa" w:w="100"/>
            </w:tcMar>
          </w:tcPr>
          <w:p>
            <w:pPr>
              <w:spacing w:after="0" w:line="250"/>
            </w:pPr>
            <w:r>
              <w:rPr>
                <w:sz w:val="19"/>
                <w:szCs w:val="19"/>
              </w:rPr>
              <w:t xml:space="preserve">OData V4</w:t>
            </w:r>
          </w:p>
        </w:tc>
      </w:tr>
      <w:tr>
        <w:tc>
          <w:tcPr>
            <w:tcW w:type="dxa" w:w="2600"/>
            <w:tcMar>
              <w:top w:type="dxa" w:w="60"/>
              <w:left w:type="dxa" w:w="100"/>
              <w:bottom w:type="dxa" w:w="60"/>
              <w:right w:type="dxa" w:w="100"/>
            </w:tcMar>
          </w:tcPr>
          <w:p>
            <w:pPr>
              <w:spacing w:after="0" w:line="250"/>
            </w:pPr>
            <w:r>
              <w:rPr>
                <w:b/>
                <w:bCs/>
                <w:sz w:val="19"/>
                <w:szCs w:val="19"/>
              </w:rPr>
              <w:t xml:space="preserve">Service address</w:t>
            </w:r>
          </w:p>
        </w:tc>
        <w:tc>
          <w:tcPr>
            <w:tcW w:type="dxa" w:w="6426"/>
            <w:tcMar>
              <w:top w:type="dxa" w:w="60"/>
              <w:left w:type="dxa" w:w="100"/>
              <w:bottom w:type="dxa" w:w="60"/>
              <w:right w:type="dxa" w:w="100"/>
            </w:tcMar>
          </w:tcPr>
          <w:p>
            <w:pPr>
              <w:spacing w:after="0" w:line="250"/>
            </w:pPr>
            <w:r>
              <w:rPr>
                <w:sz w:val="19"/>
                <w:szCs w:val="19"/>
              </w:rPr>
              <w:t xml:space="preserve">https://my435863.s4hana.cloud.sap/sap/opu/odata4/sap/rsau_log_api/srvd_a2x/sap/rsau_log_api/0001</w:t>
            </w:r>
          </w:p>
        </w:tc>
      </w:tr>
      <w:tr>
        <w:tc>
          <w:tcPr>
            <w:tcW w:type="dxa" w:w="2600"/>
            <w:tcMar>
              <w:top w:type="dxa" w:w="60"/>
              <w:left w:type="dxa" w:w="100"/>
              <w:bottom w:type="dxa" w:w="60"/>
              <w:right w:type="dxa" w:w="100"/>
            </w:tcMar>
          </w:tcPr>
          <w:p>
            <w:pPr>
              <w:spacing w:after="0" w:line="250"/>
            </w:pPr>
            <w:r>
              <w:rPr>
                <w:b/>
                <w:bCs/>
                <w:sz w:val="19"/>
                <w:szCs w:val="19"/>
              </w:rPr>
              <w:t xml:space="preserve">Entity set</w:t>
            </w:r>
          </w:p>
        </w:tc>
        <w:tc>
          <w:tcPr>
            <w:tcW w:type="dxa" w:w="6426"/>
            <w:tcMar>
              <w:top w:type="dxa" w:w="60"/>
              <w:left w:type="dxa" w:w="100"/>
              <w:bottom w:type="dxa" w:w="60"/>
              <w:right w:type="dxa" w:w="100"/>
            </w:tcMar>
          </w:tcPr>
          <w:p>
            <w:pPr>
              <w:spacing w:after="0" w:line="250"/>
            </w:pPr>
            <w:r>
              <w:rPr>
                <w:sz w:val="19"/>
                <w:szCs w:val="19"/>
              </w:rPr>
              <w:t xml:space="preserve">SecurityAuditLog</w:t>
            </w:r>
          </w:p>
        </w:tc>
      </w:tr>
      <w:tr>
        <w:tc>
          <w:tcPr>
            <w:tcW w:type="dxa" w:w="2600"/>
            <w:tcMar>
              <w:top w:type="dxa" w:w="60"/>
              <w:left w:type="dxa" w:w="100"/>
              <w:bottom w:type="dxa" w:w="60"/>
              <w:right w:type="dxa" w:w="100"/>
            </w:tcMar>
          </w:tcPr>
          <w:p>
            <w:pPr>
              <w:spacing w:after="0" w:line="250"/>
            </w:pPr>
            <w:r>
              <w:rPr>
                <w:b/>
                <w:bCs/>
                <w:sz w:val="19"/>
                <w:szCs w:val="19"/>
              </w:rPr>
              <w:t xml:space="preserve">Receiver participant</w:t>
            </w:r>
          </w:p>
        </w:tc>
        <w:tc>
          <w:tcPr>
            <w:tcW w:type="dxa" w:w="6426"/>
            <w:tcMar>
              <w:top w:type="dxa" w:w="60"/>
              <w:left w:type="dxa" w:w="100"/>
              <w:bottom w:type="dxa" w:w="60"/>
              <w:right w:type="dxa" w:w="100"/>
            </w:tcMar>
          </w:tcPr>
          <w:p>
            <w:pPr>
              <w:spacing w:after="0" w:line="250"/>
            </w:pPr>
            <w:r>
              <w:rPr>
                <w:sz w:val="19"/>
                <w:szCs w:val="19"/>
              </w:rPr>
              <w:t xml:space="preserve">S4_SecurityAuditLog</w:t>
            </w:r>
          </w:p>
        </w:tc>
      </w:tr>
      <w:tr>
        <w:tc>
          <w:tcPr>
            <w:tcW w:type="dxa" w:w="2600"/>
            <w:tcMar>
              <w:top w:type="dxa" w:w="60"/>
              <w:left w:type="dxa" w:w="100"/>
              <w:bottom w:type="dxa" w:w="60"/>
              <w:right w:type="dxa" w:w="100"/>
            </w:tcMar>
          </w:tcPr>
          <w:p>
            <w:pPr>
              <w:spacing w:after="0" w:line="250"/>
            </w:pPr>
            <w:r>
              <w:rPr>
                <w:b/>
                <w:bCs/>
                <w:sz w:val="19"/>
                <w:szCs w:val="19"/>
              </w:rPr>
              <w:t xml:space="preserve">Timestamp field</w:t>
            </w:r>
          </w:p>
        </w:tc>
        <w:tc>
          <w:tcPr>
            <w:tcW w:type="dxa" w:w="6426"/>
            <w:tcMar>
              <w:top w:type="dxa" w:w="60"/>
              <w:left w:type="dxa" w:w="100"/>
              <w:bottom w:type="dxa" w:w="60"/>
              <w:right w:type="dxa" w:w="100"/>
            </w:tcMar>
          </w:tcPr>
          <w:p>
            <w:pPr>
              <w:spacing w:after="0" w:line="250"/>
            </w:pPr>
            <w:r>
              <w:rPr>
                <w:sz w:val="19"/>
                <w:szCs w:val="19"/>
              </w:rPr>
              <w:t xml:space="preserve">log_tstmp  (Edm.DateTimeOffset (Precision 7))</w:t>
            </w:r>
          </w:p>
        </w:tc>
      </w:tr>
      <w:tr>
        <w:tc>
          <w:tcPr>
            <w:tcW w:type="dxa" w:w="2600"/>
            <w:tcMar>
              <w:top w:type="dxa" w:w="60"/>
              <w:left w:type="dxa" w:w="100"/>
              <w:bottom w:type="dxa" w:w="60"/>
              <w:right w:type="dxa" w:w="100"/>
            </w:tcMar>
          </w:tcPr>
          <w:p>
            <w:pPr>
              <w:spacing w:after="0" w:line="250"/>
            </w:pPr>
            <w:r>
              <w:rPr>
                <w:b/>
                <w:bCs/>
                <w:sz w:val="19"/>
                <w:szCs w:val="19"/>
              </w:rPr>
              <w:t xml:space="preserve">Timestamp sample</w:t>
            </w:r>
          </w:p>
        </w:tc>
        <w:tc>
          <w:tcPr>
            <w:tcW w:type="dxa" w:w="6426"/>
            <w:tcMar>
              <w:top w:type="dxa" w:w="60"/>
              <w:left w:type="dxa" w:w="100"/>
              <w:bottom w:type="dxa" w:w="60"/>
              <w:right w:type="dxa" w:w="100"/>
            </w:tcMar>
          </w:tcPr>
          <w:p>
            <w:pPr>
              <w:spacing w:after="0" w:line="250"/>
            </w:pPr>
            <w:r>
              <w:rPr>
                <w:sz w:val="19"/>
                <w:szCs w:val="19"/>
              </w:rPr>
              <w:t xml:space="preserve">2026-08-12T02:31:17.451688Z   — timezone designator: Yes (trailing Z)</w:t>
            </w:r>
          </w:p>
        </w:tc>
      </w:tr>
      <w:tr>
        <w:tc>
          <w:tcPr>
            <w:tcW w:type="dxa" w:w="2600"/>
            <w:tcMar>
              <w:top w:type="dxa" w:w="60"/>
              <w:left w:type="dxa" w:w="100"/>
              <w:bottom w:type="dxa" w:w="60"/>
              <w:right w:type="dxa" w:w="100"/>
            </w:tcMar>
          </w:tcPr>
          <w:p>
            <w:pPr>
              <w:spacing w:after="0" w:line="250"/>
            </w:pPr>
            <w:r>
              <w:rPr>
                <w:b/>
                <w:bCs/>
                <w:sz w:val="19"/>
                <w:szCs w:val="19"/>
              </w:rPr>
              <w:t xml:space="preserve">$select</w:t>
            </w:r>
          </w:p>
        </w:tc>
        <w:tc>
          <w:tcPr>
            <w:tcW w:type="dxa" w:w="6426"/>
            <w:tcMar>
              <w:top w:type="dxa" w:w="60"/>
              <w:left w:type="dxa" w:w="100"/>
              <w:bottom w:type="dxa" w:w="60"/>
              <w:right w:type="dxa" w:w="100"/>
            </w:tcMar>
          </w:tcPr>
          <w:p>
            <w:pPr>
              <w:spacing w:after="0" w:line="250"/>
            </w:pPr>
            <w:r>
              <w:rPr>
                <w:sz w:val="19"/>
                <w:szCs w:val="19"/>
              </w:rPr>
              <w:t xml:space="preserve">18 fields — all EDMX properties (see Appendix A)</w:t>
            </w:r>
          </w:p>
        </w:tc>
      </w:tr>
      <w:tr>
        <w:tc>
          <w:tcPr>
            <w:tcW w:type="dxa" w:w="2600"/>
            <w:tcMar>
              <w:top w:type="dxa" w:w="60"/>
              <w:left w:type="dxa" w:w="100"/>
              <w:bottom w:type="dxa" w:w="60"/>
              <w:right w:type="dxa" w:w="100"/>
            </w:tcMar>
          </w:tcPr>
          <w:p>
            <w:pPr>
              <w:spacing w:after="0" w:line="250"/>
            </w:pPr>
            <w:r>
              <w:rPr>
                <w:b/>
                <w:bCs/>
                <w:sz w:val="19"/>
                <w:szCs w:val="19"/>
              </w:rPr>
              <w:t xml:space="preserve">Page size</w:t>
            </w:r>
          </w:p>
        </w:tc>
        <w:tc>
          <w:tcPr>
            <w:tcW w:type="dxa" w:w="6426"/>
            <w:tcMar>
              <w:top w:type="dxa" w:w="60"/>
              <w:left w:type="dxa" w:w="100"/>
              <w:bottom w:type="dxa" w:w="60"/>
              <w:right w:type="dxa" w:w="100"/>
            </w:tcMar>
          </w:tcPr>
          <w:p>
            <w:pPr>
              <w:spacing w:after="0" w:line="250"/>
            </w:pPr>
            <w:r>
              <w:rPr>
                <w:sz w:val="19"/>
                <w:szCs w:val="19"/>
              </w:rPr>
              <w:t xml:space="preserve">Adapter default</w:t>
            </w:r>
          </w:p>
        </w:tc>
      </w:tr>
      <w:tr>
        <w:tc>
          <w:tcPr>
            <w:tcW w:type="dxa" w:w="2600"/>
            <w:tcMar>
              <w:top w:type="dxa" w:w="60"/>
              <w:left w:type="dxa" w:w="100"/>
              <w:bottom w:type="dxa" w:w="60"/>
              <w:right w:type="dxa" w:w="100"/>
            </w:tcMar>
          </w:tcPr>
          <w:p>
            <w:pPr>
              <w:spacing w:after="0" w:line="250"/>
            </w:pPr>
            <w:r>
              <w:rPr>
                <w:b/>
                <w:bCs/>
                <w:sz w:val="19"/>
                <w:szCs w:val="19"/>
              </w:rPr>
              <w:t xml:space="preserve">Endpoint</w:t>
            </w:r>
          </w:p>
        </w:tc>
        <w:tc>
          <w:tcPr>
            <w:tcW w:type="dxa" w:w="6426"/>
            <w:tcMar>
              <w:top w:type="dxa" w:w="60"/>
              <w:left w:type="dxa" w:w="100"/>
              <w:bottom w:type="dxa" w:w="60"/>
              <w:right w:type="dxa" w:w="100"/>
            </w:tcMar>
          </w:tcPr>
          <w:p>
            <w:pPr>
              <w:spacing w:after="0" w:line="250"/>
            </w:pPr>
            <w:r>
              <w:rPr>
                <w:sz w:val="19"/>
                <w:szCs w:val="19"/>
              </w:rPr>
              <w:t xml:space="preserve">/extract/secauditlog</w:t>
            </w:r>
          </w:p>
        </w:tc>
      </w:tr>
      <w:tr>
        <w:tc>
          <w:tcPr>
            <w:tcW w:type="dxa" w:w="2600"/>
            <w:tcMar>
              <w:top w:type="dxa" w:w="60"/>
              <w:left w:type="dxa" w:w="100"/>
              <w:bottom w:type="dxa" w:w="60"/>
              <w:right w:type="dxa" w:w="100"/>
            </w:tcMar>
          </w:tcPr>
          <w:p>
            <w:pPr>
              <w:spacing w:after="0" w:line="250"/>
            </w:pPr>
            <w:r>
              <w:rPr>
                <w:b/>
                <w:bCs/>
                <w:sz w:val="19"/>
                <w:szCs w:val="19"/>
              </w:rPr>
              <w:t xml:space="preserve">Data Store / entry</w:t>
            </w:r>
          </w:p>
        </w:tc>
        <w:tc>
          <w:tcPr>
            <w:tcW w:type="dxa" w:w="6426"/>
            <w:tcMar>
              <w:top w:type="dxa" w:w="60"/>
              <w:left w:type="dxa" w:w="100"/>
              <w:bottom w:type="dxa" w:w="60"/>
              <w:right w:type="dxa" w:w="100"/>
            </w:tcMar>
          </w:tcPr>
          <w:p>
            <w:pPr>
              <w:spacing w:after="0" w:line="250"/>
            </w:pPr>
            <w:r>
              <w:rPr>
                <w:sz w:val="19"/>
                <w:szCs w:val="19"/>
              </w:rPr>
              <w:t xml:space="preserve">SEC_AUDIT_DELTA / LastRun</w:t>
            </w:r>
          </w:p>
        </w:tc>
      </w:tr>
      <w:tr>
        <w:tc>
          <w:tcPr>
            <w:tcW w:type="dxa" w:w="2600"/>
            <w:tcMar>
              <w:top w:type="dxa" w:w="60"/>
              <w:left w:type="dxa" w:w="100"/>
              <w:bottom w:type="dxa" w:w="60"/>
              <w:right w:type="dxa" w:w="100"/>
            </w:tcMar>
          </w:tcPr>
          <w:p>
            <w:pPr>
              <w:spacing w:after="0" w:line="250"/>
            </w:pPr>
            <w:r>
              <w:rPr>
                <w:b/>
                <w:bCs/>
                <w:sz w:val="19"/>
                <w:szCs w:val="19"/>
              </w:rPr>
              <w:t xml:space="preserve">Splunk sourcetype</w:t>
            </w:r>
          </w:p>
        </w:tc>
        <w:tc>
          <w:tcPr>
            <w:tcW w:type="dxa" w:w="6426"/>
            <w:tcMar>
              <w:top w:type="dxa" w:w="60"/>
              <w:left w:type="dxa" w:w="100"/>
              <w:bottom w:type="dxa" w:w="60"/>
              <w:right w:type="dxa" w:w="100"/>
            </w:tcMar>
          </w:tcPr>
          <w:p>
            <w:pPr>
              <w:spacing w:after="0" w:line="250"/>
            </w:pPr>
            <w:r>
              <w:rPr>
                <w:sz w:val="19"/>
                <w:szCs w:val="19"/>
              </w:rPr>
              <w:t xml:space="preserve">sap:s4hana:cloud:audit</w:t>
            </w:r>
          </w:p>
        </w:tc>
      </w:tr>
      <w:tr>
        <w:tc>
          <w:tcPr>
            <w:tcW w:type="dxa" w:w="2600"/>
            <w:tcMar>
              <w:top w:type="dxa" w:w="60"/>
              <w:left w:type="dxa" w:w="100"/>
              <w:bottom w:type="dxa" w:w="60"/>
              <w:right w:type="dxa" w:w="100"/>
            </w:tcMar>
          </w:tcPr>
          <w:p>
            <w:pPr>
              <w:spacing w:after="0" w:line="250"/>
            </w:pPr>
            <w:r>
              <w:rPr>
                <w:b/>
                <w:bCs/>
                <w:sz w:val="19"/>
                <w:szCs w:val="19"/>
              </w:rPr>
              <w:t xml:space="preserve">Splunk source</w:t>
            </w:r>
          </w:p>
        </w:tc>
        <w:tc>
          <w:tcPr>
            <w:tcW w:type="dxa" w:w="6426"/>
            <w:tcMar>
              <w:top w:type="dxa" w:w="60"/>
              <w:left w:type="dxa" w:w="100"/>
              <w:bottom w:type="dxa" w:w="60"/>
              <w:right w:type="dxa" w:w="100"/>
            </w:tcMar>
          </w:tcPr>
          <w:p>
            <w:pPr>
              <w:spacing w:after="0" w:line="250"/>
            </w:pPr>
            <w:r>
              <w:rPr>
                <w:sz w:val="19"/>
                <w:szCs w:val="19"/>
              </w:rPr>
              <w:t xml:space="preserve">sap:cpi:secauditlog</w:t>
            </w:r>
          </w:p>
        </w:tc>
      </w:tr>
      <w:tr>
        <w:tc>
          <w:tcPr>
            <w:tcW w:type="dxa" w:w="2600"/>
            <w:tcMar>
              <w:top w:type="dxa" w:w="60"/>
              <w:left w:type="dxa" w:w="100"/>
              <w:bottom w:type="dxa" w:w="60"/>
              <w:right w:type="dxa" w:w="100"/>
            </w:tcMar>
          </w:tcPr>
          <w:p>
            <w:pPr>
              <w:spacing w:after="0" w:line="250"/>
            </w:pPr>
            <w:r>
              <w:rPr>
                <w:b/>
                <w:bCs/>
                <w:sz w:val="19"/>
                <w:szCs w:val="19"/>
              </w:rPr>
              <w:t xml:space="preserve">XML-to-JSON path</w:t>
            </w:r>
          </w:p>
        </w:tc>
        <w:tc>
          <w:tcPr>
            <w:tcW w:type="dxa" w:w="6426"/>
            <w:tcMar>
              <w:top w:type="dxa" w:w="60"/>
              <w:left w:type="dxa" w:w="100"/>
              <w:bottom w:type="dxa" w:w="60"/>
              <w:right w:type="dxa" w:w="100"/>
            </w:tcMar>
          </w:tcPr>
          <w:p>
            <w:pPr>
              <w:spacing w:after="0" w:line="250"/>
            </w:pPr>
            <w:r>
              <w:rPr>
                <w:sz w:val="19"/>
                <w:szCs w:val="19"/>
              </w:rPr>
              <w:t xml:space="preserve">SecurityAuditLog/SecurityAuditLogType</w:t>
            </w:r>
          </w:p>
        </w:tc>
      </w:tr>
      <w:tr>
        <w:tc>
          <w:tcPr>
            <w:tcW w:type="dxa" w:w="2600"/>
            <w:tcMar>
              <w:top w:type="dxa" w:w="60"/>
              <w:left w:type="dxa" w:w="100"/>
              <w:bottom w:type="dxa" w:w="60"/>
              <w:right w:type="dxa" w:w="100"/>
            </w:tcMar>
          </w:tcPr>
          <w:p>
            <w:pPr>
              <w:spacing w:after="0" w:line="250"/>
            </w:pPr>
            <w:r>
              <w:rPr>
                <w:b/>
                <w:bCs/>
                <w:sz w:val="19"/>
                <w:szCs w:val="19"/>
              </w:rPr>
              <w:t xml:space="preserve">Groovy flowstep versions</w:t>
            </w:r>
          </w:p>
        </w:tc>
        <w:tc>
          <w:tcPr>
            <w:tcW w:type="dxa" w:w="6426"/>
            <w:tcMar>
              <w:top w:type="dxa" w:w="60"/>
              <w:left w:type="dxa" w:w="100"/>
              <w:bottom w:type="dxa" w:w="60"/>
              <w:right w:type="dxa" w:w="100"/>
            </w:tcMar>
          </w:tcPr>
          <w:p>
            <w:pPr>
              <w:spacing w:after="0" w:line="250"/>
            </w:pPr>
            <w:r>
              <w:rPr>
                <w:sz w:val="19"/>
                <w:szCs w:val="19"/>
              </w:rPr>
              <w:t xml:space="preserve">v2 (map, resolve) / v1 (handleError)</w:t>
            </w:r>
          </w:p>
        </w:tc>
      </w:tr>
    </w:tbl>
    <w:p>
      <w:pPr>
        <w:spacing w:after="120"/>
      </w:pPr>
    </w:p>
    <w:p>
      <w:pPr>
        <w:spacing w:after="120" w:line="276"/>
      </w:pPr>
      <w:r>
        <w:rPr>
          <w:b/>
          <w:bCs/>
          <w:sz w:val="21"/>
          <w:szCs w:val="21"/>
        </w:rPr>
        <w:t xml:space="preserve">OData query:</w:t>
      </w:r>
    </w:p>
    <w:p>
      <w:pPr>
        <w:pBdr>
          <w:left w:val="single" w:color="1F4E79" w:sz="12" w:space="6"/>
        </w:pBdr>
        <w:shd w:fill="F2F2F2" w:color="auto" w:val="clear"/>
        <w:spacing w:after="60" w:before="60"/>
        <w:ind w:left="180"/>
      </w:pPr>
      <w:r>
        <w:rPr>
          <w:rFonts w:ascii="Consolas" w:cs="Consolas" w:eastAsia="Consolas" w:hAnsi="Consolas"/>
          <w:sz w:val="17"/>
          <w:szCs w:val="17"/>
        </w:rPr>
        <w:t xml:space="preserve">$filter=(log_tstmp gt ${property.windowFrom} and log_tstmp le ${property.runStartTime})</w:t>
      </w:r>
    </w:p>
    <w:p>
      <w:pPr>
        <w:pBdr>
          <w:left w:val="single" w:color="1F4E79" w:sz="12" w:space="6"/>
        </w:pBdr>
        <w:shd w:fill="F2F2F2" w:color="auto" w:val="clear"/>
        <w:spacing w:after="60" w:before="60"/>
        <w:ind w:left="180"/>
      </w:pPr>
      <w:r>
        <w:rPr>
          <w:rFonts w:ascii="Consolas" w:cs="Consolas" w:eastAsia="Consolas" w:hAnsi="Consolas"/>
          <w:sz w:val="17"/>
          <w:szCs w:val="17"/>
        </w:rPr>
        <w:t xml:space="preserve">&amp;$orderby=log_tstmp asc</w:t>
      </w:r>
    </w:p>
    <w:p>
      <w:pPr>
        <w:spacing w:after="160"/>
      </w:pPr>
    </w:p>
    <w:p>
      <w:pPr>
        <w:pStyle w:val="Heading2"/>
        <w:spacing w:after="140" w:before="240"/>
      </w:pPr>
      <w:r>
        <w:t xml:space="preserve">10.2 IF-02 — Read Access Log (RAL)</w:t>
      </w:r>
    </w:p>
    <w:tbl>
      <w:tblPr>
        <w:tblW w:type="dxa" w:w="9026"/>
        <w:tblBorders>
          <w:top w:val="single" w:color="8EA9DB" w:sz="4"/>
          <w:left w:val="single" w:color="8EA9DB" w:sz="4"/>
          <w:bottom w:val="single" w:color="8EA9DB" w:sz="4"/>
          <w:right w:val="single" w:color="8EA9DB" w:sz="4"/>
          <w:insideH w:val="single" w:color="B4C6E7" w:sz="3"/>
          <w:insideV w:val="single" w:color="B4C6E7" w:sz="3"/>
        </w:tblBorders>
      </w:tblPr>
      <w:tblGrid>
        <w:gridCol w:w="2600"/>
        <w:gridCol w:w="6426"/>
      </w:tblGrid>
      <w:tr>
        <w:tc>
          <w:tcPr>
            <w:tcW w:type="dxa" w:w="2600"/>
            <w:tcMar>
              <w:top w:type="dxa" w:w="60"/>
              <w:left w:type="dxa" w:w="100"/>
              <w:bottom w:type="dxa" w:w="60"/>
              <w:right w:type="dxa" w:w="100"/>
            </w:tcMar>
          </w:tcPr>
          <w:p>
            <w:pPr>
              <w:spacing w:after="0" w:line="250"/>
            </w:pPr>
            <w:r>
              <w:rPr>
                <w:b/>
                <w:bCs/>
                <w:sz w:val="19"/>
                <w:szCs w:val="19"/>
              </w:rPr>
              <w:t xml:space="preserve">CPI artifact</w:t>
            </w:r>
          </w:p>
        </w:tc>
        <w:tc>
          <w:tcPr>
            <w:tcW w:type="dxa" w:w="6426"/>
            <w:tcMar>
              <w:top w:type="dxa" w:w="60"/>
              <w:left w:type="dxa" w:w="100"/>
              <w:bottom w:type="dxa" w:w="60"/>
              <w:right w:type="dxa" w:w="100"/>
            </w:tcMar>
          </w:tcPr>
          <w:p>
            <w:pPr>
              <w:spacing w:after="0" w:line="250"/>
            </w:pPr>
            <w:r>
              <w:rPr>
                <w:sz w:val="19"/>
                <w:szCs w:val="19"/>
              </w:rPr>
              <w:t xml:space="preserve">YY1 Extract Read Access Log from S4HC</w:t>
            </w:r>
          </w:p>
        </w:tc>
      </w:tr>
      <w:tr>
        <w:tc>
          <w:tcPr>
            <w:tcW w:type="dxa" w:w="2600"/>
            <w:tcMar>
              <w:top w:type="dxa" w:w="60"/>
              <w:left w:type="dxa" w:w="100"/>
              <w:bottom w:type="dxa" w:w="60"/>
              <w:right w:type="dxa" w:w="100"/>
            </w:tcMar>
          </w:tcPr>
          <w:p>
            <w:pPr>
              <w:spacing w:after="0" w:line="250"/>
            </w:pPr>
            <w:r>
              <w:rPr>
                <w:b/>
                <w:bCs/>
                <w:sz w:val="19"/>
                <w:szCs w:val="19"/>
              </w:rPr>
              <w:t xml:space="preserve">Comm. scenario</w:t>
            </w:r>
          </w:p>
        </w:tc>
        <w:tc>
          <w:tcPr>
            <w:tcW w:type="dxa" w:w="6426"/>
            <w:tcMar>
              <w:top w:type="dxa" w:w="60"/>
              <w:left w:type="dxa" w:w="100"/>
              <w:bottom w:type="dxa" w:w="60"/>
              <w:right w:type="dxa" w:w="100"/>
            </w:tcMar>
          </w:tcPr>
          <w:p>
            <w:pPr>
              <w:spacing w:after="0" w:line="250"/>
            </w:pPr>
            <w:r>
              <w:rPr>
                <w:sz w:val="19"/>
                <w:szCs w:val="19"/>
              </w:rPr>
              <w:t xml:space="preserve">SAP_COM_0915</w:t>
            </w:r>
          </w:p>
        </w:tc>
      </w:tr>
      <w:tr>
        <w:tc>
          <w:tcPr>
            <w:tcW w:type="dxa" w:w="2600"/>
            <w:tcMar>
              <w:top w:type="dxa" w:w="60"/>
              <w:left w:type="dxa" w:w="100"/>
              <w:bottom w:type="dxa" w:w="60"/>
              <w:right w:type="dxa" w:w="100"/>
            </w:tcMar>
          </w:tcPr>
          <w:p>
            <w:pPr>
              <w:spacing w:after="0" w:line="250"/>
            </w:pPr>
            <w:r>
              <w:rPr>
                <w:b/>
                <w:bCs/>
                <w:sz w:val="19"/>
                <w:szCs w:val="19"/>
              </w:rPr>
              <w:t xml:space="preserve">Protocol</w:t>
            </w:r>
          </w:p>
        </w:tc>
        <w:tc>
          <w:tcPr>
            <w:tcW w:type="dxa" w:w="6426"/>
            <w:tcMar>
              <w:top w:type="dxa" w:w="60"/>
              <w:left w:type="dxa" w:w="100"/>
              <w:bottom w:type="dxa" w:w="60"/>
              <w:right w:type="dxa" w:w="100"/>
            </w:tcMar>
          </w:tcPr>
          <w:p>
            <w:pPr>
              <w:spacing w:after="0" w:line="250"/>
            </w:pPr>
            <w:r>
              <w:rPr>
                <w:sz w:val="19"/>
                <w:szCs w:val="19"/>
              </w:rPr>
              <w:t xml:space="preserve">OData V4</w:t>
            </w:r>
          </w:p>
        </w:tc>
      </w:tr>
      <w:tr>
        <w:tc>
          <w:tcPr>
            <w:tcW w:type="dxa" w:w="2600"/>
            <w:tcMar>
              <w:top w:type="dxa" w:w="60"/>
              <w:left w:type="dxa" w:w="100"/>
              <w:bottom w:type="dxa" w:w="60"/>
              <w:right w:type="dxa" w:w="100"/>
            </w:tcMar>
          </w:tcPr>
          <w:p>
            <w:pPr>
              <w:spacing w:after="0" w:line="250"/>
            </w:pPr>
            <w:r>
              <w:rPr>
                <w:b/>
                <w:bCs/>
                <w:sz w:val="19"/>
                <w:szCs w:val="19"/>
              </w:rPr>
              <w:t xml:space="preserve">Service address</w:t>
            </w:r>
          </w:p>
        </w:tc>
        <w:tc>
          <w:tcPr>
            <w:tcW w:type="dxa" w:w="6426"/>
            <w:tcMar>
              <w:top w:type="dxa" w:w="60"/>
              <w:left w:type="dxa" w:w="100"/>
              <w:bottom w:type="dxa" w:w="60"/>
              <w:right w:type="dxa" w:w="100"/>
            </w:tcMar>
          </w:tcPr>
          <w:p>
            <w:pPr>
              <w:spacing w:after="0" w:line="250"/>
            </w:pPr>
            <w:r>
              <w:rPr>
                <w:sz w:val="19"/>
                <w:szCs w:val="19"/>
              </w:rPr>
              <w:t xml:space="preserve">https://my435863-api.s4hana.cloud.sap/sap/opu/odata4/sap/sral_api_raw_log_04/srvd_a2x/sap/sral_api_raw_log/0002</w:t>
            </w:r>
          </w:p>
        </w:tc>
      </w:tr>
      <w:tr>
        <w:tc>
          <w:tcPr>
            <w:tcW w:type="dxa" w:w="2600"/>
            <w:tcMar>
              <w:top w:type="dxa" w:w="60"/>
              <w:left w:type="dxa" w:w="100"/>
              <w:bottom w:type="dxa" w:w="60"/>
              <w:right w:type="dxa" w:w="100"/>
            </w:tcMar>
          </w:tcPr>
          <w:p>
            <w:pPr>
              <w:spacing w:after="0" w:line="250"/>
            </w:pPr>
            <w:r>
              <w:rPr>
                <w:b/>
                <w:bCs/>
                <w:sz w:val="19"/>
                <w:szCs w:val="19"/>
              </w:rPr>
              <w:t xml:space="preserve">Entity set</w:t>
            </w:r>
          </w:p>
        </w:tc>
        <w:tc>
          <w:tcPr>
            <w:tcW w:type="dxa" w:w="6426"/>
            <w:tcMar>
              <w:top w:type="dxa" w:w="60"/>
              <w:left w:type="dxa" w:w="100"/>
              <w:bottom w:type="dxa" w:w="60"/>
              <w:right w:type="dxa" w:w="100"/>
            </w:tcMar>
          </w:tcPr>
          <w:p>
            <w:pPr>
              <w:spacing w:after="0" w:line="250"/>
            </w:pPr>
            <w:r>
              <w:rPr>
                <w:sz w:val="19"/>
                <w:szCs w:val="19"/>
              </w:rPr>
              <w:t xml:space="preserve">ReadAccessLogRAW</w:t>
            </w:r>
          </w:p>
        </w:tc>
      </w:tr>
      <w:tr>
        <w:tc>
          <w:tcPr>
            <w:tcW w:type="dxa" w:w="2600"/>
            <w:tcMar>
              <w:top w:type="dxa" w:w="60"/>
              <w:left w:type="dxa" w:w="100"/>
              <w:bottom w:type="dxa" w:w="60"/>
              <w:right w:type="dxa" w:w="100"/>
            </w:tcMar>
          </w:tcPr>
          <w:p>
            <w:pPr>
              <w:spacing w:after="0" w:line="250"/>
            </w:pPr>
            <w:r>
              <w:rPr>
                <w:b/>
                <w:bCs/>
                <w:sz w:val="19"/>
                <w:szCs w:val="19"/>
              </w:rPr>
              <w:t xml:space="preserve">Receiver participant</w:t>
            </w:r>
          </w:p>
        </w:tc>
        <w:tc>
          <w:tcPr>
            <w:tcW w:type="dxa" w:w="6426"/>
            <w:tcMar>
              <w:top w:type="dxa" w:w="60"/>
              <w:left w:type="dxa" w:w="100"/>
              <w:bottom w:type="dxa" w:w="60"/>
              <w:right w:type="dxa" w:w="100"/>
            </w:tcMar>
          </w:tcPr>
          <w:p>
            <w:pPr>
              <w:spacing w:after="0" w:line="250"/>
            </w:pPr>
            <w:r>
              <w:rPr>
                <w:sz w:val="19"/>
                <w:szCs w:val="19"/>
              </w:rPr>
              <w:t xml:space="preserve">S4_ReadAccessLog</w:t>
            </w:r>
          </w:p>
        </w:tc>
      </w:tr>
      <w:tr>
        <w:tc>
          <w:tcPr>
            <w:tcW w:type="dxa" w:w="2600"/>
            <w:tcMar>
              <w:top w:type="dxa" w:w="60"/>
              <w:left w:type="dxa" w:w="100"/>
              <w:bottom w:type="dxa" w:w="60"/>
              <w:right w:type="dxa" w:w="100"/>
            </w:tcMar>
          </w:tcPr>
          <w:p>
            <w:pPr>
              <w:spacing w:after="0" w:line="250"/>
            </w:pPr>
            <w:r>
              <w:rPr>
                <w:b/>
                <w:bCs/>
                <w:sz w:val="19"/>
                <w:szCs w:val="19"/>
              </w:rPr>
              <w:t xml:space="preserve">Timestamp field</w:t>
            </w:r>
          </w:p>
        </w:tc>
        <w:tc>
          <w:tcPr>
            <w:tcW w:type="dxa" w:w="6426"/>
            <w:tcMar>
              <w:top w:type="dxa" w:w="60"/>
              <w:left w:type="dxa" w:w="100"/>
              <w:bottom w:type="dxa" w:w="60"/>
              <w:right w:type="dxa" w:w="100"/>
            </w:tcMar>
          </w:tcPr>
          <w:p>
            <w:pPr>
              <w:spacing w:after="0" w:line="250"/>
            </w:pPr>
            <w:r>
              <w:rPr>
                <w:sz w:val="19"/>
                <w:szCs w:val="19"/>
              </w:rPr>
              <w:t xml:space="preserve">LogTimestamp  (Edm.DateTimeOffset)</w:t>
            </w:r>
          </w:p>
        </w:tc>
      </w:tr>
      <w:tr>
        <w:tc>
          <w:tcPr>
            <w:tcW w:type="dxa" w:w="2600"/>
            <w:tcMar>
              <w:top w:type="dxa" w:w="60"/>
              <w:left w:type="dxa" w:w="100"/>
              <w:bottom w:type="dxa" w:w="60"/>
              <w:right w:type="dxa" w:w="100"/>
            </w:tcMar>
          </w:tcPr>
          <w:p>
            <w:pPr>
              <w:spacing w:after="0" w:line="250"/>
            </w:pPr>
            <w:r>
              <w:rPr>
                <w:b/>
                <w:bCs/>
                <w:sz w:val="19"/>
                <w:szCs w:val="19"/>
              </w:rPr>
              <w:t xml:space="preserve">Timestamp sample</w:t>
            </w:r>
          </w:p>
        </w:tc>
        <w:tc>
          <w:tcPr>
            <w:tcW w:type="dxa" w:w="6426"/>
            <w:tcMar>
              <w:top w:type="dxa" w:w="60"/>
              <w:left w:type="dxa" w:w="100"/>
              <w:bottom w:type="dxa" w:w="60"/>
              <w:right w:type="dxa" w:w="100"/>
            </w:tcMar>
          </w:tcPr>
          <w:p>
            <w:pPr>
              <w:spacing w:after="0" w:line="250"/>
            </w:pPr>
            <w:r>
              <w:rPr>
                <w:sz w:val="19"/>
                <w:szCs w:val="19"/>
              </w:rPr>
              <w:t xml:space="preserve">2026-07-06T01:51:10Z   — timezone designator: Yes (trailing Z)</w:t>
            </w:r>
          </w:p>
        </w:tc>
      </w:tr>
      <w:tr>
        <w:tc>
          <w:tcPr>
            <w:tcW w:type="dxa" w:w="2600"/>
            <w:tcMar>
              <w:top w:type="dxa" w:w="60"/>
              <w:left w:type="dxa" w:w="100"/>
              <w:bottom w:type="dxa" w:w="60"/>
              <w:right w:type="dxa" w:w="100"/>
            </w:tcMar>
          </w:tcPr>
          <w:p>
            <w:pPr>
              <w:spacing w:after="0" w:line="250"/>
            </w:pPr>
            <w:r>
              <w:rPr>
                <w:b/>
                <w:bCs/>
                <w:sz w:val="19"/>
                <w:szCs w:val="19"/>
              </w:rPr>
              <w:t xml:space="preserve">$select</w:t>
            </w:r>
          </w:p>
        </w:tc>
        <w:tc>
          <w:tcPr>
            <w:tcW w:type="dxa" w:w="6426"/>
            <w:tcMar>
              <w:top w:type="dxa" w:w="60"/>
              <w:left w:type="dxa" w:w="100"/>
              <w:bottom w:type="dxa" w:w="60"/>
              <w:right w:type="dxa" w:w="100"/>
            </w:tcMar>
          </w:tcPr>
          <w:p>
            <w:pPr>
              <w:spacing w:after="0" w:line="250"/>
            </w:pPr>
            <w:r>
              <w:rPr>
                <w:sz w:val="19"/>
                <w:szCs w:val="19"/>
              </w:rPr>
              <w:t xml:space="preserve">14 fields — all EDMX properties (see Appendix A)</w:t>
            </w:r>
          </w:p>
        </w:tc>
      </w:tr>
      <w:tr>
        <w:tc>
          <w:tcPr>
            <w:tcW w:type="dxa" w:w="2600"/>
            <w:tcMar>
              <w:top w:type="dxa" w:w="60"/>
              <w:left w:type="dxa" w:w="100"/>
              <w:bottom w:type="dxa" w:w="60"/>
              <w:right w:type="dxa" w:w="100"/>
            </w:tcMar>
          </w:tcPr>
          <w:p>
            <w:pPr>
              <w:spacing w:after="0" w:line="250"/>
            </w:pPr>
            <w:r>
              <w:rPr>
                <w:b/>
                <w:bCs/>
                <w:sz w:val="19"/>
                <w:szCs w:val="19"/>
              </w:rPr>
              <w:t xml:space="preserve">Page size</w:t>
            </w:r>
          </w:p>
        </w:tc>
        <w:tc>
          <w:tcPr>
            <w:tcW w:type="dxa" w:w="6426"/>
            <w:tcMar>
              <w:top w:type="dxa" w:w="60"/>
              <w:left w:type="dxa" w:w="100"/>
              <w:bottom w:type="dxa" w:w="60"/>
              <w:right w:type="dxa" w:w="100"/>
            </w:tcMar>
          </w:tcPr>
          <w:p>
            <w:pPr>
              <w:spacing w:after="0" w:line="250"/>
            </w:pPr>
            <w:r>
              <w:rPr>
                <w:sz w:val="19"/>
                <w:szCs w:val="19"/>
              </w:rPr>
              <w:t xml:space="preserve">Adapter default</w:t>
            </w:r>
          </w:p>
        </w:tc>
      </w:tr>
      <w:tr>
        <w:tc>
          <w:tcPr>
            <w:tcW w:type="dxa" w:w="2600"/>
            <w:tcMar>
              <w:top w:type="dxa" w:w="60"/>
              <w:left w:type="dxa" w:w="100"/>
              <w:bottom w:type="dxa" w:w="60"/>
              <w:right w:type="dxa" w:w="100"/>
            </w:tcMar>
          </w:tcPr>
          <w:p>
            <w:pPr>
              <w:spacing w:after="0" w:line="250"/>
            </w:pPr>
            <w:r>
              <w:rPr>
                <w:b/>
                <w:bCs/>
                <w:sz w:val="19"/>
                <w:szCs w:val="19"/>
              </w:rPr>
              <w:t xml:space="preserve">Endpoint</w:t>
            </w:r>
          </w:p>
        </w:tc>
        <w:tc>
          <w:tcPr>
            <w:tcW w:type="dxa" w:w="6426"/>
            <w:tcMar>
              <w:top w:type="dxa" w:w="60"/>
              <w:left w:type="dxa" w:w="100"/>
              <w:bottom w:type="dxa" w:w="60"/>
              <w:right w:type="dxa" w:w="100"/>
            </w:tcMar>
          </w:tcPr>
          <w:p>
            <w:pPr>
              <w:spacing w:after="0" w:line="250"/>
            </w:pPr>
            <w:r>
              <w:rPr>
                <w:sz w:val="19"/>
                <w:szCs w:val="19"/>
              </w:rPr>
              <w:t xml:space="preserve">/extract/readaccesslog</w:t>
            </w:r>
          </w:p>
        </w:tc>
      </w:tr>
      <w:tr>
        <w:tc>
          <w:tcPr>
            <w:tcW w:type="dxa" w:w="2600"/>
            <w:tcMar>
              <w:top w:type="dxa" w:w="60"/>
              <w:left w:type="dxa" w:w="100"/>
              <w:bottom w:type="dxa" w:w="60"/>
              <w:right w:type="dxa" w:w="100"/>
            </w:tcMar>
          </w:tcPr>
          <w:p>
            <w:pPr>
              <w:spacing w:after="0" w:line="250"/>
            </w:pPr>
            <w:r>
              <w:rPr>
                <w:b/>
                <w:bCs/>
                <w:sz w:val="19"/>
                <w:szCs w:val="19"/>
              </w:rPr>
              <w:t xml:space="preserve">Data Store / entry</w:t>
            </w:r>
          </w:p>
        </w:tc>
        <w:tc>
          <w:tcPr>
            <w:tcW w:type="dxa" w:w="6426"/>
            <w:tcMar>
              <w:top w:type="dxa" w:w="60"/>
              <w:left w:type="dxa" w:w="100"/>
              <w:bottom w:type="dxa" w:w="60"/>
              <w:right w:type="dxa" w:w="100"/>
            </w:tcMar>
          </w:tcPr>
          <w:p>
            <w:pPr>
              <w:spacing w:after="0" w:line="250"/>
            </w:pPr>
            <w:r>
              <w:rPr>
                <w:sz w:val="19"/>
                <w:szCs w:val="19"/>
              </w:rPr>
              <w:t xml:space="preserve">READ_ACCESS_DELTA / LastRun</w:t>
            </w:r>
          </w:p>
        </w:tc>
      </w:tr>
      <w:tr>
        <w:tc>
          <w:tcPr>
            <w:tcW w:type="dxa" w:w="2600"/>
            <w:tcMar>
              <w:top w:type="dxa" w:w="60"/>
              <w:left w:type="dxa" w:w="100"/>
              <w:bottom w:type="dxa" w:w="60"/>
              <w:right w:type="dxa" w:w="100"/>
            </w:tcMar>
          </w:tcPr>
          <w:p>
            <w:pPr>
              <w:spacing w:after="0" w:line="250"/>
            </w:pPr>
            <w:r>
              <w:rPr>
                <w:b/>
                <w:bCs/>
                <w:sz w:val="19"/>
                <w:szCs w:val="19"/>
              </w:rPr>
              <w:t xml:space="preserve">Splunk sourcetype</w:t>
            </w:r>
          </w:p>
        </w:tc>
        <w:tc>
          <w:tcPr>
            <w:tcW w:type="dxa" w:w="6426"/>
            <w:tcMar>
              <w:top w:type="dxa" w:w="60"/>
              <w:left w:type="dxa" w:w="100"/>
              <w:bottom w:type="dxa" w:w="60"/>
              <w:right w:type="dxa" w:w="100"/>
            </w:tcMar>
          </w:tcPr>
          <w:p>
            <w:pPr>
              <w:spacing w:after="0" w:line="250"/>
            </w:pPr>
            <w:r>
              <w:rPr>
                <w:sz w:val="19"/>
                <w:szCs w:val="19"/>
              </w:rPr>
              <w:t xml:space="preserve">sap:s4hana:cloud:access</w:t>
            </w:r>
          </w:p>
        </w:tc>
      </w:tr>
      <w:tr>
        <w:tc>
          <w:tcPr>
            <w:tcW w:type="dxa" w:w="2600"/>
            <w:tcMar>
              <w:top w:type="dxa" w:w="60"/>
              <w:left w:type="dxa" w:w="100"/>
              <w:bottom w:type="dxa" w:w="60"/>
              <w:right w:type="dxa" w:w="100"/>
            </w:tcMar>
          </w:tcPr>
          <w:p>
            <w:pPr>
              <w:spacing w:after="0" w:line="250"/>
            </w:pPr>
            <w:r>
              <w:rPr>
                <w:b/>
                <w:bCs/>
                <w:sz w:val="19"/>
                <w:szCs w:val="19"/>
              </w:rPr>
              <w:t xml:space="preserve">Splunk source</w:t>
            </w:r>
          </w:p>
        </w:tc>
        <w:tc>
          <w:tcPr>
            <w:tcW w:type="dxa" w:w="6426"/>
            <w:tcMar>
              <w:top w:type="dxa" w:w="60"/>
              <w:left w:type="dxa" w:w="100"/>
              <w:bottom w:type="dxa" w:w="60"/>
              <w:right w:type="dxa" w:w="100"/>
            </w:tcMar>
          </w:tcPr>
          <w:p>
            <w:pPr>
              <w:spacing w:after="0" w:line="250"/>
            </w:pPr>
            <w:r>
              <w:rPr>
                <w:sz w:val="19"/>
                <w:szCs w:val="19"/>
              </w:rPr>
              <w:t xml:space="preserve">sap:cpi:readaccesslog</w:t>
            </w:r>
          </w:p>
        </w:tc>
      </w:tr>
      <w:tr>
        <w:tc>
          <w:tcPr>
            <w:tcW w:type="dxa" w:w="2600"/>
            <w:tcMar>
              <w:top w:type="dxa" w:w="60"/>
              <w:left w:type="dxa" w:w="100"/>
              <w:bottom w:type="dxa" w:w="60"/>
              <w:right w:type="dxa" w:w="100"/>
            </w:tcMar>
          </w:tcPr>
          <w:p>
            <w:pPr>
              <w:spacing w:after="0" w:line="250"/>
            </w:pPr>
            <w:r>
              <w:rPr>
                <w:b/>
                <w:bCs/>
                <w:sz w:val="19"/>
                <w:szCs w:val="19"/>
              </w:rPr>
              <w:t xml:space="preserve">XML-to-JSON path</w:t>
            </w:r>
          </w:p>
        </w:tc>
        <w:tc>
          <w:tcPr>
            <w:tcW w:type="dxa" w:w="6426"/>
            <w:tcMar>
              <w:top w:type="dxa" w:w="60"/>
              <w:left w:type="dxa" w:w="100"/>
              <w:bottom w:type="dxa" w:w="60"/>
              <w:right w:type="dxa" w:w="100"/>
            </w:tcMar>
          </w:tcPr>
          <w:p>
            <w:pPr>
              <w:spacing w:after="0" w:line="250"/>
            </w:pPr>
            <w:r>
              <w:rPr>
                <w:sz w:val="19"/>
                <w:szCs w:val="19"/>
              </w:rPr>
              <w:t xml:space="preserve">ReadAccessLogRAW/ReadAccessLogRAWType</w:t>
            </w:r>
          </w:p>
        </w:tc>
      </w:tr>
      <w:tr>
        <w:tc>
          <w:tcPr>
            <w:tcW w:type="dxa" w:w="2600"/>
            <w:tcMar>
              <w:top w:type="dxa" w:w="60"/>
              <w:left w:type="dxa" w:w="100"/>
              <w:bottom w:type="dxa" w:w="60"/>
              <w:right w:type="dxa" w:w="100"/>
            </w:tcMar>
          </w:tcPr>
          <w:p>
            <w:pPr>
              <w:spacing w:after="0" w:line="250"/>
            </w:pPr>
            <w:r>
              <w:rPr>
                <w:b/>
                <w:bCs/>
                <w:sz w:val="19"/>
                <w:szCs w:val="19"/>
              </w:rPr>
              <w:t xml:space="preserve">Groovy flowstep versions</w:t>
            </w:r>
          </w:p>
        </w:tc>
        <w:tc>
          <w:tcPr>
            <w:tcW w:type="dxa" w:w="6426"/>
            <w:tcMar>
              <w:top w:type="dxa" w:w="60"/>
              <w:left w:type="dxa" w:w="100"/>
              <w:bottom w:type="dxa" w:w="60"/>
              <w:right w:type="dxa" w:w="100"/>
            </w:tcMar>
          </w:tcPr>
          <w:p>
            <w:pPr>
              <w:spacing w:after="0" w:line="250"/>
            </w:pPr>
            <w:r>
              <w:rPr>
                <w:sz w:val="19"/>
                <w:szCs w:val="19"/>
              </w:rPr>
              <w:t xml:space="preserve">v2 (all three)</w:t>
            </w:r>
          </w:p>
        </w:tc>
      </w:tr>
    </w:tbl>
    <w:p>
      <w:pPr>
        <w:spacing w:after="120"/>
      </w:pPr>
    </w:p>
    <w:p>
      <w:pPr>
        <w:spacing w:after="120" w:line="276"/>
      </w:pPr>
      <w:r>
        <w:rPr>
          <w:b/>
          <w:bCs/>
          <w:sz w:val="21"/>
          <w:szCs w:val="21"/>
        </w:rPr>
        <w:t xml:space="preserve">OData query:</w:t>
      </w:r>
    </w:p>
    <w:p>
      <w:pPr>
        <w:pBdr>
          <w:left w:val="single" w:color="1F4E79" w:sz="12" w:space="6"/>
        </w:pBdr>
        <w:shd w:fill="F2F2F2" w:color="auto" w:val="clear"/>
        <w:spacing w:after="60" w:before="60"/>
        <w:ind w:left="180"/>
      </w:pPr>
      <w:r>
        <w:rPr>
          <w:rFonts w:ascii="Consolas" w:cs="Consolas" w:eastAsia="Consolas" w:hAnsi="Consolas"/>
          <w:sz w:val="17"/>
          <w:szCs w:val="17"/>
        </w:rPr>
        <w:t xml:space="preserve">$filter=(LogTimestamp gt ${property.windowFrom} and LogTimestamp le ${property.runStartTime})</w:t>
      </w:r>
    </w:p>
    <w:p>
      <w:pPr>
        <w:pBdr>
          <w:left w:val="single" w:color="1F4E79" w:sz="12" w:space="6"/>
        </w:pBdr>
        <w:shd w:fill="F2F2F2" w:color="auto" w:val="clear"/>
        <w:spacing w:after="60" w:before="60"/>
        <w:ind w:left="180"/>
      </w:pPr>
      <w:r>
        <w:rPr>
          <w:rFonts w:ascii="Consolas" w:cs="Consolas" w:eastAsia="Consolas" w:hAnsi="Consolas"/>
          <w:sz w:val="17"/>
          <w:szCs w:val="17"/>
        </w:rPr>
        <w:t xml:space="preserve">&amp;$orderby=LogTimestamp asc</w:t>
      </w:r>
    </w:p>
    <w:p>
      <w:pPr>
        <w:spacing w:after="160"/>
      </w:pPr>
    </w:p>
    <w:p>
      <w:pPr>
        <w:pStyle w:val="Heading2"/>
        <w:spacing w:after="140" w:before="240"/>
      </w:pPr>
      <w:r>
        <w:t xml:space="preserve">10.3 IF-03 — Business User Changes</w:t>
      </w:r>
    </w:p>
    <w:tbl>
      <w:tblPr>
        <w:tblW w:type="dxa" w:w="9026"/>
        <w:tblBorders>
          <w:top w:val="single" w:color="8EA9DB" w:sz="4"/>
          <w:left w:val="single" w:color="8EA9DB" w:sz="4"/>
          <w:bottom w:val="single" w:color="8EA9DB" w:sz="4"/>
          <w:right w:val="single" w:color="8EA9DB" w:sz="4"/>
          <w:insideH w:val="single" w:color="B4C6E7" w:sz="3"/>
          <w:insideV w:val="single" w:color="B4C6E7" w:sz="3"/>
        </w:tblBorders>
      </w:tblPr>
      <w:tblGrid>
        <w:gridCol w:w="2600"/>
        <w:gridCol w:w="6426"/>
      </w:tblGrid>
      <w:tr>
        <w:tc>
          <w:tcPr>
            <w:tcW w:type="dxa" w:w="2600"/>
            <w:tcMar>
              <w:top w:type="dxa" w:w="60"/>
              <w:left w:type="dxa" w:w="100"/>
              <w:bottom w:type="dxa" w:w="60"/>
              <w:right w:type="dxa" w:w="100"/>
            </w:tcMar>
          </w:tcPr>
          <w:p>
            <w:pPr>
              <w:spacing w:after="0" w:line="250"/>
            </w:pPr>
            <w:r>
              <w:rPr>
                <w:b/>
                <w:bCs/>
                <w:sz w:val="19"/>
                <w:szCs w:val="19"/>
              </w:rPr>
              <w:t xml:space="preserve">CPI artifact</w:t>
            </w:r>
          </w:p>
        </w:tc>
        <w:tc>
          <w:tcPr>
            <w:tcW w:type="dxa" w:w="6426"/>
            <w:tcMar>
              <w:top w:type="dxa" w:w="60"/>
              <w:left w:type="dxa" w:w="100"/>
              <w:bottom w:type="dxa" w:w="60"/>
              <w:right w:type="dxa" w:w="100"/>
            </w:tcMar>
          </w:tcPr>
          <w:p>
            <w:pPr>
              <w:spacing w:after="0" w:line="250"/>
            </w:pPr>
            <w:r>
              <w:rPr>
                <w:sz w:val="19"/>
                <w:szCs w:val="19"/>
              </w:rPr>
              <w:t xml:space="preserve">YY1 Extract Business User Changes Log from S4HC</w:t>
            </w:r>
          </w:p>
        </w:tc>
      </w:tr>
      <w:tr>
        <w:tc>
          <w:tcPr>
            <w:tcW w:type="dxa" w:w="2600"/>
            <w:tcMar>
              <w:top w:type="dxa" w:w="60"/>
              <w:left w:type="dxa" w:w="100"/>
              <w:bottom w:type="dxa" w:w="60"/>
              <w:right w:type="dxa" w:w="100"/>
            </w:tcMar>
          </w:tcPr>
          <w:p>
            <w:pPr>
              <w:spacing w:after="0" w:line="250"/>
            </w:pPr>
            <w:r>
              <w:rPr>
                <w:b/>
                <w:bCs/>
                <w:sz w:val="19"/>
                <w:szCs w:val="19"/>
              </w:rPr>
              <w:t xml:space="preserve">Comm. scenario</w:t>
            </w:r>
          </w:p>
        </w:tc>
        <w:tc>
          <w:tcPr>
            <w:tcW w:type="dxa" w:w="6426"/>
            <w:tcMar>
              <w:top w:type="dxa" w:w="60"/>
              <w:left w:type="dxa" w:w="100"/>
              <w:bottom w:type="dxa" w:w="60"/>
              <w:right w:type="dxa" w:w="100"/>
            </w:tcMar>
          </w:tcPr>
          <w:p>
            <w:pPr>
              <w:spacing w:after="0" w:line="250"/>
            </w:pPr>
            <w:r>
              <w:rPr>
                <w:sz w:val="19"/>
                <w:szCs w:val="19"/>
              </w:rPr>
              <w:t xml:space="preserve">SAP_COM_0327</w:t>
            </w:r>
          </w:p>
        </w:tc>
      </w:tr>
      <w:tr>
        <w:tc>
          <w:tcPr>
            <w:tcW w:type="dxa" w:w="2600"/>
            <w:tcMar>
              <w:top w:type="dxa" w:w="60"/>
              <w:left w:type="dxa" w:w="100"/>
              <w:bottom w:type="dxa" w:w="60"/>
              <w:right w:type="dxa" w:w="100"/>
            </w:tcMar>
          </w:tcPr>
          <w:p>
            <w:pPr>
              <w:spacing w:after="0" w:line="250"/>
            </w:pPr>
            <w:r>
              <w:rPr>
                <w:b/>
                <w:bCs/>
                <w:sz w:val="19"/>
                <w:szCs w:val="19"/>
              </w:rPr>
              <w:t xml:space="preserve">Protocol</w:t>
            </w:r>
          </w:p>
        </w:tc>
        <w:tc>
          <w:tcPr>
            <w:tcW w:type="dxa" w:w="6426"/>
            <w:tcMar>
              <w:top w:type="dxa" w:w="60"/>
              <w:left w:type="dxa" w:w="100"/>
              <w:bottom w:type="dxa" w:w="60"/>
              <w:right w:type="dxa" w:w="100"/>
            </w:tcMar>
          </w:tcPr>
          <w:p>
            <w:pPr>
              <w:spacing w:after="0" w:line="250"/>
            </w:pPr>
            <w:r>
              <w:rPr>
                <w:sz w:val="19"/>
                <w:szCs w:val="19"/>
              </w:rPr>
              <w:t xml:space="preserve">OData V2</w:t>
            </w:r>
          </w:p>
        </w:tc>
      </w:tr>
      <w:tr>
        <w:tc>
          <w:tcPr>
            <w:tcW w:type="dxa" w:w="2600"/>
            <w:tcMar>
              <w:top w:type="dxa" w:w="60"/>
              <w:left w:type="dxa" w:w="100"/>
              <w:bottom w:type="dxa" w:w="60"/>
              <w:right w:type="dxa" w:w="100"/>
            </w:tcMar>
          </w:tcPr>
          <w:p>
            <w:pPr>
              <w:spacing w:after="0" w:line="250"/>
            </w:pPr>
            <w:r>
              <w:rPr>
                <w:b/>
                <w:bCs/>
                <w:sz w:val="19"/>
                <w:szCs w:val="19"/>
              </w:rPr>
              <w:t xml:space="preserve">Service address</w:t>
            </w:r>
          </w:p>
        </w:tc>
        <w:tc>
          <w:tcPr>
            <w:tcW w:type="dxa" w:w="6426"/>
            <w:tcMar>
              <w:top w:type="dxa" w:w="60"/>
              <w:left w:type="dxa" w:w="100"/>
              <w:bottom w:type="dxa" w:w="60"/>
              <w:right w:type="dxa" w:w="100"/>
            </w:tcMar>
          </w:tcPr>
          <w:p>
            <w:pPr>
              <w:spacing w:after="0" w:line="250"/>
            </w:pPr>
            <w:r>
              <w:rPr>
                <w:sz w:val="19"/>
                <w:szCs w:val="19"/>
              </w:rPr>
              <w:t xml:space="preserve">https://my435863-api.s4hana.cloud.sap/sap/opu/odata/sap/APS_IAM_API_BUSER_CDOC</w:t>
            </w:r>
          </w:p>
        </w:tc>
      </w:tr>
      <w:tr>
        <w:tc>
          <w:tcPr>
            <w:tcW w:type="dxa" w:w="2600"/>
            <w:tcMar>
              <w:top w:type="dxa" w:w="60"/>
              <w:left w:type="dxa" w:w="100"/>
              <w:bottom w:type="dxa" w:w="60"/>
              <w:right w:type="dxa" w:w="100"/>
            </w:tcMar>
          </w:tcPr>
          <w:p>
            <w:pPr>
              <w:spacing w:after="0" w:line="250"/>
            </w:pPr>
            <w:r>
              <w:rPr>
                <w:b/>
                <w:bCs/>
                <w:sz w:val="19"/>
                <w:szCs w:val="19"/>
              </w:rPr>
              <w:t xml:space="preserve">Entity set</w:t>
            </w:r>
          </w:p>
        </w:tc>
        <w:tc>
          <w:tcPr>
            <w:tcW w:type="dxa" w:w="6426"/>
            <w:tcMar>
              <w:top w:type="dxa" w:w="60"/>
              <w:left w:type="dxa" w:w="100"/>
              <w:bottom w:type="dxa" w:w="60"/>
              <w:right w:type="dxa" w:w="100"/>
            </w:tcMar>
          </w:tcPr>
          <w:p>
            <w:pPr>
              <w:spacing w:after="0" w:line="250"/>
            </w:pPr>
            <w:r>
              <w:rPr>
                <w:sz w:val="19"/>
                <w:szCs w:val="19"/>
              </w:rPr>
              <w:t xml:space="preserve">BusinessUserChanges</w:t>
            </w:r>
          </w:p>
        </w:tc>
      </w:tr>
      <w:tr>
        <w:tc>
          <w:tcPr>
            <w:tcW w:type="dxa" w:w="2600"/>
            <w:tcMar>
              <w:top w:type="dxa" w:w="60"/>
              <w:left w:type="dxa" w:w="100"/>
              <w:bottom w:type="dxa" w:w="60"/>
              <w:right w:type="dxa" w:w="100"/>
            </w:tcMar>
          </w:tcPr>
          <w:p>
            <w:pPr>
              <w:spacing w:after="0" w:line="250"/>
            </w:pPr>
            <w:r>
              <w:rPr>
                <w:b/>
                <w:bCs/>
                <w:sz w:val="19"/>
                <w:szCs w:val="19"/>
              </w:rPr>
              <w:t xml:space="preserve">Receiver participant</w:t>
            </w:r>
          </w:p>
        </w:tc>
        <w:tc>
          <w:tcPr>
            <w:tcW w:type="dxa" w:w="6426"/>
            <w:tcMar>
              <w:top w:type="dxa" w:w="60"/>
              <w:left w:type="dxa" w:w="100"/>
              <w:bottom w:type="dxa" w:w="60"/>
              <w:right w:type="dxa" w:w="100"/>
            </w:tcMar>
          </w:tcPr>
          <w:p>
            <w:pPr>
              <w:spacing w:after="0" w:line="250"/>
            </w:pPr>
            <w:r>
              <w:rPr>
                <w:sz w:val="19"/>
                <w:szCs w:val="19"/>
              </w:rPr>
              <w:t xml:space="preserve">S4_BusinessUserChanges</w:t>
            </w:r>
          </w:p>
        </w:tc>
      </w:tr>
      <w:tr>
        <w:tc>
          <w:tcPr>
            <w:tcW w:type="dxa" w:w="2600"/>
            <w:tcMar>
              <w:top w:type="dxa" w:w="60"/>
              <w:left w:type="dxa" w:w="100"/>
              <w:bottom w:type="dxa" w:w="60"/>
              <w:right w:type="dxa" w:w="100"/>
            </w:tcMar>
          </w:tcPr>
          <w:p>
            <w:pPr>
              <w:spacing w:after="0" w:line="250"/>
            </w:pPr>
            <w:r>
              <w:rPr>
                <w:b/>
                <w:bCs/>
                <w:sz w:val="19"/>
                <w:szCs w:val="19"/>
              </w:rPr>
              <w:t xml:space="preserve">Timestamp field</w:t>
            </w:r>
          </w:p>
        </w:tc>
        <w:tc>
          <w:tcPr>
            <w:tcW w:type="dxa" w:w="6426"/>
            <w:tcMar>
              <w:top w:type="dxa" w:w="60"/>
              <w:left w:type="dxa" w:w="100"/>
              <w:bottom w:type="dxa" w:w="60"/>
              <w:right w:type="dxa" w:w="100"/>
            </w:tcMar>
          </w:tcPr>
          <w:p>
            <w:pPr>
              <w:spacing w:after="0" w:line="250"/>
            </w:pPr>
            <w:r>
              <w:rPr>
                <w:sz w:val="19"/>
                <w:szCs w:val="19"/>
              </w:rPr>
              <w:t xml:space="preserve">ChangedOn  (Edm.DateTimeOffset (Precision 7))</w:t>
            </w:r>
          </w:p>
        </w:tc>
      </w:tr>
      <w:tr>
        <w:tc>
          <w:tcPr>
            <w:tcW w:type="dxa" w:w="2600"/>
            <w:tcMar>
              <w:top w:type="dxa" w:w="60"/>
              <w:left w:type="dxa" w:w="100"/>
              <w:bottom w:type="dxa" w:w="60"/>
              <w:right w:type="dxa" w:w="100"/>
            </w:tcMar>
          </w:tcPr>
          <w:p>
            <w:pPr>
              <w:spacing w:after="0" w:line="250"/>
            </w:pPr>
            <w:r>
              <w:rPr>
                <w:b/>
                <w:bCs/>
                <w:sz w:val="19"/>
                <w:szCs w:val="19"/>
              </w:rPr>
              <w:t xml:space="preserve">Timestamp sample</w:t>
            </w:r>
          </w:p>
        </w:tc>
        <w:tc>
          <w:tcPr>
            <w:tcW w:type="dxa" w:w="6426"/>
            <w:tcMar>
              <w:top w:type="dxa" w:w="60"/>
              <w:left w:type="dxa" w:w="100"/>
              <w:bottom w:type="dxa" w:w="60"/>
              <w:right w:type="dxa" w:w="100"/>
            </w:tcMar>
          </w:tcPr>
          <w:p>
            <w:pPr>
              <w:spacing w:after="0" w:line="250"/>
            </w:pPr>
            <w:r>
              <w:rPr>
                <w:sz w:val="19"/>
                <w:szCs w:val="19"/>
              </w:rPr>
              <w:t xml:space="preserve">2026-02-16T13:31:08.000   — timezone designator: No — assumed UTC</w:t>
            </w:r>
          </w:p>
        </w:tc>
      </w:tr>
      <w:tr>
        <w:tc>
          <w:tcPr>
            <w:tcW w:type="dxa" w:w="2600"/>
            <w:tcMar>
              <w:top w:type="dxa" w:w="60"/>
              <w:left w:type="dxa" w:w="100"/>
              <w:bottom w:type="dxa" w:w="60"/>
              <w:right w:type="dxa" w:w="100"/>
            </w:tcMar>
          </w:tcPr>
          <w:p>
            <w:pPr>
              <w:spacing w:after="0" w:line="250"/>
            </w:pPr>
            <w:r>
              <w:rPr>
                <w:b/>
                <w:bCs/>
                <w:sz w:val="19"/>
                <w:szCs w:val="19"/>
              </w:rPr>
              <w:t xml:space="preserve">$select</w:t>
            </w:r>
          </w:p>
        </w:tc>
        <w:tc>
          <w:tcPr>
            <w:tcW w:type="dxa" w:w="6426"/>
            <w:tcMar>
              <w:top w:type="dxa" w:w="60"/>
              <w:left w:type="dxa" w:w="100"/>
              <w:bottom w:type="dxa" w:w="60"/>
              <w:right w:type="dxa" w:w="100"/>
            </w:tcMar>
          </w:tcPr>
          <w:p>
            <w:pPr>
              <w:spacing w:after="0" w:line="250"/>
            </w:pPr>
            <w:r>
              <w:rPr>
                <w:sz w:val="19"/>
                <w:szCs w:val="19"/>
              </w:rPr>
              <w:t xml:space="preserve">15 fields — all EDMX properties (see Appendix A)</w:t>
            </w:r>
          </w:p>
        </w:tc>
      </w:tr>
      <w:tr>
        <w:tc>
          <w:tcPr>
            <w:tcW w:type="dxa" w:w="2600"/>
            <w:tcMar>
              <w:top w:type="dxa" w:w="60"/>
              <w:left w:type="dxa" w:w="100"/>
              <w:bottom w:type="dxa" w:w="60"/>
              <w:right w:type="dxa" w:w="100"/>
            </w:tcMar>
          </w:tcPr>
          <w:p>
            <w:pPr>
              <w:spacing w:after="0" w:line="250"/>
            </w:pPr>
            <w:r>
              <w:rPr>
                <w:b/>
                <w:bCs/>
                <w:sz w:val="19"/>
                <w:szCs w:val="19"/>
              </w:rPr>
              <w:t xml:space="preserve">Page size</w:t>
            </w:r>
          </w:p>
        </w:tc>
        <w:tc>
          <w:tcPr>
            <w:tcW w:type="dxa" w:w="6426"/>
            <w:tcMar>
              <w:top w:type="dxa" w:w="60"/>
              <w:left w:type="dxa" w:w="100"/>
              <w:bottom w:type="dxa" w:w="60"/>
              <w:right w:type="dxa" w:w="100"/>
            </w:tcMar>
          </w:tcPr>
          <w:p>
            <w:pPr>
              <w:spacing w:after="0" w:line="250"/>
            </w:pPr>
            <w:r>
              <w:rPr>
                <w:sz w:val="19"/>
                <w:szCs w:val="19"/>
              </w:rPr>
              <w:t xml:space="preserve">1000 (odatapagesize)</w:t>
            </w:r>
          </w:p>
        </w:tc>
      </w:tr>
      <w:tr>
        <w:tc>
          <w:tcPr>
            <w:tcW w:type="dxa" w:w="2600"/>
            <w:tcMar>
              <w:top w:type="dxa" w:w="60"/>
              <w:left w:type="dxa" w:w="100"/>
              <w:bottom w:type="dxa" w:w="60"/>
              <w:right w:type="dxa" w:w="100"/>
            </w:tcMar>
          </w:tcPr>
          <w:p>
            <w:pPr>
              <w:spacing w:after="0" w:line="250"/>
            </w:pPr>
            <w:r>
              <w:rPr>
                <w:b/>
                <w:bCs/>
                <w:sz w:val="19"/>
                <w:szCs w:val="19"/>
              </w:rPr>
              <w:t xml:space="preserve">Endpoint</w:t>
            </w:r>
          </w:p>
        </w:tc>
        <w:tc>
          <w:tcPr>
            <w:tcW w:type="dxa" w:w="6426"/>
            <w:tcMar>
              <w:top w:type="dxa" w:w="60"/>
              <w:left w:type="dxa" w:w="100"/>
              <w:bottom w:type="dxa" w:w="60"/>
              <w:right w:type="dxa" w:w="100"/>
            </w:tcMar>
          </w:tcPr>
          <w:p>
            <w:pPr>
              <w:spacing w:after="0" w:line="250"/>
            </w:pPr>
            <w:r>
              <w:rPr>
                <w:sz w:val="19"/>
                <w:szCs w:val="19"/>
              </w:rPr>
              <w:t xml:space="preserve">/extract/businessuserchanges</w:t>
            </w:r>
          </w:p>
        </w:tc>
      </w:tr>
      <w:tr>
        <w:tc>
          <w:tcPr>
            <w:tcW w:type="dxa" w:w="2600"/>
            <w:tcMar>
              <w:top w:type="dxa" w:w="60"/>
              <w:left w:type="dxa" w:w="100"/>
              <w:bottom w:type="dxa" w:w="60"/>
              <w:right w:type="dxa" w:w="100"/>
            </w:tcMar>
          </w:tcPr>
          <w:p>
            <w:pPr>
              <w:spacing w:after="0" w:line="250"/>
            </w:pPr>
            <w:r>
              <w:rPr>
                <w:b/>
                <w:bCs/>
                <w:sz w:val="19"/>
                <w:szCs w:val="19"/>
              </w:rPr>
              <w:t xml:space="preserve">Data Store / entry</w:t>
            </w:r>
          </w:p>
        </w:tc>
        <w:tc>
          <w:tcPr>
            <w:tcW w:type="dxa" w:w="6426"/>
            <w:tcMar>
              <w:top w:type="dxa" w:w="60"/>
              <w:left w:type="dxa" w:w="100"/>
              <w:bottom w:type="dxa" w:w="60"/>
              <w:right w:type="dxa" w:w="100"/>
            </w:tcMar>
          </w:tcPr>
          <w:p>
            <w:pPr>
              <w:spacing w:after="0" w:line="250"/>
            </w:pPr>
            <w:r>
              <w:rPr>
                <w:sz w:val="19"/>
                <w:szCs w:val="19"/>
              </w:rPr>
              <w:t xml:space="preserve">BUS_USER_DELTA / LastRun</w:t>
            </w:r>
          </w:p>
        </w:tc>
      </w:tr>
      <w:tr>
        <w:tc>
          <w:tcPr>
            <w:tcW w:type="dxa" w:w="2600"/>
            <w:tcMar>
              <w:top w:type="dxa" w:w="60"/>
              <w:left w:type="dxa" w:w="100"/>
              <w:bottom w:type="dxa" w:w="60"/>
              <w:right w:type="dxa" w:w="100"/>
            </w:tcMar>
          </w:tcPr>
          <w:p>
            <w:pPr>
              <w:spacing w:after="0" w:line="250"/>
            </w:pPr>
            <w:r>
              <w:rPr>
                <w:b/>
                <w:bCs/>
                <w:sz w:val="19"/>
                <w:szCs w:val="19"/>
              </w:rPr>
              <w:t xml:space="preserve">Splunk sourcetype</w:t>
            </w:r>
          </w:p>
        </w:tc>
        <w:tc>
          <w:tcPr>
            <w:tcW w:type="dxa" w:w="6426"/>
            <w:tcMar>
              <w:top w:type="dxa" w:w="60"/>
              <w:left w:type="dxa" w:w="100"/>
              <w:bottom w:type="dxa" w:w="60"/>
              <w:right w:type="dxa" w:w="100"/>
            </w:tcMar>
          </w:tcPr>
          <w:p>
            <w:pPr>
              <w:spacing w:after="0" w:line="250"/>
            </w:pPr>
            <w:r>
              <w:rPr>
                <w:sz w:val="19"/>
                <w:szCs w:val="19"/>
              </w:rPr>
              <w:t xml:space="preserve">sap:s4hana:cloud:userchanges</w:t>
            </w:r>
          </w:p>
        </w:tc>
      </w:tr>
      <w:tr>
        <w:tc>
          <w:tcPr>
            <w:tcW w:type="dxa" w:w="2600"/>
            <w:tcMar>
              <w:top w:type="dxa" w:w="60"/>
              <w:left w:type="dxa" w:w="100"/>
              <w:bottom w:type="dxa" w:w="60"/>
              <w:right w:type="dxa" w:w="100"/>
            </w:tcMar>
          </w:tcPr>
          <w:p>
            <w:pPr>
              <w:spacing w:after="0" w:line="250"/>
            </w:pPr>
            <w:r>
              <w:rPr>
                <w:b/>
                <w:bCs/>
                <w:sz w:val="19"/>
                <w:szCs w:val="19"/>
              </w:rPr>
              <w:t xml:space="preserve">Splunk source</w:t>
            </w:r>
          </w:p>
        </w:tc>
        <w:tc>
          <w:tcPr>
            <w:tcW w:type="dxa" w:w="6426"/>
            <w:tcMar>
              <w:top w:type="dxa" w:w="60"/>
              <w:left w:type="dxa" w:w="100"/>
              <w:bottom w:type="dxa" w:w="60"/>
              <w:right w:type="dxa" w:w="100"/>
            </w:tcMar>
          </w:tcPr>
          <w:p>
            <w:pPr>
              <w:spacing w:after="0" w:line="250"/>
            </w:pPr>
            <w:r>
              <w:rPr>
                <w:sz w:val="19"/>
                <w:szCs w:val="19"/>
              </w:rPr>
              <w:t xml:space="preserve">sap:cpi:businessuserchangeslog</w:t>
            </w:r>
          </w:p>
        </w:tc>
      </w:tr>
      <w:tr>
        <w:tc>
          <w:tcPr>
            <w:tcW w:type="dxa" w:w="2600"/>
            <w:tcMar>
              <w:top w:type="dxa" w:w="60"/>
              <w:left w:type="dxa" w:w="100"/>
              <w:bottom w:type="dxa" w:w="60"/>
              <w:right w:type="dxa" w:w="100"/>
            </w:tcMar>
          </w:tcPr>
          <w:p>
            <w:pPr>
              <w:spacing w:after="0" w:line="250"/>
            </w:pPr>
            <w:r>
              <w:rPr>
                <w:b/>
                <w:bCs/>
                <w:sz w:val="19"/>
                <w:szCs w:val="19"/>
              </w:rPr>
              <w:t xml:space="preserve">XML-to-JSON path</w:t>
            </w:r>
          </w:p>
        </w:tc>
        <w:tc>
          <w:tcPr>
            <w:tcW w:type="dxa" w:w="6426"/>
            <w:tcMar>
              <w:top w:type="dxa" w:w="60"/>
              <w:left w:type="dxa" w:w="100"/>
              <w:bottom w:type="dxa" w:w="60"/>
              <w:right w:type="dxa" w:w="100"/>
            </w:tcMar>
          </w:tcPr>
          <w:p>
            <w:pPr>
              <w:spacing w:after="0" w:line="250"/>
            </w:pPr>
            <w:r>
              <w:rPr>
                <w:sz w:val="19"/>
                <w:szCs w:val="19"/>
              </w:rPr>
              <w:t xml:space="preserve">BusinessUserChanges/BusinessUserChangesType</w:t>
            </w:r>
          </w:p>
        </w:tc>
      </w:tr>
      <w:tr>
        <w:tc>
          <w:tcPr>
            <w:tcW w:type="dxa" w:w="2600"/>
            <w:tcMar>
              <w:top w:type="dxa" w:w="60"/>
              <w:left w:type="dxa" w:w="100"/>
              <w:bottom w:type="dxa" w:w="60"/>
              <w:right w:type="dxa" w:w="100"/>
            </w:tcMar>
          </w:tcPr>
          <w:p>
            <w:pPr>
              <w:spacing w:after="0" w:line="250"/>
            </w:pPr>
            <w:r>
              <w:rPr>
                <w:b/>
                <w:bCs/>
                <w:sz w:val="19"/>
                <w:szCs w:val="19"/>
              </w:rPr>
              <w:t xml:space="preserve">Groovy flowstep versions</w:t>
            </w:r>
          </w:p>
        </w:tc>
        <w:tc>
          <w:tcPr>
            <w:tcW w:type="dxa" w:w="6426"/>
            <w:tcMar>
              <w:top w:type="dxa" w:w="60"/>
              <w:left w:type="dxa" w:w="100"/>
              <w:bottom w:type="dxa" w:w="60"/>
              <w:right w:type="dxa" w:w="100"/>
            </w:tcMar>
          </w:tcPr>
          <w:p>
            <w:pPr>
              <w:spacing w:after="0" w:line="250"/>
            </w:pPr>
            <w:r>
              <w:rPr>
                <w:sz w:val="19"/>
                <w:szCs w:val="19"/>
              </w:rPr>
              <w:t xml:space="preserve">v2 (map, resolve) / v1 (handleError)</w:t>
            </w:r>
          </w:p>
        </w:tc>
      </w:tr>
    </w:tbl>
    <w:p>
      <w:pPr>
        <w:spacing w:after="120"/>
      </w:pPr>
    </w:p>
    <w:p>
      <w:pPr>
        <w:spacing w:after="120" w:line="276"/>
      </w:pPr>
      <w:r>
        <w:rPr>
          <w:b/>
          <w:bCs/>
          <w:sz w:val="21"/>
          <w:szCs w:val="21"/>
        </w:rPr>
        <w:t xml:space="preserve">OData query:</w:t>
      </w:r>
    </w:p>
    <w:p>
      <w:pPr>
        <w:pBdr>
          <w:left w:val="single" w:color="1F4E79" w:sz="12" w:space="6"/>
        </w:pBdr>
        <w:shd w:fill="F2F2F2" w:color="auto" w:val="clear"/>
        <w:spacing w:after="60" w:before="60"/>
        <w:ind w:left="180"/>
      </w:pPr>
      <w:r>
        <w:rPr>
          <w:rFonts w:ascii="Consolas" w:cs="Consolas" w:eastAsia="Consolas" w:hAnsi="Consolas"/>
          <w:sz w:val="17"/>
          <w:szCs w:val="17"/>
        </w:rPr>
        <w:t xml:space="preserve">$filter=(ChangedOn gt datetimeoffset'${property.windowFrom}' and ChangedOn le datetimeoffset'${property.runStartTime}')</w:t>
      </w:r>
    </w:p>
    <w:p>
      <w:pPr>
        <w:pBdr>
          <w:left w:val="single" w:color="1F4E79" w:sz="12" w:space="6"/>
        </w:pBdr>
        <w:shd w:fill="F2F2F2" w:color="auto" w:val="clear"/>
        <w:spacing w:after="60" w:before="60"/>
        <w:ind w:left="180"/>
      </w:pPr>
      <w:r>
        <w:rPr>
          <w:rFonts w:ascii="Consolas" w:cs="Consolas" w:eastAsia="Consolas" w:hAnsi="Consolas"/>
          <w:sz w:val="17"/>
          <w:szCs w:val="17"/>
        </w:rPr>
        <w:t xml:space="preserve">&amp;$orderby=ChangedOn asc</w:t>
      </w:r>
    </w:p>
    <w:p>
      <w:pPr>
        <w:spacing w:after="160"/>
      </w:pPr>
    </w:p>
    <w:p>
      <w:pPr>
        <w:pStyle w:val="Heading2"/>
        <w:spacing w:after="140" w:before="240"/>
      </w:pPr>
      <w:r>
        <w:t xml:space="preserve">10.4 IF-04 — Business Role Changes</w:t>
      </w:r>
    </w:p>
    <w:tbl>
      <w:tblPr>
        <w:tblW w:type="dxa" w:w="9026"/>
        <w:tblBorders>
          <w:top w:val="single" w:color="8EA9DB" w:sz="4"/>
          <w:left w:val="single" w:color="8EA9DB" w:sz="4"/>
          <w:bottom w:val="single" w:color="8EA9DB" w:sz="4"/>
          <w:right w:val="single" w:color="8EA9DB" w:sz="4"/>
          <w:insideH w:val="single" w:color="B4C6E7" w:sz="3"/>
          <w:insideV w:val="single" w:color="B4C6E7" w:sz="3"/>
        </w:tblBorders>
      </w:tblPr>
      <w:tblGrid>
        <w:gridCol w:w="2600"/>
        <w:gridCol w:w="6426"/>
      </w:tblGrid>
      <w:tr>
        <w:tc>
          <w:tcPr>
            <w:tcW w:type="dxa" w:w="2600"/>
            <w:tcMar>
              <w:top w:type="dxa" w:w="60"/>
              <w:left w:type="dxa" w:w="100"/>
              <w:bottom w:type="dxa" w:w="60"/>
              <w:right w:type="dxa" w:w="100"/>
            </w:tcMar>
          </w:tcPr>
          <w:p>
            <w:pPr>
              <w:spacing w:after="0" w:line="250"/>
            </w:pPr>
            <w:r>
              <w:rPr>
                <w:b/>
                <w:bCs/>
                <w:sz w:val="19"/>
                <w:szCs w:val="19"/>
              </w:rPr>
              <w:t xml:space="preserve">CPI artifact</w:t>
            </w:r>
          </w:p>
        </w:tc>
        <w:tc>
          <w:tcPr>
            <w:tcW w:type="dxa" w:w="6426"/>
            <w:tcMar>
              <w:top w:type="dxa" w:w="60"/>
              <w:left w:type="dxa" w:w="100"/>
              <w:bottom w:type="dxa" w:w="60"/>
              <w:right w:type="dxa" w:w="100"/>
            </w:tcMar>
          </w:tcPr>
          <w:p>
            <w:pPr>
              <w:spacing w:after="0" w:line="250"/>
            </w:pPr>
            <w:r>
              <w:rPr>
                <w:sz w:val="19"/>
                <w:szCs w:val="19"/>
              </w:rPr>
              <w:t xml:space="preserve">YY1 Extract Business Role Changes Log from S4HC</w:t>
            </w:r>
          </w:p>
        </w:tc>
      </w:tr>
      <w:tr>
        <w:tc>
          <w:tcPr>
            <w:tcW w:type="dxa" w:w="2600"/>
            <w:tcMar>
              <w:top w:type="dxa" w:w="60"/>
              <w:left w:type="dxa" w:w="100"/>
              <w:bottom w:type="dxa" w:w="60"/>
              <w:right w:type="dxa" w:w="100"/>
            </w:tcMar>
          </w:tcPr>
          <w:p>
            <w:pPr>
              <w:spacing w:after="0" w:line="250"/>
            </w:pPr>
            <w:r>
              <w:rPr>
                <w:b/>
                <w:bCs/>
                <w:sz w:val="19"/>
                <w:szCs w:val="19"/>
              </w:rPr>
              <w:t xml:space="preserve">Comm. scenario</w:t>
            </w:r>
          </w:p>
        </w:tc>
        <w:tc>
          <w:tcPr>
            <w:tcW w:type="dxa" w:w="6426"/>
            <w:tcMar>
              <w:top w:type="dxa" w:w="60"/>
              <w:left w:type="dxa" w:w="100"/>
              <w:bottom w:type="dxa" w:w="60"/>
              <w:right w:type="dxa" w:w="100"/>
            </w:tcMar>
          </w:tcPr>
          <w:p>
            <w:pPr>
              <w:spacing w:after="0" w:line="250"/>
            </w:pPr>
            <w:r>
              <w:rPr>
                <w:sz w:val="19"/>
                <w:szCs w:val="19"/>
              </w:rPr>
              <w:t xml:space="preserve">SAP_COM_0366</w:t>
            </w:r>
          </w:p>
        </w:tc>
      </w:tr>
      <w:tr>
        <w:tc>
          <w:tcPr>
            <w:tcW w:type="dxa" w:w="2600"/>
            <w:tcMar>
              <w:top w:type="dxa" w:w="60"/>
              <w:left w:type="dxa" w:w="100"/>
              <w:bottom w:type="dxa" w:w="60"/>
              <w:right w:type="dxa" w:w="100"/>
            </w:tcMar>
          </w:tcPr>
          <w:p>
            <w:pPr>
              <w:spacing w:after="0" w:line="250"/>
            </w:pPr>
            <w:r>
              <w:rPr>
                <w:b/>
                <w:bCs/>
                <w:sz w:val="19"/>
                <w:szCs w:val="19"/>
              </w:rPr>
              <w:t xml:space="preserve">Protocol</w:t>
            </w:r>
          </w:p>
        </w:tc>
        <w:tc>
          <w:tcPr>
            <w:tcW w:type="dxa" w:w="6426"/>
            <w:tcMar>
              <w:top w:type="dxa" w:w="60"/>
              <w:left w:type="dxa" w:w="100"/>
              <w:bottom w:type="dxa" w:w="60"/>
              <w:right w:type="dxa" w:w="100"/>
            </w:tcMar>
          </w:tcPr>
          <w:p>
            <w:pPr>
              <w:spacing w:after="0" w:line="250"/>
            </w:pPr>
            <w:r>
              <w:rPr>
                <w:sz w:val="19"/>
                <w:szCs w:val="19"/>
              </w:rPr>
              <w:t xml:space="preserve">OData V2</w:t>
            </w:r>
          </w:p>
        </w:tc>
      </w:tr>
      <w:tr>
        <w:tc>
          <w:tcPr>
            <w:tcW w:type="dxa" w:w="2600"/>
            <w:tcMar>
              <w:top w:type="dxa" w:w="60"/>
              <w:left w:type="dxa" w:w="100"/>
              <w:bottom w:type="dxa" w:w="60"/>
              <w:right w:type="dxa" w:w="100"/>
            </w:tcMar>
          </w:tcPr>
          <w:p>
            <w:pPr>
              <w:spacing w:after="0" w:line="250"/>
            </w:pPr>
            <w:r>
              <w:rPr>
                <w:b/>
                <w:bCs/>
                <w:sz w:val="19"/>
                <w:szCs w:val="19"/>
              </w:rPr>
              <w:t xml:space="preserve">Service address</w:t>
            </w:r>
          </w:p>
        </w:tc>
        <w:tc>
          <w:tcPr>
            <w:tcW w:type="dxa" w:w="6426"/>
            <w:tcMar>
              <w:top w:type="dxa" w:w="60"/>
              <w:left w:type="dxa" w:w="100"/>
              <w:bottom w:type="dxa" w:w="60"/>
              <w:right w:type="dxa" w:w="100"/>
            </w:tcMar>
          </w:tcPr>
          <w:p>
            <w:pPr>
              <w:spacing w:after="0" w:line="250"/>
            </w:pPr>
            <w:r>
              <w:rPr>
                <w:sz w:val="19"/>
                <w:szCs w:val="19"/>
              </w:rPr>
              <w:t xml:space="preserve">https://my435863-api.s4hana.cloud.sap/sap/opu/odata/sap/APS_IAM_API_BROLE_CDOC</w:t>
            </w:r>
          </w:p>
        </w:tc>
      </w:tr>
      <w:tr>
        <w:tc>
          <w:tcPr>
            <w:tcW w:type="dxa" w:w="2600"/>
            <w:tcMar>
              <w:top w:type="dxa" w:w="60"/>
              <w:left w:type="dxa" w:w="100"/>
              <w:bottom w:type="dxa" w:w="60"/>
              <w:right w:type="dxa" w:w="100"/>
            </w:tcMar>
          </w:tcPr>
          <w:p>
            <w:pPr>
              <w:spacing w:after="0" w:line="250"/>
            </w:pPr>
            <w:r>
              <w:rPr>
                <w:b/>
                <w:bCs/>
                <w:sz w:val="19"/>
                <w:szCs w:val="19"/>
              </w:rPr>
              <w:t xml:space="preserve">Entity set</w:t>
            </w:r>
          </w:p>
        </w:tc>
        <w:tc>
          <w:tcPr>
            <w:tcW w:type="dxa" w:w="6426"/>
            <w:tcMar>
              <w:top w:type="dxa" w:w="60"/>
              <w:left w:type="dxa" w:w="100"/>
              <w:bottom w:type="dxa" w:w="60"/>
              <w:right w:type="dxa" w:w="100"/>
            </w:tcMar>
          </w:tcPr>
          <w:p>
            <w:pPr>
              <w:spacing w:after="0" w:line="250"/>
            </w:pPr>
            <w:r>
              <w:rPr>
                <w:sz w:val="19"/>
                <w:szCs w:val="19"/>
              </w:rPr>
              <w:t xml:space="preserve">BusinessRoleChanges</w:t>
            </w:r>
          </w:p>
        </w:tc>
      </w:tr>
      <w:tr>
        <w:tc>
          <w:tcPr>
            <w:tcW w:type="dxa" w:w="2600"/>
            <w:tcMar>
              <w:top w:type="dxa" w:w="60"/>
              <w:left w:type="dxa" w:w="100"/>
              <w:bottom w:type="dxa" w:w="60"/>
              <w:right w:type="dxa" w:w="100"/>
            </w:tcMar>
          </w:tcPr>
          <w:p>
            <w:pPr>
              <w:spacing w:after="0" w:line="250"/>
            </w:pPr>
            <w:r>
              <w:rPr>
                <w:b/>
                <w:bCs/>
                <w:sz w:val="19"/>
                <w:szCs w:val="19"/>
              </w:rPr>
              <w:t xml:space="preserve">Receiver participant</w:t>
            </w:r>
          </w:p>
        </w:tc>
        <w:tc>
          <w:tcPr>
            <w:tcW w:type="dxa" w:w="6426"/>
            <w:tcMar>
              <w:top w:type="dxa" w:w="60"/>
              <w:left w:type="dxa" w:w="100"/>
              <w:bottom w:type="dxa" w:w="60"/>
              <w:right w:type="dxa" w:w="100"/>
            </w:tcMar>
          </w:tcPr>
          <w:p>
            <w:pPr>
              <w:spacing w:after="0" w:line="250"/>
            </w:pPr>
            <w:r>
              <w:rPr>
                <w:sz w:val="19"/>
                <w:szCs w:val="19"/>
              </w:rPr>
              <w:t xml:space="preserve">S4_BusinessRoleChanges</w:t>
            </w:r>
          </w:p>
        </w:tc>
      </w:tr>
      <w:tr>
        <w:tc>
          <w:tcPr>
            <w:tcW w:type="dxa" w:w="2600"/>
            <w:tcMar>
              <w:top w:type="dxa" w:w="60"/>
              <w:left w:type="dxa" w:w="100"/>
              <w:bottom w:type="dxa" w:w="60"/>
              <w:right w:type="dxa" w:w="100"/>
            </w:tcMar>
          </w:tcPr>
          <w:p>
            <w:pPr>
              <w:spacing w:after="0" w:line="250"/>
            </w:pPr>
            <w:r>
              <w:rPr>
                <w:b/>
                <w:bCs/>
                <w:sz w:val="19"/>
                <w:szCs w:val="19"/>
              </w:rPr>
              <w:t xml:space="preserve">Timestamp field</w:t>
            </w:r>
          </w:p>
        </w:tc>
        <w:tc>
          <w:tcPr>
            <w:tcW w:type="dxa" w:w="6426"/>
            <w:tcMar>
              <w:top w:type="dxa" w:w="60"/>
              <w:left w:type="dxa" w:w="100"/>
              <w:bottom w:type="dxa" w:w="60"/>
              <w:right w:type="dxa" w:w="100"/>
            </w:tcMar>
          </w:tcPr>
          <w:p>
            <w:pPr>
              <w:spacing w:after="0" w:line="250"/>
            </w:pPr>
            <w:r>
              <w:rPr>
                <w:sz w:val="19"/>
                <w:szCs w:val="19"/>
              </w:rPr>
              <w:t xml:space="preserve">ChangedOn  (Edm.DateTimeOffset (Precision 7))</w:t>
            </w:r>
          </w:p>
        </w:tc>
      </w:tr>
      <w:tr>
        <w:tc>
          <w:tcPr>
            <w:tcW w:type="dxa" w:w="2600"/>
            <w:tcMar>
              <w:top w:type="dxa" w:w="60"/>
              <w:left w:type="dxa" w:w="100"/>
              <w:bottom w:type="dxa" w:w="60"/>
              <w:right w:type="dxa" w:w="100"/>
            </w:tcMar>
          </w:tcPr>
          <w:p>
            <w:pPr>
              <w:spacing w:after="0" w:line="250"/>
            </w:pPr>
            <w:r>
              <w:rPr>
                <w:b/>
                <w:bCs/>
                <w:sz w:val="19"/>
                <w:szCs w:val="19"/>
              </w:rPr>
              <w:t xml:space="preserve">Timestamp sample</w:t>
            </w:r>
          </w:p>
        </w:tc>
        <w:tc>
          <w:tcPr>
            <w:tcW w:type="dxa" w:w="6426"/>
            <w:tcMar>
              <w:top w:type="dxa" w:w="60"/>
              <w:left w:type="dxa" w:w="100"/>
              <w:bottom w:type="dxa" w:w="60"/>
              <w:right w:type="dxa" w:w="100"/>
            </w:tcMar>
          </w:tcPr>
          <w:p>
            <w:pPr>
              <w:spacing w:after="0" w:line="250"/>
            </w:pPr>
            <w:r>
              <w:rPr>
                <w:sz w:val="19"/>
                <w:szCs w:val="19"/>
              </w:rPr>
              <w:t xml:space="preserve">2026-06-25T00:08:54.000   — timezone designator: No — assumed UTC</w:t>
            </w:r>
          </w:p>
        </w:tc>
      </w:tr>
      <w:tr>
        <w:tc>
          <w:tcPr>
            <w:tcW w:type="dxa" w:w="2600"/>
            <w:tcMar>
              <w:top w:type="dxa" w:w="60"/>
              <w:left w:type="dxa" w:w="100"/>
              <w:bottom w:type="dxa" w:w="60"/>
              <w:right w:type="dxa" w:w="100"/>
            </w:tcMar>
          </w:tcPr>
          <w:p>
            <w:pPr>
              <w:spacing w:after="0" w:line="250"/>
            </w:pPr>
            <w:r>
              <w:rPr>
                <w:b/>
                <w:bCs/>
                <w:sz w:val="19"/>
                <w:szCs w:val="19"/>
              </w:rPr>
              <w:t xml:space="preserve">$select</w:t>
            </w:r>
          </w:p>
        </w:tc>
        <w:tc>
          <w:tcPr>
            <w:tcW w:type="dxa" w:w="6426"/>
            <w:tcMar>
              <w:top w:type="dxa" w:w="60"/>
              <w:left w:type="dxa" w:w="100"/>
              <w:bottom w:type="dxa" w:w="60"/>
              <w:right w:type="dxa" w:w="100"/>
            </w:tcMar>
          </w:tcPr>
          <w:p>
            <w:pPr>
              <w:spacing w:after="0" w:line="250"/>
            </w:pPr>
            <w:r>
              <w:rPr>
                <w:sz w:val="19"/>
                <w:szCs w:val="19"/>
              </w:rPr>
              <w:t xml:space="preserve">12 fields — all EDMX properties (see Appendix A)</w:t>
            </w:r>
          </w:p>
        </w:tc>
      </w:tr>
      <w:tr>
        <w:tc>
          <w:tcPr>
            <w:tcW w:type="dxa" w:w="2600"/>
            <w:tcMar>
              <w:top w:type="dxa" w:w="60"/>
              <w:left w:type="dxa" w:w="100"/>
              <w:bottom w:type="dxa" w:w="60"/>
              <w:right w:type="dxa" w:w="100"/>
            </w:tcMar>
          </w:tcPr>
          <w:p>
            <w:pPr>
              <w:spacing w:after="0" w:line="250"/>
            </w:pPr>
            <w:r>
              <w:rPr>
                <w:b/>
                <w:bCs/>
                <w:sz w:val="19"/>
                <w:szCs w:val="19"/>
              </w:rPr>
              <w:t xml:space="preserve">Page size</w:t>
            </w:r>
          </w:p>
        </w:tc>
        <w:tc>
          <w:tcPr>
            <w:tcW w:type="dxa" w:w="6426"/>
            <w:tcMar>
              <w:top w:type="dxa" w:w="60"/>
              <w:left w:type="dxa" w:w="100"/>
              <w:bottom w:type="dxa" w:w="60"/>
              <w:right w:type="dxa" w:w="100"/>
            </w:tcMar>
          </w:tcPr>
          <w:p>
            <w:pPr>
              <w:spacing w:after="0" w:line="250"/>
            </w:pPr>
            <w:r>
              <w:rPr>
                <w:sz w:val="19"/>
                <w:szCs w:val="19"/>
              </w:rPr>
              <w:t xml:space="preserve">1000 (odatapagesize)</w:t>
            </w:r>
          </w:p>
        </w:tc>
      </w:tr>
      <w:tr>
        <w:tc>
          <w:tcPr>
            <w:tcW w:type="dxa" w:w="2600"/>
            <w:tcMar>
              <w:top w:type="dxa" w:w="60"/>
              <w:left w:type="dxa" w:w="100"/>
              <w:bottom w:type="dxa" w:w="60"/>
              <w:right w:type="dxa" w:w="100"/>
            </w:tcMar>
          </w:tcPr>
          <w:p>
            <w:pPr>
              <w:spacing w:after="0" w:line="250"/>
            </w:pPr>
            <w:r>
              <w:rPr>
                <w:b/>
                <w:bCs/>
                <w:sz w:val="19"/>
                <w:szCs w:val="19"/>
              </w:rPr>
              <w:t xml:space="preserve">Endpoint</w:t>
            </w:r>
          </w:p>
        </w:tc>
        <w:tc>
          <w:tcPr>
            <w:tcW w:type="dxa" w:w="6426"/>
            <w:tcMar>
              <w:top w:type="dxa" w:w="60"/>
              <w:left w:type="dxa" w:w="100"/>
              <w:bottom w:type="dxa" w:w="60"/>
              <w:right w:type="dxa" w:w="100"/>
            </w:tcMar>
          </w:tcPr>
          <w:p>
            <w:pPr>
              <w:spacing w:after="0" w:line="250"/>
            </w:pPr>
            <w:r>
              <w:rPr>
                <w:sz w:val="19"/>
                <w:szCs w:val="19"/>
              </w:rPr>
              <w:t xml:space="preserve">/extract/businessrolechanges</w:t>
            </w:r>
          </w:p>
        </w:tc>
      </w:tr>
      <w:tr>
        <w:tc>
          <w:tcPr>
            <w:tcW w:type="dxa" w:w="2600"/>
            <w:tcMar>
              <w:top w:type="dxa" w:w="60"/>
              <w:left w:type="dxa" w:w="100"/>
              <w:bottom w:type="dxa" w:w="60"/>
              <w:right w:type="dxa" w:w="100"/>
            </w:tcMar>
          </w:tcPr>
          <w:p>
            <w:pPr>
              <w:spacing w:after="0" w:line="250"/>
            </w:pPr>
            <w:r>
              <w:rPr>
                <w:b/>
                <w:bCs/>
                <w:sz w:val="19"/>
                <w:szCs w:val="19"/>
              </w:rPr>
              <w:t xml:space="preserve">Data Store / entry</w:t>
            </w:r>
          </w:p>
        </w:tc>
        <w:tc>
          <w:tcPr>
            <w:tcW w:type="dxa" w:w="6426"/>
            <w:tcMar>
              <w:top w:type="dxa" w:w="60"/>
              <w:left w:type="dxa" w:w="100"/>
              <w:bottom w:type="dxa" w:w="60"/>
              <w:right w:type="dxa" w:w="100"/>
            </w:tcMar>
          </w:tcPr>
          <w:p>
            <w:pPr>
              <w:spacing w:after="0" w:line="250"/>
            </w:pPr>
            <w:r>
              <w:rPr>
                <w:sz w:val="19"/>
                <w:szCs w:val="19"/>
              </w:rPr>
              <w:t xml:space="preserve">BUS_ROLE_DELTA / LastRun</w:t>
            </w:r>
          </w:p>
        </w:tc>
      </w:tr>
      <w:tr>
        <w:tc>
          <w:tcPr>
            <w:tcW w:type="dxa" w:w="2600"/>
            <w:tcMar>
              <w:top w:type="dxa" w:w="60"/>
              <w:left w:type="dxa" w:w="100"/>
              <w:bottom w:type="dxa" w:w="60"/>
              <w:right w:type="dxa" w:w="100"/>
            </w:tcMar>
          </w:tcPr>
          <w:p>
            <w:pPr>
              <w:spacing w:after="0" w:line="250"/>
            </w:pPr>
            <w:r>
              <w:rPr>
                <w:b/>
                <w:bCs/>
                <w:sz w:val="19"/>
                <w:szCs w:val="19"/>
              </w:rPr>
              <w:t xml:space="preserve">Splunk sourcetype</w:t>
            </w:r>
          </w:p>
        </w:tc>
        <w:tc>
          <w:tcPr>
            <w:tcW w:type="dxa" w:w="6426"/>
            <w:tcMar>
              <w:top w:type="dxa" w:w="60"/>
              <w:left w:type="dxa" w:w="100"/>
              <w:bottom w:type="dxa" w:w="60"/>
              <w:right w:type="dxa" w:w="100"/>
            </w:tcMar>
          </w:tcPr>
          <w:p>
            <w:pPr>
              <w:spacing w:after="0" w:line="250"/>
            </w:pPr>
            <w:r>
              <w:rPr>
                <w:sz w:val="19"/>
                <w:szCs w:val="19"/>
              </w:rPr>
              <w:t xml:space="preserve">sap:s4hana:cloud:rolechanges</w:t>
            </w:r>
          </w:p>
        </w:tc>
      </w:tr>
      <w:tr>
        <w:tc>
          <w:tcPr>
            <w:tcW w:type="dxa" w:w="2600"/>
            <w:tcMar>
              <w:top w:type="dxa" w:w="60"/>
              <w:left w:type="dxa" w:w="100"/>
              <w:bottom w:type="dxa" w:w="60"/>
              <w:right w:type="dxa" w:w="100"/>
            </w:tcMar>
          </w:tcPr>
          <w:p>
            <w:pPr>
              <w:spacing w:after="0" w:line="250"/>
            </w:pPr>
            <w:r>
              <w:rPr>
                <w:b/>
                <w:bCs/>
                <w:sz w:val="19"/>
                <w:szCs w:val="19"/>
              </w:rPr>
              <w:t xml:space="preserve">Splunk source</w:t>
            </w:r>
          </w:p>
        </w:tc>
        <w:tc>
          <w:tcPr>
            <w:tcW w:type="dxa" w:w="6426"/>
            <w:tcMar>
              <w:top w:type="dxa" w:w="60"/>
              <w:left w:type="dxa" w:w="100"/>
              <w:bottom w:type="dxa" w:w="60"/>
              <w:right w:type="dxa" w:w="100"/>
            </w:tcMar>
          </w:tcPr>
          <w:p>
            <w:pPr>
              <w:spacing w:after="0" w:line="250"/>
            </w:pPr>
            <w:r>
              <w:rPr>
                <w:sz w:val="19"/>
                <w:szCs w:val="19"/>
              </w:rPr>
              <w:t xml:space="preserve">sap:cpi:businessrolechangeslog</w:t>
            </w:r>
          </w:p>
        </w:tc>
      </w:tr>
      <w:tr>
        <w:tc>
          <w:tcPr>
            <w:tcW w:type="dxa" w:w="2600"/>
            <w:tcMar>
              <w:top w:type="dxa" w:w="60"/>
              <w:left w:type="dxa" w:w="100"/>
              <w:bottom w:type="dxa" w:w="60"/>
              <w:right w:type="dxa" w:w="100"/>
            </w:tcMar>
          </w:tcPr>
          <w:p>
            <w:pPr>
              <w:spacing w:after="0" w:line="250"/>
            </w:pPr>
            <w:r>
              <w:rPr>
                <w:b/>
                <w:bCs/>
                <w:sz w:val="19"/>
                <w:szCs w:val="19"/>
              </w:rPr>
              <w:t xml:space="preserve">XML-to-JSON path</w:t>
            </w:r>
          </w:p>
        </w:tc>
        <w:tc>
          <w:tcPr>
            <w:tcW w:type="dxa" w:w="6426"/>
            <w:tcMar>
              <w:top w:type="dxa" w:w="60"/>
              <w:left w:type="dxa" w:w="100"/>
              <w:bottom w:type="dxa" w:w="60"/>
              <w:right w:type="dxa" w:w="100"/>
            </w:tcMar>
          </w:tcPr>
          <w:p>
            <w:pPr>
              <w:spacing w:after="0" w:line="250"/>
            </w:pPr>
            <w:r>
              <w:rPr>
                <w:sz w:val="19"/>
                <w:szCs w:val="19"/>
              </w:rPr>
              <w:t xml:space="preserve">BusinessRoleChanges/BusinessRoleChangesType</w:t>
            </w:r>
          </w:p>
        </w:tc>
      </w:tr>
      <w:tr>
        <w:tc>
          <w:tcPr>
            <w:tcW w:type="dxa" w:w="2600"/>
            <w:tcMar>
              <w:top w:type="dxa" w:w="60"/>
              <w:left w:type="dxa" w:w="100"/>
              <w:bottom w:type="dxa" w:w="60"/>
              <w:right w:type="dxa" w:w="100"/>
            </w:tcMar>
          </w:tcPr>
          <w:p>
            <w:pPr>
              <w:spacing w:after="0" w:line="250"/>
            </w:pPr>
            <w:r>
              <w:rPr>
                <w:b/>
                <w:bCs/>
                <w:sz w:val="19"/>
                <w:szCs w:val="19"/>
              </w:rPr>
              <w:t xml:space="preserve">Groovy flowstep versions</w:t>
            </w:r>
          </w:p>
        </w:tc>
        <w:tc>
          <w:tcPr>
            <w:tcW w:type="dxa" w:w="6426"/>
            <w:tcMar>
              <w:top w:type="dxa" w:w="60"/>
              <w:left w:type="dxa" w:w="100"/>
              <w:bottom w:type="dxa" w:w="60"/>
              <w:right w:type="dxa" w:w="100"/>
            </w:tcMar>
          </w:tcPr>
          <w:p>
            <w:pPr>
              <w:spacing w:after="0" w:line="250"/>
            </w:pPr>
            <w:r>
              <w:rPr>
                <w:sz w:val="19"/>
                <w:szCs w:val="19"/>
              </w:rPr>
              <w:t xml:space="preserve">v1 (all three)</w:t>
            </w:r>
          </w:p>
        </w:tc>
      </w:tr>
    </w:tbl>
    <w:p>
      <w:pPr>
        <w:spacing w:after="120"/>
      </w:pPr>
    </w:p>
    <w:p>
      <w:pPr>
        <w:spacing w:after="120" w:line="276"/>
      </w:pPr>
      <w:r>
        <w:rPr>
          <w:b/>
          <w:bCs/>
          <w:sz w:val="21"/>
          <w:szCs w:val="21"/>
        </w:rPr>
        <w:t xml:space="preserve">OData query:</w:t>
      </w:r>
    </w:p>
    <w:p>
      <w:pPr>
        <w:pBdr>
          <w:left w:val="single" w:color="1F4E79" w:sz="12" w:space="6"/>
        </w:pBdr>
        <w:shd w:fill="F2F2F2" w:color="auto" w:val="clear"/>
        <w:spacing w:after="60" w:before="60"/>
        <w:ind w:left="180"/>
      </w:pPr>
      <w:r>
        <w:rPr>
          <w:rFonts w:ascii="Consolas" w:cs="Consolas" w:eastAsia="Consolas" w:hAnsi="Consolas"/>
          <w:sz w:val="17"/>
          <w:szCs w:val="17"/>
        </w:rPr>
        <w:t xml:space="preserve">$filter=(ChangedOn gt datetimeoffset'${property.windowFrom}' and ChangedOn le datetimeoffset'${property.runStartTime}')</w:t>
      </w:r>
    </w:p>
    <w:p>
      <w:pPr>
        <w:pBdr>
          <w:left w:val="single" w:color="1F4E79" w:sz="12" w:space="6"/>
        </w:pBdr>
        <w:shd w:fill="F2F2F2" w:color="auto" w:val="clear"/>
        <w:spacing w:after="60" w:before="60"/>
        <w:ind w:left="180"/>
      </w:pPr>
      <w:r>
        <w:rPr>
          <w:rFonts w:ascii="Consolas" w:cs="Consolas" w:eastAsia="Consolas" w:hAnsi="Consolas"/>
          <w:sz w:val="17"/>
          <w:szCs w:val="17"/>
        </w:rPr>
        <w:t xml:space="preserve">&amp;$orderby=ChangedOn asc</w:t>
      </w:r>
    </w:p>
    <w:p>
      <w:pPr>
        <w:spacing w:after="160"/>
      </w:pPr>
    </w:p>
    <w:p>
      <w:r>
        <w:br w:type="page"/>
      </w:r>
    </w:p>
    <w:p>
      <w:pPr>
        <w:pStyle w:val="Heading1"/>
        <w:spacing w:after="140" w:before="320"/>
      </w:pPr>
      <w:r>
        <w:t xml:space="preserve">11. Groovy Script Specifications</w:t>
      </w:r>
    </w:p>
    <w:p>
      <w:pPr>
        <w:spacing w:after="120" w:line="276"/>
      </w:pPr>
      <w:r>
        <w:rPr>
          <w:sz w:val="21"/>
          <w:szCs w:val="21"/>
        </w:rPr>
        <w:t xml:space="preserve">Each interface carries three scripts. Note that SAP Groovy flowstep versions differ per artifact: version 2.x scripts declare package script.v2 and import com.sap.it.script.v2.api.Message and reside under script/v2/; version 1.x scripts import com.sap.gateway.ip.core.customdev.util.Message and reside under script/. A script's file API must match its flow-step version or the step fails at runtime.</w:t>
      </w:r>
    </w:p>
    <w:p>
      <w:pPr>
        <w:spacing w:after="140"/>
      </w:pPr>
    </w:p>
    <w:tbl>
      <w:tblPr>
        <w:tblW w:type="dxa" w:w="9026"/>
        <w:tblBorders>
          <w:top w:val="single" w:color="8EA9DB" w:sz="4"/>
          <w:left w:val="single" w:color="8EA9DB" w:sz="4"/>
          <w:bottom w:val="single" w:color="8EA9DB" w:sz="4"/>
          <w:right w:val="single" w:color="8EA9DB" w:sz="4"/>
          <w:insideH w:val="single" w:color="B4C6E7" w:sz="3"/>
          <w:insideV w:val="single" w:color="B4C6E7" w:sz="3"/>
        </w:tblBorders>
      </w:tblPr>
      <w:tblGrid>
        <w:gridCol w:w="2200"/>
        <w:gridCol w:w="6826"/>
      </w:tblGrid>
      <w:tr>
        <w:tc>
          <w:tcPr>
            <w:tcW w:type="dxa" w:w="2200"/>
            <w:tcMar>
              <w:top w:type="dxa" w:w="60"/>
              <w:left w:type="dxa" w:w="100"/>
              <w:bottom w:type="dxa" w:w="60"/>
              <w:right w:type="dxa" w:w="100"/>
            </w:tcMar>
          </w:tcPr>
          <w:p>
            <w:pPr>
              <w:spacing w:after="0" w:line="250"/>
            </w:pPr>
            <w:r>
              <w:rPr>
                <w:b/>
                <w:bCs/>
                <w:sz w:val="19"/>
                <w:szCs w:val="19"/>
              </w:rPr>
              <w:t xml:space="preserve">resolveWindow.groovy</w:t>
            </w:r>
          </w:p>
        </w:tc>
        <w:tc>
          <w:tcPr>
            <w:tcW w:type="dxa" w:w="6826"/>
            <w:tcMar>
              <w:top w:type="dxa" w:w="60"/>
              <w:left w:type="dxa" w:w="100"/>
              <w:bottom w:type="dxa" w:w="60"/>
              <w:right w:type="dxa" w:w="100"/>
            </w:tcMar>
          </w:tcPr>
          <w:p>
            <w:pPr>
              <w:spacing w:after="0" w:line="250"/>
            </w:pPr>
            <w:r>
              <w:rPr>
                <w:sz w:val="19"/>
                <w:szCs w:val="19"/>
              </w:rPr>
              <w:t xml:space="preserve">Reads the Data Store Get result. Bootstraps the window on first run, applies the maxWindowMinutes cap, and sets windowFrom, runStartTime, firstRun, caughtUp, truncated, the acc accumulator and the envelope metadata properties.</w:t>
            </w:r>
          </w:p>
        </w:tc>
      </w:tr>
      <w:tr>
        <w:tc>
          <w:tcPr>
            <w:tcW w:type="dxa" w:w="2200"/>
            <w:tcMar>
              <w:top w:type="dxa" w:w="60"/>
              <w:left w:type="dxa" w:w="100"/>
              <w:bottom w:type="dxa" w:w="60"/>
              <w:right w:type="dxa" w:w="100"/>
            </w:tcMar>
          </w:tcPr>
          <w:p>
            <w:pPr>
              <w:spacing w:after="0" w:line="250"/>
            </w:pPr>
            <w:r>
              <w:rPr>
                <w:b/>
                <w:bCs/>
                <w:sz w:val="19"/>
                <w:szCs w:val="19"/>
              </w:rPr>
              <w:t xml:space="preserve">mapAndAccumulate.groovy</w:t>
            </w:r>
          </w:p>
        </w:tc>
        <w:tc>
          <w:tcPr>
            <w:tcW w:type="dxa" w:w="6826"/>
            <w:tcMar>
              <w:top w:type="dxa" w:w="60"/>
              <w:left w:type="dxa" w:w="100"/>
              <w:bottom w:type="dxa" w:w="60"/>
              <w:right w:type="dxa" w:w="100"/>
            </w:tcMar>
          </w:tcPr>
          <w:p>
            <w:pPr>
              <w:spacing w:after="0" w:line="250"/>
            </w:pPr>
            <w:r>
              <w:rPr>
                <w:sz w:val="19"/>
                <w:szCs w:val="19"/>
              </w:rPr>
              <w:t xml:space="preserve">Runs once per page inside the loop. Streams the page body via a Reader, extracts the record array, maps each record to a HEC envelope with a tolerant timestamp parse, and appends to the acc StringBuilder. Maintains totalCount and noTimeCount.</w:t>
            </w:r>
          </w:p>
        </w:tc>
      </w:tr>
      <w:tr>
        <w:tc>
          <w:tcPr>
            <w:tcW w:type="dxa" w:w="2200"/>
            <w:tcMar>
              <w:top w:type="dxa" w:w="60"/>
              <w:left w:type="dxa" w:w="100"/>
              <w:bottom w:type="dxa" w:w="60"/>
              <w:right w:type="dxa" w:w="100"/>
            </w:tcMar>
          </w:tcPr>
          <w:p>
            <w:pPr>
              <w:spacing w:after="0" w:line="250"/>
            </w:pPr>
            <w:r>
              <w:rPr>
                <w:b/>
                <w:bCs/>
                <w:sz w:val="19"/>
                <w:szCs w:val="19"/>
              </w:rPr>
              <w:t xml:space="preserve">handleError.groovy</w:t>
            </w:r>
          </w:p>
        </w:tc>
        <w:tc>
          <w:tcPr>
            <w:tcW w:type="dxa" w:w="6826"/>
            <w:tcMar>
              <w:top w:type="dxa" w:w="60"/>
              <w:left w:type="dxa" w:w="100"/>
              <w:bottom w:type="dxa" w:w="60"/>
              <w:right w:type="dxa" w:w="100"/>
            </w:tcMar>
          </w:tcPr>
          <w:p>
            <w:pPr>
              <w:spacing w:after="0" w:line="250"/>
            </w:pPr>
            <w:r>
              <w:rPr>
                <w:sz w:val="19"/>
                <w:szCs w:val="19"/>
              </w:rPr>
              <w:t xml:space="preserve">Runs in the Exception Subprocess. Builds a JSON error body, stamps window bounds and the MPL custom status SECAUDIT_FAILED, and sets HTTP 500.</w:t>
            </w:r>
          </w:p>
        </w:tc>
      </w:tr>
    </w:tbl>
    <w:p>
      <w:pPr>
        <w:pStyle w:val="Heading2"/>
        <w:spacing w:after="140" w:before="240"/>
      </w:pPr>
      <w:r>
        <w:t xml:space="preserve">11.1 Memory design</w:t>
      </w:r>
    </w:p>
    <w:p>
      <w:pPr>
        <w:spacing w:after="120" w:line="276"/>
      </w:pPr>
      <w:r>
        <w:rPr>
          <w:sz w:val="21"/>
          <w:szCs w:val="21"/>
        </w:rPr>
        <w:t xml:space="preserve">The accumulator is held as a StringBuilder in an exchange property rather than repeated string concatenation, avoiding quadratic copying as pages accumulate. This bounds the cost of buffering but does not bound the volume — the window cap in section 6.3 is the actual memory control.</w:t>
      </w:r>
    </w:p>
    <w:p>
      <w:r>
        <w:br w:type="page"/>
      </w:r>
    </w:p>
    <w:p>
      <w:pPr>
        <w:pStyle w:val="Heading1"/>
        <w:spacing w:after="140" w:before="320"/>
      </w:pPr>
      <w:r>
        <w:t xml:space="preserve">12. Error Handling and Recovery</w:t>
      </w:r>
    </w:p>
    <w:p>
      <w:pPr>
        <w:spacing w:after="120" w:line="276"/>
      </w:pPr>
      <w:r>
        <w:rPr>
          <w:sz w:val="21"/>
          <w:szCs w:val="21"/>
        </w:rPr>
        <w:t xml:space="preserve">Each interface contains an Exception Subprocess that catches any error raised in the main process, including errors propagated from the pagination sub-process.</w:t>
      </w:r>
    </w:p>
    <w:p>
      <w:pPr>
        <w:pBdr>
          <w:left w:val="single" w:color="1F4E79" w:sz="12" w:space="6"/>
        </w:pBdr>
        <w:shd w:fill="F2F2F2" w:color="auto" w:val="clear"/>
        <w:spacing w:after="60" w:before="60"/>
        <w:ind w:left="180"/>
      </w:pPr>
      <w:r>
        <w:rPr>
          <w:rFonts w:ascii="Consolas" w:cs="Consolas" w:eastAsia="Consolas" w:hAnsi="Consolas"/>
          <w:sz w:val="17"/>
          <w:szCs w:val="17"/>
        </w:rPr>
        <w:t xml:space="preserve">Error Start -&gt; Handle Error (Groovy) -&gt; Error End</w:t>
      </w:r>
    </w:p>
    <w:p>
      <w:pPr>
        <w:spacing w:after="120" w:line="276"/>
      </w:pPr>
      <w:r>
        <w:rPr>
          <w:sz w:val="21"/>
          <w:szCs w:val="21"/>
        </w:rPr>
        <w:t xml:space="preserve">On error the interface:</w:t>
      </w:r>
    </w:p>
    <w:p>
      <w:pPr>
        <w:pStyle w:val="ListParagraph"/>
        <w:numPr>
          <w:ilvl w:val="0"/>
          <w:numId w:val="2"/>
        </w:numPr>
        <w:spacing w:after="70" w:line="276"/>
      </w:pPr>
      <w:r>
        <w:rPr>
          <w:sz w:val="21"/>
          <w:szCs w:val="21"/>
        </w:rPr>
        <w:t xml:space="preserve">Returns HTTP 500 with a JSON error body naming the interface, the error text and the attempted window.</w:t>
      </w:r>
    </w:p>
    <w:p>
      <w:pPr>
        <w:pStyle w:val="ListParagraph"/>
        <w:numPr>
          <w:ilvl w:val="0"/>
          <w:numId w:val="2"/>
        </w:numPr>
        <w:spacing w:after="70" w:line="276"/>
      </w:pPr>
      <w:r>
        <w:rPr>
          <w:sz w:val="21"/>
          <w:szCs w:val="21"/>
        </w:rPr>
        <w:t xml:space="preserve">Sets the MPL custom status SECAUDIT_FAILED and stamps the window bounds as MPL custom headers.</w:t>
      </w:r>
    </w:p>
    <w:p>
      <w:pPr>
        <w:pStyle w:val="ListParagraph"/>
        <w:numPr>
          <w:ilvl w:val="0"/>
          <w:numId w:val="2"/>
        </w:numPr>
        <w:spacing w:after="70" w:line="276"/>
      </w:pPr>
      <w:r>
        <w:rPr>
          <w:sz w:val="21"/>
          <w:szCs w:val="21"/>
        </w:rPr>
        <w:t xml:space="preserve">Does NOT advance the high-water — the Save Last Run step lies only on the success path.</w:t>
      </w:r>
    </w:p>
    <w:p>
      <w:pPr>
        <w:pStyle w:val="Heading2"/>
        <w:spacing w:after="140" w:before="240"/>
      </w:pPr>
      <w:r>
        <w:t xml:space="preserve">12.1 Recovery semantics</w:t>
      </w:r>
    </w:p>
    <w:p>
      <w:pPr>
        <w:spacing w:after="120" w:line="276"/>
      </w:pPr>
      <w:r>
        <w:rPr>
          <w:sz w:val="21"/>
          <w:szCs w:val="21"/>
        </w:rPr>
        <w:t xml:space="preserve">Because the high-water is written only after a successful extraction loop, any failure leaves the previous value in place and the same window is re-extracted on the next invocation. No manual replay is required and no events are lost (satisfying BR-02 and BR-05). The cost is possible duplication, addressed by consumer-side deduplication (section 9.2).</w:t>
      </w:r>
    </w:p>
    <w:p>
      <w:pPr>
        <w:pStyle w:val="Heading2"/>
        <w:spacing w:after="140" w:before="240"/>
      </w:pPr>
      <w:r>
        <w:t xml:space="preserve">12.2 Residual risk</w:t>
      </w:r>
    </w:p>
    <w:p>
      <w:pPr>
        <w:spacing w:after="120" w:line="276"/>
      </w:pPr>
      <w:r>
        <w:rPr>
          <w:sz w:val="21"/>
          <w:szCs w:val="21"/>
        </w:rPr>
        <w:t xml:space="preserve">The high-water advances before the consumer confirms receipt of the reply. If the HTTP response is lost in transit after CPI has committed the high-water, that bounded window is not re-extracted automatically. Mitigation: the consumer persists X-Next-Since and can request an explicit replay; deduplication makes re-requests safe.</w:t>
      </w:r>
    </w:p>
    <w:p>
      <w:r>
        <w:br w:type="page"/>
      </w:r>
    </w:p>
    <w:p>
      <w:pPr>
        <w:pStyle w:val="Heading1"/>
        <w:spacing w:after="140" w:before="320"/>
      </w:pPr>
      <w:r>
        <w:t xml:space="preserve">13. Security</w:t>
      </w:r>
    </w:p>
    <w:tbl>
      <w:tblPr>
        <w:tblW w:type="dxa" w:w="9026"/>
        <w:tblBorders>
          <w:top w:val="single" w:color="8EA9DB" w:sz="4"/>
          <w:left w:val="single" w:color="8EA9DB" w:sz="4"/>
          <w:bottom w:val="single" w:color="8EA9DB" w:sz="4"/>
          <w:right w:val="single" w:color="8EA9DB" w:sz="4"/>
          <w:insideH w:val="single" w:color="B4C6E7" w:sz="3"/>
          <w:insideV w:val="single" w:color="B4C6E7" w:sz="3"/>
        </w:tblBorders>
      </w:tblPr>
      <w:tblGrid>
        <w:gridCol w:w="2600"/>
        <w:gridCol w:w="6426"/>
      </w:tblGrid>
      <w:tr>
        <w:tc>
          <w:tcPr>
            <w:tcW w:type="dxa" w:w="2600"/>
            <w:tcMar>
              <w:top w:type="dxa" w:w="60"/>
              <w:left w:type="dxa" w:w="100"/>
              <w:bottom w:type="dxa" w:w="60"/>
              <w:right w:type="dxa" w:w="100"/>
            </w:tcMar>
          </w:tcPr>
          <w:p>
            <w:pPr>
              <w:spacing w:after="0" w:line="250"/>
            </w:pPr>
            <w:r>
              <w:rPr>
                <w:b/>
                <w:bCs/>
                <w:sz w:val="19"/>
                <w:szCs w:val="19"/>
              </w:rPr>
              <w:t xml:space="preserve">Inbound (consumer to CPI)</w:t>
            </w:r>
          </w:p>
        </w:tc>
        <w:tc>
          <w:tcPr>
            <w:tcW w:type="dxa" w:w="6426"/>
            <w:tcMar>
              <w:top w:type="dxa" w:w="60"/>
              <w:left w:type="dxa" w:w="100"/>
              <w:bottom w:type="dxa" w:w="60"/>
              <w:right w:type="dxa" w:w="100"/>
            </w:tcMar>
          </w:tcPr>
          <w:p>
            <w:pPr>
              <w:spacing w:after="0" w:line="250"/>
            </w:pPr>
            <w:r>
              <w:rPr>
                <w:sz w:val="19"/>
                <w:szCs w:val="19"/>
              </w:rPr>
              <w:t xml:space="preserve">HTTPS with role-based authorisation. Currently the standard role ESBMessaging.send; a dedicated custom role scoped to these four endpoints is recommended for production.</w:t>
            </w:r>
          </w:p>
        </w:tc>
      </w:tr>
      <w:tr>
        <w:tc>
          <w:tcPr>
            <w:tcW w:type="dxa" w:w="2600"/>
            <w:tcMar>
              <w:top w:type="dxa" w:w="60"/>
              <w:left w:type="dxa" w:w="100"/>
              <w:bottom w:type="dxa" w:w="60"/>
              <w:right w:type="dxa" w:w="100"/>
            </w:tcMar>
          </w:tcPr>
          <w:p>
            <w:pPr>
              <w:spacing w:after="0" w:line="250"/>
            </w:pPr>
            <w:r>
              <w:rPr>
                <w:b/>
                <w:bCs/>
                <w:sz w:val="19"/>
                <w:szCs w:val="19"/>
              </w:rPr>
              <w:t xml:space="preserve">Outbound (CPI to S/4HANA)</w:t>
            </w:r>
          </w:p>
        </w:tc>
        <w:tc>
          <w:tcPr>
            <w:tcW w:type="dxa" w:w="6426"/>
            <w:tcMar>
              <w:top w:type="dxa" w:w="60"/>
              <w:left w:type="dxa" w:w="100"/>
              <w:bottom w:type="dxa" w:w="60"/>
              <w:right w:type="dxa" w:w="100"/>
            </w:tcMar>
          </w:tcPr>
          <w:p>
            <w:pPr>
              <w:spacing w:after="0" w:line="250"/>
            </w:pPr>
            <w:r>
              <w:rPr>
                <w:sz w:val="19"/>
                <w:szCs w:val="19"/>
              </w:rPr>
              <w:t xml:space="preserve">Basic authentication using the deployed credential alias S4HC_AUDIT_DEV. Certificate-based authentication is recommended for production.</w:t>
            </w:r>
          </w:p>
        </w:tc>
      </w:tr>
      <w:tr>
        <w:tc>
          <w:tcPr>
            <w:tcW w:type="dxa" w:w="2600"/>
            <w:tcMar>
              <w:top w:type="dxa" w:w="60"/>
              <w:left w:type="dxa" w:w="100"/>
              <w:bottom w:type="dxa" w:w="60"/>
              <w:right w:type="dxa" w:w="100"/>
            </w:tcMar>
          </w:tcPr>
          <w:p>
            <w:pPr>
              <w:spacing w:after="0" w:line="250"/>
            </w:pPr>
            <w:r>
              <w:rPr>
                <w:b/>
                <w:bCs/>
                <w:sz w:val="19"/>
                <w:szCs w:val="19"/>
              </w:rPr>
              <w:t xml:space="preserve">Credential storage</w:t>
            </w:r>
          </w:p>
        </w:tc>
        <w:tc>
          <w:tcPr>
            <w:tcW w:type="dxa" w:w="6426"/>
            <w:tcMar>
              <w:top w:type="dxa" w:w="60"/>
              <w:left w:type="dxa" w:w="100"/>
              <w:bottom w:type="dxa" w:w="60"/>
              <w:right w:type="dxa" w:w="100"/>
            </w:tcMar>
          </w:tcPr>
          <w:p>
            <w:pPr>
              <w:spacing w:after="0" w:line="250"/>
            </w:pPr>
            <w:r>
              <w:rPr>
                <w:sz w:val="19"/>
                <w:szCs w:val="19"/>
              </w:rPr>
              <w:t xml:space="preserve">All credentials are deployed CPI Security Material referenced by alias. No secret is stored in the iFlow body, in parameters.prop, or in source control.</w:t>
            </w:r>
          </w:p>
        </w:tc>
      </w:tr>
      <w:tr>
        <w:tc>
          <w:tcPr>
            <w:tcW w:type="dxa" w:w="2600"/>
            <w:tcMar>
              <w:top w:type="dxa" w:w="60"/>
              <w:left w:type="dxa" w:w="100"/>
              <w:bottom w:type="dxa" w:w="60"/>
              <w:right w:type="dxa" w:w="100"/>
            </w:tcMar>
          </w:tcPr>
          <w:p>
            <w:pPr>
              <w:spacing w:after="0" w:line="250"/>
            </w:pPr>
            <w:r>
              <w:rPr>
                <w:b/>
                <w:bCs/>
                <w:sz w:val="19"/>
                <w:szCs w:val="19"/>
              </w:rPr>
              <w:t xml:space="preserve">Transport</w:t>
            </w:r>
          </w:p>
        </w:tc>
        <w:tc>
          <w:tcPr>
            <w:tcW w:type="dxa" w:w="6426"/>
            <w:tcMar>
              <w:top w:type="dxa" w:w="60"/>
              <w:left w:type="dxa" w:w="100"/>
              <w:bottom w:type="dxa" w:w="60"/>
              <w:right w:type="dxa" w:w="100"/>
            </w:tcMar>
          </w:tcPr>
          <w:p>
            <w:pPr>
              <w:spacing w:after="0" w:line="250"/>
            </w:pPr>
            <w:r>
              <w:rPr>
                <w:sz w:val="19"/>
                <w:szCs w:val="19"/>
              </w:rPr>
              <w:t xml:space="preserve">TLS on all hops.</w:t>
            </w:r>
          </w:p>
        </w:tc>
      </w:tr>
      <w:tr>
        <w:tc>
          <w:tcPr>
            <w:tcW w:type="dxa" w:w="2600"/>
            <w:tcMar>
              <w:top w:type="dxa" w:w="60"/>
              <w:left w:type="dxa" w:w="100"/>
              <w:bottom w:type="dxa" w:w="60"/>
              <w:right w:type="dxa" w:w="100"/>
            </w:tcMar>
          </w:tcPr>
          <w:p>
            <w:pPr>
              <w:spacing w:after="0" w:line="250"/>
            </w:pPr>
            <w:r>
              <w:rPr>
                <w:b/>
                <w:bCs/>
                <w:sz w:val="19"/>
                <w:szCs w:val="19"/>
              </w:rPr>
              <w:t xml:space="preserve">Data sensitivity</w:t>
            </w:r>
          </w:p>
        </w:tc>
        <w:tc>
          <w:tcPr>
            <w:tcW w:type="dxa" w:w="6426"/>
            <w:tcMar>
              <w:top w:type="dxa" w:w="60"/>
              <w:left w:type="dxa" w:w="100"/>
              <w:bottom w:type="dxa" w:w="60"/>
              <w:right w:type="dxa" w:w="100"/>
            </w:tcMar>
          </w:tcPr>
          <w:p>
            <w:pPr>
              <w:spacing w:after="0" w:line="250"/>
            </w:pPr>
            <w:r>
              <w:rPr>
                <w:sz w:val="19"/>
                <w:szCs w:val="19"/>
              </w:rPr>
              <w:t xml:space="preserve">Read Access Log records access to personal data. A restricted Splunk index and a documented retention position agreed with the data protection officer are required.</w:t>
            </w:r>
          </w:p>
        </w:tc>
      </w:tr>
    </w:tbl>
    <w:p>
      <w:r>
        <w:br w:type="page"/>
      </w:r>
    </w:p>
    <w:p>
      <w:pPr>
        <w:pStyle w:val="Heading1"/>
        <w:spacing w:after="140" w:before="320"/>
      </w:pPr>
      <w:r>
        <w:t xml:space="preserve">14. Non-Functional Requirements</w:t>
      </w:r>
    </w:p>
    <w:tbl>
      <w:tblPr>
        <w:tblW w:type="dxa" w:w="9026"/>
        <w:tblBorders>
          <w:top w:val="single" w:color="8EA9DB" w:sz="4"/>
          <w:left w:val="single" w:color="8EA9DB" w:sz="4"/>
          <w:bottom w:val="single" w:color="8EA9DB" w:sz="4"/>
          <w:right w:val="single" w:color="8EA9DB" w:sz="4"/>
          <w:insideH w:val="single" w:color="B4C6E7" w:sz="3"/>
          <w:insideV w:val="single" w:color="B4C6E7" w:sz="3"/>
        </w:tblBorders>
      </w:tblPr>
      <w:tblGrid>
        <w:gridCol w:w="1050"/>
        <w:gridCol w:w="6726"/>
        <w:gridCol w:w="1250"/>
      </w:tblGrid>
      <w:tr>
        <w:trPr>
          <w:tblHeader/>
        </w:trPr>
        <w:tc>
          <w:tcPr>
            <w:tcW w:type="dxa" w:w="1050"/>
            <w:shd w:fill="D9E2F3" w:color="auto" w:val="clear"/>
            <w:tcMar>
              <w:top w:type="dxa" w:w="60"/>
              <w:left w:type="dxa" w:w="100"/>
              <w:bottom w:type="dxa" w:w="60"/>
              <w:right w:type="dxa" w:w="100"/>
            </w:tcMar>
          </w:tcPr>
          <w:p>
            <w:pPr>
              <w:spacing w:after="0" w:line="250"/>
            </w:pPr>
            <w:r>
              <w:rPr>
                <w:b/>
                <w:bCs/>
                <w:sz w:val="19"/>
                <w:szCs w:val="19"/>
              </w:rPr>
              <w:t xml:space="preserve">ID</w:t>
            </w:r>
          </w:p>
        </w:tc>
        <w:tc>
          <w:tcPr>
            <w:tcW w:type="dxa" w:w="6726"/>
            <w:shd w:fill="D9E2F3" w:color="auto" w:val="clear"/>
            <w:tcMar>
              <w:top w:type="dxa" w:w="60"/>
              <w:left w:type="dxa" w:w="100"/>
              <w:bottom w:type="dxa" w:w="60"/>
              <w:right w:type="dxa" w:w="100"/>
            </w:tcMar>
          </w:tcPr>
          <w:p>
            <w:pPr>
              <w:spacing w:after="0" w:line="250"/>
            </w:pPr>
            <w:r>
              <w:rPr>
                <w:b/>
                <w:bCs/>
                <w:sz w:val="19"/>
                <w:szCs w:val="19"/>
              </w:rPr>
              <w:t xml:space="preserve">Requirement</w:t>
            </w:r>
          </w:p>
        </w:tc>
        <w:tc>
          <w:tcPr>
            <w:tcW w:type="dxa" w:w="1250"/>
            <w:shd w:fill="D9E2F3" w:color="auto" w:val="clear"/>
            <w:tcMar>
              <w:top w:type="dxa" w:w="60"/>
              <w:left w:type="dxa" w:w="100"/>
              <w:bottom w:type="dxa" w:w="60"/>
              <w:right w:type="dxa" w:w="100"/>
            </w:tcMar>
          </w:tcPr>
          <w:p>
            <w:pPr>
              <w:spacing w:after="0" w:line="250"/>
            </w:pPr>
            <w:r>
              <w:rPr>
                <w:b/>
                <w:bCs/>
                <w:sz w:val="19"/>
                <w:szCs w:val="19"/>
              </w:rPr>
              <w:t xml:space="preserve">Target</w:t>
            </w:r>
          </w:p>
        </w:tc>
      </w:tr>
      <w:tr>
        <w:tc>
          <w:tcPr>
            <w:tcW w:type="dxa" w:w="1050"/>
            <w:tcMar>
              <w:top w:type="dxa" w:w="60"/>
              <w:left w:type="dxa" w:w="100"/>
              <w:bottom w:type="dxa" w:w="60"/>
              <w:right w:type="dxa" w:w="100"/>
            </w:tcMar>
          </w:tcPr>
          <w:p>
            <w:pPr>
              <w:spacing w:after="0" w:line="250"/>
            </w:pPr>
            <w:r>
              <w:rPr>
                <w:sz w:val="19"/>
                <w:szCs w:val="19"/>
              </w:rPr>
              <w:t xml:space="preserve">NFR-01</w:t>
            </w:r>
          </w:p>
        </w:tc>
        <w:tc>
          <w:tcPr>
            <w:tcW w:type="dxa" w:w="6726"/>
            <w:tcMar>
              <w:top w:type="dxa" w:w="60"/>
              <w:left w:type="dxa" w:w="100"/>
              <w:bottom w:type="dxa" w:w="60"/>
              <w:right w:type="dxa" w:w="100"/>
            </w:tcMar>
          </w:tcPr>
          <w:p>
            <w:pPr>
              <w:spacing w:after="0" w:line="250"/>
            </w:pPr>
            <w:r>
              <w:rPr>
                <w:sz w:val="19"/>
                <w:szCs w:val="19"/>
              </w:rPr>
              <w:t xml:space="preserve">Maximum data volume extracted per invocation</w:t>
            </w:r>
          </w:p>
        </w:tc>
        <w:tc>
          <w:tcPr>
            <w:tcW w:type="dxa" w:w="1250"/>
            <w:tcMar>
              <w:top w:type="dxa" w:w="60"/>
              <w:left w:type="dxa" w:w="100"/>
              <w:bottom w:type="dxa" w:w="60"/>
              <w:right w:type="dxa" w:w="100"/>
            </w:tcMar>
          </w:tcPr>
          <w:p>
            <w:pPr>
              <w:spacing w:after="0" w:line="250"/>
            </w:pPr>
            <w:r>
              <w:rPr>
                <w:sz w:val="19"/>
                <w:szCs w:val="19"/>
              </w:rPr>
              <w:t xml:space="preserve">maxWindowMinutes (60 min default)</w:t>
            </w:r>
          </w:p>
        </w:tc>
      </w:tr>
      <w:tr>
        <w:tc>
          <w:tcPr>
            <w:tcW w:type="dxa" w:w="1050"/>
            <w:tcMar>
              <w:top w:type="dxa" w:w="60"/>
              <w:left w:type="dxa" w:w="100"/>
              <w:bottom w:type="dxa" w:w="60"/>
              <w:right w:type="dxa" w:w="100"/>
            </w:tcMar>
          </w:tcPr>
          <w:p>
            <w:pPr>
              <w:spacing w:after="0" w:line="250"/>
            </w:pPr>
            <w:r>
              <w:rPr>
                <w:sz w:val="19"/>
                <w:szCs w:val="19"/>
              </w:rPr>
              <w:t xml:space="preserve">NFR-02</w:t>
            </w:r>
          </w:p>
        </w:tc>
        <w:tc>
          <w:tcPr>
            <w:tcW w:type="dxa" w:w="6726"/>
            <w:tcMar>
              <w:top w:type="dxa" w:w="60"/>
              <w:left w:type="dxa" w:w="100"/>
              <w:bottom w:type="dxa" w:w="60"/>
              <w:right w:type="dxa" w:w="100"/>
            </w:tcMar>
          </w:tcPr>
          <w:p>
            <w:pPr>
              <w:spacing w:after="0" w:line="250"/>
            </w:pPr>
            <w:r>
              <w:rPr>
                <w:sz w:val="19"/>
                <w:szCs w:val="19"/>
              </w:rPr>
              <w:t xml:space="preserve">Maximum pages per invocation</w:t>
            </w:r>
          </w:p>
        </w:tc>
        <w:tc>
          <w:tcPr>
            <w:tcW w:type="dxa" w:w="1250"/>
            <w:tcMar>
              <w:top w:type="dxa" w:w="60"/>
              <w:left w:type="dxa" w:w="100"/>
              <w:bottom w:type="dxa" w:w="60"/>
              <w:right w:type="dxa" w:w="100"/>
            </w:tcMar>
          </w:tcPr>
          <w:p>
            <w:pPr>
              <w:spacing w:after="0" w:line="250"/>
            </w:pPr>
            <w:r>
              <w:rPr>
                <w:sz w:val="19"/>
                <w:szCs w:val="19"/>
              </w:rPr>
              <w:t xml:space="preserve">10000</w:t>
            </w:r>
          </w:p>
        </w:tc>
      </w:tr>
      <w:tr>
        <w:tc>
          <w:tcPr>
            <w:tcW w:type="dxa" w:w="1050"/>
            <w:tcMar>
              <w:top w:type="dxa" w:w="60"/>
              <w:left w:type="dxa" w:w="100"/>
              <w:bottom w:type="dxa" w:w="60"/>
              <w:right w:type="dxa" w:w="100"/>
            </w:tcMar>
          </w:tcPr>
          <w:p>
            <w:pPr>
              <w:spacing w:after="0" w:line="250"/>
            </w:pPr>
            <w:r>
              <w:rPr>
                <w:sz w:val="19"/>
                <w:szCs w:val="19"/>
              </w:rPr>
              <w:t xml:space="preserve">NFR-03</w:t>
            </w:r>
          </w:p>
        </w:tc>
        <w:tc>
          <w:tcPr>
            <w:tcW w:type="dxa" w:w="6726"/>
            <w:tcMar>
              <w:top w:type="dxa" w:w="60"/>
              <w:left w:type="dxa" w:w="100"/>
              <w:bottom w:type="dxa" w:w="60"/>
              <w:right w:type="dxa" w:w="100"/>
            </w:tcMar>
          </w:tcPr>
          <w:p>
            <w:pPr>
              <w:spacing w:after="0" w:line="250"/>
            </w:pPr>
            <w:r>
              <w:rPr>
                <w:sz w:val="19"/>
                <w:szCs w:val="19"/>
              </w:rPr>
              <w:t xml:space="preserve">Extraction latency (event occurrence to availability)</w:t>
            </w:r>
          </w:p>
        </w:tc>
        <w:tc>
          <w:tcPr>
            <w:tcW w:type="dxa" w:w="1250"/>
            <w:tcMar>
              <w:top w:type="dxa" w:w="60"/>
              <w:left w:type="dxa" w:w="100"/>
              <w:bottom w:type="dxa" w:w="60"/>
              <w:right w:type="dxa" w:w="100"/>
            </w:tcMar>
          </w:tcPr>
          <w:p>
            <w:pPr>
              <w:spacing w:after="0" w:line="250"/>
            </w:pPr>
            <w:r>
              <w:rPr>
                <w:sz w:val="19"/>
                <w:szCs w:val="19"/>
              </w:rPr>
              <w:t xml:space="preserve">Consumer cadence + run time</w:t>
            </w:r>
          </w:p>
        </w:tc>
      </w:tr>
      <w:tr>
        <w:tc>
          <w:tcPr>
            <w:tcW w:type="dxa" w:w="1050"/>
            <w:tcMar>
              <w:top w:type="dxa" w:w="60"/>
              <w:left w:type="dxa" w:w="100"/>
              <w:bottom w:type="dxa" w:w="60"/>
              <w:right w:type="dxa" w:w="100"/>
            </w:tcMar>
          </w:tcPr>
          <w:p>
            <w:pPr>
              <w:spacing w:after="0" w:line="250"/>
            </w:pPr>
            <w:r>
              <w:rPr>
                <w:sz w:val="19"/>
                <w:szCs w:val="19"/>
              </w:rPr>
              <w:t xml:space="preserve">NFR-04</w:t>
            </w:r>
          </w:p>
        </w:tc>
        <w:tc>
          <w:tcPr>
            <w:tcW w:type="dxa" w:w="6726"/>
            <w:tcMar>
              <w:top w:type="dxa" w:w="60"/>
              <w:left w:type="dxa" w:w="100"/>
              <w:bottom w:type="dxa" w:w="60"/>
              <w:right w:type="dxa" w:w="100"/>
            </w:tcMar>
          </w:tcPr>
          <w:p>
            <w:pPr>
              <w:spacing w:after="0" w:line="250"/>
            </w:pPr>
            <w:r>
              <w:rPr>
                <w:sz w:val="19"/>
                <w:szCs w:val="19"/>
              </w:rPr>
              <w:t xml:space="preserve">Backlog recovery</w:t>
            </w:r>
          </w:p>
        </w:tc>
        <w:tc>
          <w:tcPr>
            <w:tcW w:type="dxa" w:w="1250"/>
            <w:tcMar>
              <w:top w:type="dxa" w:w="60"/>
              <w:left w:type="dxa" w:w="100"/>
              <w:bottom w:type="dxa" w:w="60"/>
              <w:right w:type="dxa" w:w="100"/>
            </w:tcMar>
          </w:tcPr>
          <w:p>
            <w:pPr>
              <w:spacing w:after="0" w:line="250"/>
            </w:pPr>
            <w:r>
              <w:rPr>
                <w:sz w:val="19"/>
                <w:szCs w:val="19"/>
              </w:rPr>
              <w:t xml:space="preserve">Automatic, bounded, without manual intervention</w:t>
            </w:r>
          </w:p>
        </w:tc>
      </w:tr>
      <w:tr>
        <w:tc>
          <w:tcPr>
            <w:tcW w:type="dxa" w:w="1050"/>
            <w:tcMar>
              <w:top w:type="dxa" w:w="60"/>
              <w:left w:type="dxa" w:w="100"/>
              <w:bottom w:type="dxa" w:w="60"/>
              <w:right w:type="dxa" w:w="100"/>
            </w:tcMar>
          </w:tcPr>
          <w:p>
            <w:pPr>
              <w:spacing w:after="0" w:line="250"/>
            </w:pPr>
            <w:r>
              <w:rPr>
                <w:sz w:val="19"/>
                <w:szCs w:val="19"/>
              </w:rPr>
              <w:t xml:space="preserve">NFR-05</w:t>
            </w:r>
          </w:p>
        </w:tc>
        <w:tc>
          <w:tcPr>
            <w:tcW w:type="dxa" w:w="6726"/>
            <w:tcMar>
              <w:top w:type="dxa" w:w="60"/>
              <w:left w:type="dxa" w:w="100"/>
              <w:bottom w:type="dxa" w:w="60"/>
              <w:right w:type="dxa" w:w="100"/>
            </w:tcMar>
          </w:tcPr>
          <w:p>
            <w:pPr>
              <w:spacing w:after="0" w:line="250"/>
            </w:pPr>
            <w:r>
              <w:rPr>
                <w:sz w:val="19"/>
                <w:szCs w:val="19"/>
              </w:rPr>
              <w:t xml:space="preserve">Interface isolation — one interface failing must not affect the others</w:t>
            </w:r>
          </w:p>
        </w:tc>
        <w:tc>
          <w:tcPr>
            <w:tcW w:type="dxa" w:w="1250"/>
            <w:tcMar>
              <w:top w:type="dxa" w:w="60"/>
              <w:left w:type="dxa" w:w="100"/>
              <w:bottom w:type="dxa" w:w="60"/>
              <w:right w:type="dxa" w:w="100"/>
            </w:tcMar>
          </w:tcPr>
          <w:p>
            <w:pPr>
              <w:spacing w:after="0" w:line="250"/>
            </w:pPr>
            <w:r>
              <w:rPr>
                <w:sz w:val="19"/>
                <w:szCs w:val="19"/>
              </w:rPr>
              <w:t xml:space="preserve">Separate artifact, endpoint and Data Store per log type</w:t>
            </w:r>
          </w:p>
        </w:tc>
      </w:tr>
      <w:tr>
        <w:tc>
          <w:tcPr>
            <w:tcW w:type="dxa" w:w="1050"/>
            <w:tcMar>
              <w:top w:type="dxa" w:w="60"/>
              <w:left w:type="dxa" w:w="100"/>
              <w:bottom w:type="dxa" w:w="60"/>
              <w:right w:type="dxa" w:w="100"/>
            </w:tcMar>
          </w:tcPr>
          <w:p>
            <w:pPr>
              <w:spacing w:after="0" w:line="250"/>
            </w:pPr>
            <w:r>
              <w:rPr>
                <w:sz w:val="19"/>
                <w:szCs w:val="19"/>
              </w:rPr>
              <w:t xml:space="preserve">NFR-06</w:t>
            </w:r>
          </w:p>
        </w:tc>
        <w:tc>
          <w:tcPr>
            <w:tcW w:type="dxa" w:w="6726"/>
            <w:tcMar>
              <w:top w:type="dxa" w:w="60"/>
              <w:left w:type="dxa" w:w="100"/>
              <w:bottom w:type="dxa" w:w="60"/>
              <w:right w:type="dxa" w:w="100"/>
            </w:tcMar>
          </w:tcPr>
          <w:p>
            <w:pPr>
              <w:spacing w:after="0" w:line="250"/>
            </w:pPr>
            <w:r>
              <w:rPr>
                <w:sz w:val="19"/>
                <w:szCs w:val="19"/>
              </w:rPr>
              <w:t xml:space="preserve">Observability</w:t>
            </w:r>
          </w:p>
        </w:tc>
        <w:tc>
          <w:tcPr>
            <w:tcW w:type="dxa" w:w="1250"/>
            <w:tcMar>
              <w:top w:type="dxa" w:w="60"/>
              <w:left w:type="dxa" w:w="100"/>
              <w:bottom w:type="dxa" w:w="60"/>
              <w:right w:type="dxa" w:w="100"/>
            </w:tcMar>
          </w:tcPr>
          <w:p>
            <w:pPr>
              <w:spacing w:after="0" w:line="250"/>
            </w:pPr>
            <w:r>
              <w:rPr>
                <w:sz w:val="19"/>
                <w:szCs w:val="19"/>
              </w:rPr>
              <w:t xml:space="preserve">MPL status, custom status on failure, X- headers on every reply</w:t>
            </w:r>
          </w:p>
        </w:tc>
      </w:tr>
      <w:tr>
        <w:tc>
          <w:tcPr>
            <w:tcW w:type="dxa" w:w="1050"/>
            <w:tcMar>
              <w:top w:type="dxa" w:w="60"/>
              <w:left w:type="dxa" w:w="100"/>
              <w:bottom w:type="dxa" w:w="60"/>
              <w:right w:type="dxa" w:w="100"/>
            </w:tcMar>
          </w:tcPr>
          <w:p>
            <w:pPr>
              <w:spacing w:after="0" w:line="250"/>
            </w:pPr>
            <w:r>
              <w:rPr>
                <w:sz w:val="19"/>
                <w:szCs w:val="19"/>
              </w:rPr>
              <w:t xml:space="preserve">NFR-07</w:t>
            </w:r>
          </w:p>
        </w:tc>
        <w:tc>
          <w:tcPr>
            <w:tcW w:type="dxa" w:w="6726"/>
            <w:tcMar>
              <w:top w:type="dxa" w:w="60"/>
              <w:left w:type="dxa" w:w="100"/>
              <w:bottom w:type="dxa" w:w="60"/>
              <w:right w:type="dxa" w:w="100"/>
            </w:tcMar>
          </w:tcPr>
          <w:p>
            <w:pPr>
              <w:spacing w:after="0" w:line="250"/>
            </w:pPr>
            <w:r>
              <w:rPr>
                <w:sz w:val="19"/>
                <w:szCs w:val="19"/>
              </w:rPr>
              <w:t xml:space="preserve">Maintainability — identical design across log types</w:t>
            </w:r>
          </w:p>
        </w:tc>
        <w:tc>
          <w:tcPr>
            <w:tcW w:type="dxa" w:w="1250"/>
            <w:tcMar>
              <w:top w:type="dxa" w:w="60"/>
              <w:left w:type="dxa" w:w="100"/>
              <w:bottom w:type="dxa" w:w="60"/>
              <w:right w:type="dxa" w:w="100"/>
            </w:tcMar>
          </w:tcPr>
          <w:p>
            <w:pPr>
              <w:spacing w:after="0" w:line="250"/>
            </w:pPr>
            <w:r>
              <w:rPr>
                <w:sz w:val="19"/>
                <w:szCs w:val="19"/>
              </w:rPr>
              <w:t xml:space="preserve">17-step structure common to all four</w:t>
            </w:r>
          </w:p>
        </w:tc>
      </w:tr>
    </w:tbl>
    <w:p>
      <w:pPr>
        <w:pStyle w:val="Heading2"/>
        <w:spacing w:after="140" w:before="240"/>
      </w:pPr>
      <w:r>
        <w:t xml:space="preserve">14.1 Isolation</w:t>
      </w:r>
    </w:p>
    <w:p>
      <w:pPr>
        <w:spacing w:after="120" w:line="276"/>
      </w:pPr>
      <w:r>
        <w:rPr>
          <w:sz w:val="21"/>
          <w:szCs w:val="21"/>
        </w:rPr>
        <w:t xml:space="preserve">Each interface uses its own endpoint path, Data Store name and bundle symbolic name, all verified unique across the four artifacts. No shared mutable state exists between interfaces.</w:t>
      </w:r>
    </w:p>
    <w:tbl>
      <w:tblPr>
        <w:tblW w:type="dxa" w:w="9026"/>
        <w:tblBorders>
          <w:top w:val="single" w:color="8EA9DB" w:sz="4"/>
          <w:left w:val="single" w:color="8EA9DB" w:sz="4"/>
          <w:bottom w:val="single" w:color="8EA9DB" w:sz="4"/>
          <w:right w:val="single" w:color="8EA9DB" w:sz="4"/>
          <w:insideH w:val="single" w:color="B4C6E7" w:sz="3"/>
          <w:insideV w:val="single" w:color="B4C6E7" w:sz="3"/>
        </w:tblBorders>
      </w:tblPr>
      <w:tblGrid>
        <w:gridCol w:w="1900"/>
        <w:gridCol w:w="2500"/>
        <w:gridCol w:w="2200"/>
        <w:gridCol w:w="2426"/>
      </w:tblGrid>
      <w:tr>
        <w:trPr>
          <w:tblHeader/>
        </w:trPr>
        <w:tc>
          <w:tcPr>
            <w:tcW w:type="dxa" w:w="1900"/>
            <w:shd w:fill="D9E2F3" w:color="auto" w:val="clear"/>
            <w:tcMar>
              <w:top w:type="dxa" w:w="60"/>
              <w:left w:type="dxa" w:w="100"/>
              <w:bottom w:type="dxa" w:w="60"/>
              <w:right w:type="dxa" w:w="100"/>
            </w:tcMar>
          </w:tcPr>
          <w:p>
            <w:pPr>
              <w:spacing w:after="0" w:line="250"/>
            </w:pPr>
            <w:r>
              <w:rPr>
                <w:b/>
                <w:bCs/>
                <w:sz w:val="19"/>
                <w:szCs w:val="19"/>
              </w:rPr>
              <w:t xml:space="preserve">Interface</w:t>
            </w:r>
          </w:p>
        </w:tc>
        <w:tc>
          <w:tcPr>
            <w:tcW w:type="dxa" w:w="2500"/>
            <w:shd w:fill="D9E2F3" w:color="auto" w:val="clear"/>
            <w:tcMar>
              <w:top w:type="dxa" w:w="60"/>
              <w:left w:type="dxa" w:w="100"/>
              <w:bottom w:type="dxa" w:w="60"/>
              <w:right w:type="dxa" w:w="100"/>
            </w:tcMar>
          </w:tcPr>
          <w:p>
            <w:pPr>
              <w:spacing w:after="0" w:line="250"/>
            </w:pPr>
            <w:r>
              <w:rPr>
                <w:b/>
                <w:bCs/>
                <w:sz w:val="19"/>
                <w:szCs w:val="19"/>
              </w:rPr>
              <w:t xml:space="preserve">Endpoint</w:t>
            </w:r>
          </w:p>
        </w:tc>
        <w:tc>
          <w:tcPr>
            <w:tcW w:type="dxa" w:w="2200"/>
            <w:shd w:fill="D9E2F3" w:color="auto" w:val="clear"/>
            <w:tcMar>
              <w:top w:type="dxa" w:w="60"/>
              <w:left w:type="dxa" w:w="100"/>
              <w:bottom w:type="dxa" w:w="60"/>
              <w:right w:type="dxa" w:w="100"/>
            </w:tcMar>
          </w:tcPr>
          <w:p>
            <w:pPr>
              <w:spacing w:after="0" w:line="250"/>
            </w:pPr>
            <w:r>
              <w:rPr>
                <w:b/>
                <w:bCs/>
                <w:sz w:val="19"/>
                <w:szCs w:val="19"/>
              </w:rPr>
              <w:t xml:space="preserve">Data Store</w:t>
            </w:r>
          </w:p>
        </w:tc>
        <w:tc>
          <w:tcPr>
            <w:tcW w:type="dxa" w:w="2426"/>
            <w:shd w:fill="D9E2F3" w:color="auto" w:val="clear"/>
            <w:tcMar>
              <w:top w:type="dxa" w:w="60"/>
              <w:left w:type="dxa" w:w="100"/>
              <w:bottom w:type="dxa" w:w="60"/>
              <w:right w:type="dxa" w:w="100"/>
            </w:tcMar>
          </w:tcPr>
          <w:p>
            <w:pPr>
              <w:spacing w:after="0" w:line="250"/>
            </w:pPr>
            <w:r>
              <w:rPr>
                <w:b/>
                <w:bCs/>
                <w:sz w:val="19"/>
                <w:szCs w:val="19"/>
              </w:rPr>
              <w:t xml:space="preserve">Store entry</w:t>
            </w:r>
          </w:p>
        </w:tc>
      </w:tr>
      <w:tr>
        <w:tc>
          <w:tcPr>
            <w:tcW w:type="dxa" w:w="1900"/>
            <w:tcMar>
              <w:top w:type="dxa" w:w="60"/>
              <w:left w:type="dxa" w:w="100"/>
              <w:bottom w:type="dxa" w:w="60"/>
              <w:right w:type="dxa" w:w="100"/>
            </w:tcMar>
          </w:tcPr>
          <w:p>
            <w:pPr>
              <w:spacing w:after="0" w:line="250"/>
            </w:pPr>
            <w:r>
              <w:rPr>
                <w:sz w:val="19"/>
                <w:szCs w:val="19"/>
              </w:rPr>
              <w:t xml:space="preserve">IF-01 Security</w:t>
            </w:r>
          </w:p>
        </w:tc>
        <w:tc>
          <w:tcPr>
            <w:tcW w:type="dxa" w:w="2500"/>
            <w:tcMar>
              <w:top w:type="dxa" w:w="60"/>
              <w:left w:type="dxa" w:w="100"/>
              <w:bottom w:type="dxa" w:w="60"/>
              <w:right w:type="dxa" w:w="100"/>
            </w:tcMar>
          </w:tcPr>
          <w:p>
            <w:pPr>
              <w:spacing w:after="0" w:line="250"/>
            </w:pPr>
            <w:r>
              <w:rPr>
                <w:rFonts w:ascii="Consolas" w:cs="Consolas" w:eastAsia="Consolas" w:hAnsi="Consolas"/>
                <w:sz w:val="19"/>
                <w:szCs w:val="19"/>
              </w:rPr>
              <w:t xml:space="preserve">/extract/secauditlog</w:t>
            </w:r>
          </w:p>
        </w:tc>
        <w:tc>
          <w:tcPr>
            <w:tcW w:type="dxa" w:w="2200"/>
            <w:tcMar>
              <w:top w:type="dxa" w:w="60"/>
              <w:left w:type="dxa" w:w="100"/>
              <w:bottom w:type="dxa" w:w="60"/>
              <w:right w:type="dxa" w:w="100"/>
            </w:tcMar>
          </w:tcPr>
          <w:p>
            <w:pPr>
              <w:spacing w:after="0" w:line="250"/>
            </w:pPr>
            <w:r>
              <w:rPr>
                <w:rFonts w:ascii="Consolas" w:cs="Consolas" w:eastAsia="Consolas" w:hAnsi="Consolas"/>
                <w:sz w:val="19"/>
                <w:szCs w:val="19"/>
              </w:rPr>
              <w:t xml:space="preserve">SEC_AUDIT_DELTA</w:t>
            </w:r>
          </w:p>
        </w:tc>
        <w:tc>
          <w:tcPr>
            <w:tcW w:type="dxa" w:w="2426"/>
            <w:tcMar>
              <w:top w:type="dxa" w:w="60"/>
              <w:left w:type="dxa" w:w="100"/>
              <w:bottom w:type="dxa" w:w="60"/>
              <w:right w:type="dxa" w:w="100"/>
            </w:tcMar>
          </w:tcPr>
          <w:p>
            <w:pPr>
              <w:spacing w:after="0" w:line="250"/>
            </w:pPr>
            <w:r>
              <w:rPr>
                <w:rFonts w:ascii="Consolas" w:cs="Consolas" w:eastAsia="Consolas" w:hAnsi="Consolas"/>
                <w:sz w:val="19"/>
                <w:szCs w:val="19"/>
              </w:rPr>
              <w:t xml:space="preserve">LastRun</w:t>
            </w:r>
          </w:p>
        </w:tc>
      </w:tr>
      <w:tr>
        <w:tc>
          <w:tcPr>
            <w:tcW w:type="dxa" w:w="1900"/>
            <w:tcMar>
              <w:top w:type="dxa" w:w="60"/>
              <w:left w:type="dxa" w:w="100"/>
              <w:bottom w:type="dxa" w:w="60"/>
              <w:right w:type="dxa" w:w="100"/>
            </w:tcMar>
          </w:tcPr>
          <w:p>
            <w:pPr>
              <w:spacing w:after="0" w:line="250"/>
            </w:pPr>
            <w:r>
              <w:rPr>
                <w:sz w:val="19"/>
                <w:szCs w:val="19"/>
              </w:rPr>
              <w:t xml:space="preserve">IF-02 Read</w:t>
            </w:r>
          </w:p>
        </w:tc>
        <w:tc>
          <w:tcPr>
            <w:tcW w:type="dxa" w:w="2500"/>
            <w:tcMar>
              <w:top w:type="dxa" w:w="60"/>
              <w:left w:type="dxa" w:w="100"/>
              <w:bottom w:type="dxa" w:w="60"/>
              <w:right w:type="dxa" w:w="100"/>
            </w:tcMar>
          </w:tcPr>
          <w:p>
            <w:pPr>
              <w:spacing w:after="0" w:line="250"/>
            </w:pPr>
            <w:r>
              <w:rPr>
                <w:rFonts w:ascii="Consolas" w:cs="Consolas" w:eastAsia="Consolas" w:hAnsi="Consolas"/>
                <w:sz w:val="19"/>
                <w:szCs w:val="19"/>
              </w:rPr>
              <w:t xml:space="preserve">/extract/readaccesslog</w:t>
            </w:r>
          </w:p>
        </w:tc>
        <w:tc>
          <w:tcPr>
            <w:tcW w:type="dxa" w:w="2200"/>
            <w:tcMar>
              <w:top w:type="dxa" w:w="60"/>
              <w:left w:type="dxa" w:w="100"/>
              <w:bottom w:type="dxa" w:w="60"/>
              <w:right w:type="dxa" w:w="100"/>
            </w:tcMar>
          </w:tcPr>
          <w:p>
            <w:pPr>
              <w:spacing w:after="0" w:line="250"/>
            </w:pPr>
            <w:r>
              <w:rPr>
                <w:rFonts w:ascii="Consolas" w:cs="Consolas" w:eastAsia="Consolas" w:hAnsi="Consolas"/>
                <w:sz w:val="19"/>
                <w:szCs w:val="19"/>
              </w:rPr>
              <w:t xml:space="preserve">READ_ACCESS_DELTA</w:t>
            </w:r>
          </w:p>
        </w:tc>
        <w:tc>
          <w:tcPr>
            <w:tcW w:type="dxa" w:w="2426"/>
            <w:tcMar>
              <w:top w:type="dxa" w:w="60"/>
              <w:left w:type="dxa" w:w="100"/>
              <w:bottom w:type="dxa" w:w="60"/>
              <w:right w:type="dxa" w:w="100"/>
            </w:tcMar>
          </w:tcPr>
          <w:p>
            <w:pPr>
              <w:spacing w:after="0" w:line="250"/>
            </w:pPr>
            <w:r>
              <w:rPr>
                <w:rFonts w:ascii="Consolas" w:cs="Consolas" w:eastAsia="Consolas" w:hAnsi="Consolas"/>
                <w:sz w:val="19"/>
                <w:szCs w:val="19"/>
              </w:rPr>
              <w:t xml:space="preserve">LastRun</w:t>
            </w:r>
          </w:p>
        </w:tc>
      </w:tr>
      <w:tr>
        <w:tc>
          <w:tcPr>
            <w:tcW w:type="dxa" w:w="1900"/>
            <w:tcMar>
              <w:top w:type="dxa" w:w="60"/>
              <w:left w:type="dxa" w:w="100"/>
              <w:bottom w:type="dxa" w:w="60"/>
              <w:right w:type="dxa" w:w="100"/>
            </w:tcMar>
          </w:tcPr>
          <w:p>
            <w:pPr>
              <w:spacing w:after="0" w:line="250"/>
            </w:pPr>
            <w:r>
              <w:rPr>
                <w:sz w:val="19"/>
                <w:szCs w:val="19"/>
              </w:rPr>
              <w:t xml:space="preserve">IF-03 Business</w:t>
            </w:r>
          </w:p>
        </w:tc>
        <w:tc>
          <w:tcPr>
            <w:tcW w:type="dxa" w:w="2500"/>
            <w:tcMar>
              <w:top w:type="dxa" w:w="60"/>
              <w:left w:type="dxa" w:w="100"/>
              <w:bottom w:type="dxa" w:w="60"/>
              <w:right w:type="dxa" w:w="100"/>
            </w:tcMar>
          </w:tcPr>
          <w:p>
            <w:pPr>
              <w:spacing w:after="0" w:line="250"/>
            </w:pPr>
            <w:r>
              <w:rPr>
                <w:rFonts w:ascii="Consolas" w:cs="Consolas" w:eastAsia="Consolas" w:hAnsi="Consolas"/>
                <w:sz w:val="19"/>
                <w:szCs w:val="19"/>
              </w:rPr>
              <w:t xml:space="preserve">/extract/businessuserchanges</w:t>
            </w:r>
          </w:p>
        </w:tc>
        <w:tc>
          <w:tcPr>
            <w:tcW w:type="dxa" w:w="2200"/>
            <w:tcMar>
              <w:top w:type="dxa" w:w="60"/>
              <w:left w:type="dxa" w:w="100"/>
              <w:bottom w:type="dxa" w:w="60"/>
              <w:right w:type="dxa" w:w="100"/>
            </w:tcMar>
          </w:tcPr>
          <w:p>
            <w:pPr>
              <w:spacing w:after="0" w:line="250"/>
            </w:pPr>
            <w:r>
              <w:rPr>
                <w:rFonts w:ascii="Consolas" w:cs="Consolas" w:eastAsia="Consolas" w:hAnsi="Consolas"/>
                <w:sz w:val="19"/>
                <w:szCs w:val="19"/>
              </w:rPr>
              <w:t xml:space="preserve">BUS_USER_DELTA</w:t>
            </w:r>
          </w:p>
        </w:tc>
        <w:tc>
          <w:tcPr>
            <w:tcW w:type="dxa" w:w="2426"/>
            <w:tcMar>
              <w:top w:type="dxa" w:w="60"/>
              <w:left w:type="dxa" w:w="100"/>
              <w:bottom w:type="dxa" w:w="60"/>
              <w:right w:type="dxa" w:w="100"/>
            </w:tcMar>
          </w:tcPr>
          <w:p>
            <w:pPr>
              <w:spacing w:after="0" w:line="250"/>
            </w:pPr>
            <w:r>
              <w:rPr>
                <w:rFonts w:ascii="Consolas" w:cs="Consolas" w:eastAsia="Consolas" w:hAnsi="Consolas"/>
                <w:sz w:val="19"/>
                <w:szCs w:val="19"/>
              </w:rPr>
              <w:t xml:space="preserve">LastRun</w:t>
            </w:r>
          </w:p>
        </w:tc>
      </w:tr>
      <w:tr>
        <w:tc>
          <w:tcPr>
            <w:tcW w:type="dxa" w:w="1900"/>
            <w:tcMar>
              <w:top w:type="dxa" w:w="60"/>
              <w:left w:type="dxa" w:w="100"/>
              <w:bottom w:type="dxa" w:w="60"/>
              <w:right w:type="dxa" w:w="100"/>
            </w:tcMar>
          </w:tcPr>
          <w:p>
            <w:pPr>
              <w:spacing w:after="0" w:line="250"/>
            </w:pPr>
            <w:r>
              <w:rPr>
                <w:sz w:val="19"/>
                <w:szCs w:val="19"/>
              </w:rPr>
              <w:t xml:space="preserve">IF-04 Business</w:t>
            </w:r>
          </w:p>
        </w:tc>
        <w:tc>
          <w:tcPr>
            <w:tcW w:type="dxa" w:w="2500"/>
            <w:tcMar>
              <w:top w:type="dxa" w:w="60"/>
              <w:left w:type="dxa" w:w="100"/>
              <w:bottom w:type="dxa" w:w="60"/>
              <w:right w:type="dxa" w:w="100"/>
            </w:tcMar>
          </w:tcPr>
          <w:p>
            <w:pPr>
              <w:spacing w:after="0" w:line="250"/>
            </w:pPr>
            <w:r>
              <w:rPr>
                <w:rFonts w:ascii="Consolas" w:cs="Consolas" w:eastAsia="Consolas" w:hAnsi="Consolas"/>
                <w:sz w:val="19"/>
                <w:szCs w:val="19"/>
              </w:rPr>
              <w:t xml:space="preserve">/extract/businessrolechanges</w:t>
            </w:r>
          </w:p>
        </w:tc>
        <w:tc>
          <w:tcPr>
            <w:tcW w:type="dxa" w:w="2200"/>
            <w:tcMar>
              <w:top w:type="dxa" w:w="60"/>
              <w:left w:type="dxa" w:w="100"/>
              <w:bottom w:type="dxa" w:w="60"/>
              <w:right w:type="dxa" w:w="100"/>
            </w:tcMar>
          </w:tcPr>
          <w:p>
            <w:pPr>
              <w:spacing w:after="0" w:line="250"/>
            </w:pPr>
            <w:r>
              <w:rPr>
                <w:rFonts w:ascii="Consolas" w:cs="Consolas" w:eastAsia="Consolas" w:hAnsi="Consolas"/>
                <w:sz w:val="19"/>
                <w:szCs w:val="19"/>
              </w:rPr>
              <w:t xml:space="preserve">BUS_ROLE_DELTA</w:t>
            </w:r>
          </w:p>
        </w:tc>
        <w:tc>
          <w:tcPr>
            <w:tcW w:type="dxa" w:w="2426"/>
            <w:tcMar>
              <w:top w:type="dxa" w:w="60"/>
              <w:left w:type="dxa" w:w="100"/>
              <w:bottom w:type="dxa" w:w="60"/>
              <w:right w:type="dxa" w:w="100"/>
            </w:tcMar>
          </w:tcPr>
          <w:p>
            <w:pPr>
              <w:spacing w:after="0" w:line="250"/>
            </w:pPr>
            <w:r>
              <w:rPr>
                <w:rFonts w:ascii="Consolas" w:cs="Consolas" w:eastAsia="Consolas" w:hAnsi="Consolas"/>
                <w:sz w:val="19"/>
                <w:szCs w:val="19"/>
              </w:rPr>
              <w:t xml:space="preserve">LastRun</w:t>
            </w:r>
          </w:p>
        </w:tc>
      </w:tr>
    </w:tbl>
    <w:p>
      <w:r>
        <w:br w:type="page"/>
      </w:r>
    </w:p>
    <w:p>
      <w:pPr>
        <w:pStyle w:val="Heading1"/>
        <w:spacing w:after="140" w:before="320"/>
      </w:pPr>
      <w:r>
        <w:t xml:space="preserve">15. Deployment</w:t>
      </w:r>
    </w:p>
    <w:p>
      <w:pPr>
        <w:pStyle w:val="Heading2"/>
        <w:spacing w:after="140" w:before="240"/>
      </w:pPr>
      <w:r>
        <w:t xml:space="preserve">15.1 Prerequisites</w:t>
      </w:r>
    </w:p>
    <w:p>
      <w:pPr>
        <w:pStyle w:val="ListParagraph"/>
        <w:numPr>
          <w:ilvl w:val="0"/>
          <w:numId w:val="2"/>
        </w:numPr>
        <w:spacing w:after="70" w:line="276"/>
      </w:pPr>
      <w:r>
        <w:rPr>
          <w:sz w:val="21"/>
          <w:szCs w:val="21"/>
        </w:rPr>
        <w:t xml:space="preserve">S/4HANA Cloud communication arrangements active for SAP_COM_0750, SAP_COM_0915, SAP_COM_0327 and SAP_COM_0366, with a common communication user.</w:t>
      </w:r>
    </w:p>
    <w:p>
      <w:pPr>
        <w:pStyle w:val="ListParagraph"/>
        <w:numPr>
          <w:ilvl w:val="0"/>
          <w:numId w:val="2"/>
        </w:numPr>
        <w:spacing w:after="70" w:line="276"/>
      </w:pPr>
      <w:r>
        <w:rPr>
          <w:sz w:val="21"/>
          <w:szCs w:val="21"/>
        </w:rPr>
        <w:t xml:space="preserve">CPI Security Material credential alias S4HC_AUDIT_DEV deployed with that user.</w:t>
      </w:r>
    </w:p>
    <w:p>
      <w:pPr>
        <w:pStyle w:val="ListParagraph"/>
        <w:numPr>
          <w:ilvl w:val="0"/>
          <w:numId w:val="2"/>
        </w:numPr>
        <w:spacing w:after="70" w:line="276"/>
      </w:pPr>
      <w:r>
        <w:rPr>
          <w:sz w:val="21"/>
          <w:szCs w:val="21"/>
        </w:rPr>
        <w:t xml:space="preserve">Read Access Logging configured in S/4HANA for the fields in scope (IF-02 only).</w:t>
      </w:r>
    </w:p>
    <w:p>
      <w:pPr>
        <w:pStyle w:val="ListParagraph"/>
        <w:numPr>
          <w:ilvl w:val="0"/>
          <w:numId w:val="2"/>
        </w:numPr>
        <w:spacing w:after="70" w:line="276"/>
      </w:pPr>
      <w:r>
        <w:rPr>
          <w:sz w:val="21"/>
          <w:szCs w:val="21"/>
        </w:rPr>
        <w:t xml:space="preserve">Consumer credentials granted the sender role for the four endpoints.</w:t>
      </w:r>
    </w:p>
    <w:p>
      <w:pPr>
        <w:pStyle w:val="Heading2"/>
        <w:spacing w:after="140" w:before="240"/>
      </w:pPr>
      <w:r>
        <w:t xml:space="preserve">15.2 Deployment steps</w:t>
      </w:r>
    </w:p>
    <w:p>
      <w:pPr>
        <w:pStyle w:val="ListParagraph"/>
        <w:numPr>
          <w:ilvl w:val="0"/>
          <w:numId w:val="2"/>
        </w:numPr>
        <w:spacing w:after="70" w:line="276"/>
      </w:pPr>
      <w:r>
        <w:rPr>
          <w:sz w:val="21"/>
          <w:szCs w:val="21"/>
        </w:rPr>
        <w:t xml:space="preserve">1. Import each artifact ZIP into the target CPI package.</w:t>
      </w:r>
    </w:p>
    <w:p>
      <w:pPr>
        <w:pStyle w:val="ListParagraph"/>
        <w:numPr>
          <w:ilvl w:val="0"/>
          <w:numId w:val="2"/>
        </w:numPr>
        <w:spacing w:after="70" w:line="276"/>
      </w:pPr>
      <w:r>
        <w:rPr>
          <w:sz w:val="21"/>
          <w:szCs w:val="21"/>
        </w:rPr>
        <w:t xml:space="preserve">2. Confirm the OData channel opens with the correct protocol version (V4 for IF-01/IF-02, V2 for IF-03/IF-04).</w:t>
      </w:r>
    </w:p>
    <w:p>
      <w:pPr>
        <w:pStyle w:val="ListParagraph"/>
        <w:numPr>
          <w:ilvl w:val="0"/>
          <w:numId w:val="2"/>
        </w:numPr>
        <w:spacing w:after="70" w:line="276"/>
      </w:pPr>
      <w:r>
        <w:rPr>
          <w:sz w:val="21"/>
          <w:szCs w:val="21"/>
        </w:rPr>
        <w:t xml:space="preserve">3. Verify the receiver participant name matches the loop-condition property (section 7).</w:t>
      </w:r>
    </w:p>
    <w:p>
      <w:pPr>
        <w:pStyle w:val="ListParagraph"/>
        <w:numPr>
          <w:ilvl w:val="0"/>
          <w:numId w:val="2"/>
        </w:numPr>
        <w:spacing w:after="70" w:line="276"/>
      </w:pPr>
      <w:r>
        <w:rPr>
          <w:sz w:val="21"/>
          <w:szCs w:val="21"/>
        </w:rPr>
        <w:t xml:space="preserve">4. Deploy each artifact and record its runtime endpoint URL.</w:t>
      </w:r>
    </w:p>
    <w:p>
      <w:pPr>
        <w:pStyle w:val="ListParagraph"/>
        <w:numPr>
          <w:ilvl w:val="0"/>
          <w:numId w:val="2"/>
        </w:numPr>
        <w:spacing w:after="70" w:line="276"/>
      </w:pPr>
      <w:r>
        <w:rPr>
          <w:sz w:val="21"/>
          <w:szCs w:val="21"/>
        </w:rPr>
        <w:t xml:space="preserve">5. Invoke each endpoint once to create the Data Store and establish the first high-water.</w:t>
      </w:r>
    </w:p>
    <w:p>
      <w:pPr>
        <w:pStyle w:val="ListParagraph"/>
        <w:numPr>
          <w:ilvl w:val="0"/>
          <w:numId w:val="2"/>
        </w:numPr>
        <w:spacing w:after="70" w:line="276"/>
      </w:pPr>
      <w:r>
        <w:rPr>
          <w:sz w:val="21"/>
          <w:szCs w:val="21"/>
        </w:rPr>
        <w:t xml:space="preserve">6. Configure the consumer with the four endpoints and its cadence.</w:t>
      </w:r>
    </w:p>
    <w:p>
      <w:pPr>
        <w:spacing w:after="120" w:line="276"/>
      </w:pPr>
      <w:r>
        <w:rPr>
          <w:i/>
          <w:iCs/>
          <w:sz w:val="21"/>
          <w:szCs w:val="21"/>
        </w:rPr>
        <w:t xml:space="preserve">The Data Store is created automatically on the first successful write; no manual provisioning is required.</w:t>
      </w:r>
    </w:p>
    <w:p>
      <w:pPr>
        <w:pStyle w:val="Heading2"/>
        <w:spacing w:after="140" w:before="240"/>
      </w:pPr>
      <w:r>
        <w:t xml:space="preserve">15.3 Artifact contents</w:t>
      </w:r>
    </w:p>
    <w:p>
      <w:pPr>
        <w:spacing w:after="120" w:line="276"/>
      </w:pPr>
      <w:r>
        <w:rPr>
          <w:sz w:val="21"/>
          <w:szCs w:val="21"/>
        </w:rPr>
        <w:t xml:space="preserve">Each ZIP contains the iFlow definition, the three Groovy scripts, the service EDMX (so the OData channel resolves offline), the entity XSD, the flow diagram and a README.</w:t>
      </w:r>
    </w:p>
    <w:p>
      <w:r>
        <w:br w:type="page"/>
      </w:r>
    </w:p>
    <w:p>
      <w:pPr>
        <w:pStyle w:val="Heading1"/>
        <w:spacing w:after="140" w:before="320"/>
      </w:pPr>
      <w:r>
        <w:t xml:space="preserve">16. Test Cases and Acceptance Criteria</w:t>
      </w:r>
    </w:p>
    <w:tbl>
      <w:tblPr>
        <w:tblW w:type="dxa" w:w="9026"/>
        <w:tblBorders>
          <w:top w:val="single" w:color="8EA9DB" w:sz="4"/>
          <w:left w:val="single" w:color="8EA9DB" w:sz="4"/>
          <w:bottom w:val="single" w:color="8EA9DB" w:sz="4"/>
          <w:right w:val="single" w:color="8EA9DB" w:sz="4"/>
          <w:insideH w:val="single" w:color="B4C6E7" w:sz="3"/>
          <w:insideV w:val="single" w:color="B4C6E7" w:sz="3"/>
        </w:tblBorders>
      </w:tblPr>
      <w:tblGrid>
        <w:gridCol w:w="1000"/>
        <w:gridCol w:w="5426"/>
        <w:gridCol w:w="2600"/>
      </w:tblGrid>
      <w:tr>
        <w:trPr>
          <w:tblHeader/>
        </w:trPr>
        <w:tc>
          <w:tcPr>
            <w:tcW w:type="dxa" w:w="1000"/>
            <w:shd w:fill="D9E2F3" w:color="auto" w:val="clear"/>
            <w:tcMar>
              <w:top w:type="dxa" w:w="60"/>
              <w:left w:type="dxa" w:w="100"/>
              <w:bottom w:type="dxa" w:w="60"/>
              <w:right w:type="dxa" w:w="100"/>
            </w:tcMar>
          </w:tcPr>
          <w:p>
            <w:pPr>
              <w:spacing w:after="0" w:line="250"/>
            </w:pPr>
            <w:r>
              <w:rPr>
                <w:b/>
                <w:bCs/>
                <w:sz w:val="19"/>
                <w:szCs w:val="19"/>
              </w:rPr>
              <w:t xml:space="preserve">ID</w:t>
            </w:r>
          </w:p>
        </w:tc>
        <w:tc>
          <w:tcPr>
            <w:tcW w:type="dxa" w:w="5426"/>
            <w:shd w:fill="D9E2F3" w:color="auto" w:val="clear"/>
            <w:tcMar>
              <w:top w:type="dxa" w:w="60"/>
              <w:left w:type="dxa" w:w="100"/>
              <w:bottom w:type="dxa" w:w="60"/>
              <w:right w:type="dxa" w:w="100"/>
            </w:tcMar>
          </w:tcPr>
          <w:p>
            <w:pPr>
              <w:spacing w:after="0" w:line="250"/>
            </w:pPr>
            <w:r>
              <w:rPr>
                <w:b/>
                <w:bCs/>
                <w:sz w:val="19"/>
                <w:szCs w:val="19"/>
              </w:rPr>
              <w:t xml:space="preserve">Test case</w:t>
            </w:r>
          </w:p>
        </w:tc>
        <w:tc>
          <w:tcPr>
            <w:tcW w:type="dxa" w:w="2600"/>
            <w:shd w:fill="D9E2F3" w:color="auto" w:val="clear"/>
            <w:tcMar>
              <w:top w:type="dxa" w:w="60"/>
              <w:left w:type="dxa" w:w="100"/>
              <w:bottom w:type="dxa" w:w="60"/>
              <w:right w:type="dxa" w:w="100"/>
            </w:tcMar>
          </w:tcPr>
          <w:p>
            <w:pPr>
              <w:spacing w:after="0" w:line="250"/>
            </w:pPr>
            <w:r>
              <w:rPr>
                <w:b/>
                <w:bCs/>
                <w:sz w:val="19"/>
                <w:szCs w:val="19"/>
              </w:rPr>
              <w:t xml:space="preserve">Expected result</w:t>
            </w:r>
          </w:p>
        </w:tc>
      </w:tr>
      <w:tr>
        <w:tc>
          <w:tcPr>
            <w:tcW w:type="dxa" w:w="1000"/>
            <w:tcMar>
              <w:top w:type="dxa" w:w="60"/>
              <w:left w:type="dxa" w:w="100"/>
              <w:bottom w:type="dxa" w:w="60"/>
              <w:right w:type="dxa" w:w="100"/>
            </w:tcMar>
          </w:tcPr>
          <w:p>
            <w:pPr>
              <w:spacing w:after="0" w:line="250"/>
            </w:pPr>
            <w:r>
              <w:rPr>
                <w:sz w:val="19"/>
                <w:szCs w:val="19"/>
              </w:rPr>
              <w:t xml:space="preserve">TC-01</w:t>
            </w:r>
          </w:p>
        </w:tc>
        <w:tc>
          <w:tcPr>
            <w:tcW w:type="dxa" w:w="5426"/>
            <w:tcMar>
              <w:top w:type="dxa" w:w="60"/>
              <w:left w:type="dxa" w:w="100"/>
              <w:bottom w:type="dxa" w:w="60"/>
              <w:right w:type="dxa" w:w="100"/>
            </w:tcMar>
          </w:tcPr>
          <w:p>
            <w:pPr>
              <w:spacing w:after="0" w:line="250"/>
            </w:pPr>
            <w:r>
              <w:rPr>
                <w:sz w:val="19"/>
                <w:szCs w:val="19"/>
              </w:rPr>
              <w:t xml:space="preserve">First invocation against an empty Data Store</w:t>
            </w:r>
          </w:p>
        </w:tc>
        <w:tc>
          <w:tcPr>
            <w:tcW w:type="dxa" w:w="2600"/>
            <w:tcMar>
              <w:top w:type="dxa" w:w="60"/>
              <w:left w:type="dxa" w:w="100"/>
              <w:bottom w:type="dxa" w:w="60"/>
              <w:right w:type="dxa" w:w="100"/>
            </w:tcMar>
          </w:tcPr>
          <w:p>
            <w:pPr>
              <w:spacing w:after="0" w:line="250"/>
            </w:pPr>
            <w:r>
              <w:rPr>
                <w:sz w:val="19"/>
                <w:szCs w:val="19"/>
              </w:rPr>
              <w:t xml:space="preserve">HTTP 200; X-First-Run true; window covers the last 15 minutes; high-water created</w:t>
            </w:r>
          </w:p>
        </w:tc>
      </w:tr>
      <w:tr>
        <w:tc>
          <w:tcPr>
            <w:tcW w:type="dxa" w:w="1000"/>
            <w:tcMar>
              <w:top w:type="dxa" w:w="60"/>
              <w:left w:type="dxa" w:w="100"/>
              <w:bottom w:type="dxa" w:w="60"/>
              <w:right w:type="dxa" w:w="100"/>
            </w:tcMar>
          </w:tcPr>
          <w:p>
            <w:pPr>
              <w:spacing w:after="0" w:line="250"/>
            </w:pPr>
            <w:r>
              <w:rPr>
                <w:sz w:val="19"/>
                <w:szCs w:val="19"/>
              </w:rPr>
              <w:t xml:space="preserve">TC-02</w:t>
            </w:r>
          </w:p>
        </w:tc>
        <w:tc>
          <w:tcPr>
            <w:tcW w:type="dxa" w:w="5426"/>
            <w:tcMar>
              <w:top w:type="dxa" w:w="60"/>
              <w:left w:type="dxa" w:w="100"/>
              <w:bottom w:type="dxa" w:w="60"/>
              <w:right w:type="dxa" w:w="100"/>
            </w:tcMar>
          </w:tcPr>
          <w:p>
            <w:pPr>
              <w:spacing w:after="0" w:line="250"/>
            </w:pPr>
            <w:r>
              <w:rPr>
                <w:sz w:val="19"/>
                <w:szCs w:val="19"/>
              </w:rPr>
              <w:t xml:space="preserve">Second invocation with no new events</w:t>
            </w:r>
          </w:p>
        </w:tc>
        <w:tc>
          <w:tcPr>
            <w:tcW w:type="dxa" w:w="2600"/>
            <w:tcMar>
              <w:top w:type="dxa" w:w="60"/>
              <w:left w:type="dxa" w:w="100"/>
              <w:bottom w:type="dxa" w:w="60"/>
              <w:right w:type="dxa" w:w="100"/>
            </w:tcMar>
          </w:tcPr>
          <w:p>
            <w:pPr>
              <w:spacing w:after="0" w:line="250"/>
            </w:pPr>
            <w:r>
              <w:rPr>
                <w:sz w:val="19"/>
                <w:szCs w:val="19"/>
              </w:rPr>
              <w:t xml:space="preserve">HTTP 200; X-Total-Count 0; empty body; high-water advances</w:t>
            </w:r>
          </w:p>
        </w:tc>
      </w:tr>
      <w:tr>
        <w:tc>
          <w:tcPr>
            <w:tcW w:type="dxa" w:w="1000"/>
            <w:tcMar>
              <w:top w:type="dxa" w:w="60"/>
              <w:left w:type="dxa" w:w="100"/>
              <w:bottom w:type="dxa" w:w="60"/>
              <w:right w:type="dxa" w:w="100"/>
            </w:tcMar>
          </w:tcPr>
          <w:p>
            <w:pPr>
              <w:spacing w:after="0" w:line="250"/>
            </w:pPr>
            <w:r>
              <w:rPr>
                <w:sz w:val="19"/>
                <w:szCs w:val="19"/>
              </w:rPr>
              <w:t xml:space="preserve">TC-03</w:t>
            </w:r>
          </w:p>
        </w:tc>
        <w:tc>
          <w:tcPr>
            <w:tcW w:type="dxa" w:w="5426"/>
            <w:tcMar>
              <w:top w:type="dxa" w:w="60"/>
              <w:left w:type="dxa" w:w="100"/>
              <w:bottom w:type="dxa" w:w="60"/>
              <w:right w:type="dxa" w:w="100"/>
            </w:tcMar>
          </w:tcPr>
          <w:p>
            <w:pPr>
              <w:spacing w:after="0" w:line="250"/>
            </w:pPr>
            <w:r>
              <w:rPr>
                <w:sz w:val="19"/>
                <w:szCs w:val="19"/>
              </w:rPr>
              <w:t xml:space="preserve">Window containing more records than one page</w:t>
            </w:r>
          </w:p>
        </w:tc>
        <w:tc>
          <w:tcPr>
            <w:tcW w:type="dxa" w:w="2600"/>
            <w:tcMar>
              <w:top w:type="dxa" w:w="60"/>
              <w:left w:type="dxa" w:w="100"/>
              <w:bottom w:type="dxa" w:w="60"/>
              <w:right w:type="dxa" w:w="100"/>
            </w:tcMar>
          </w:tcPr>
          <w:p>
            <w:pPr>
              <w:spacing w:after="0" w:line="250"/>
            </w:pPr>
            <w:r>
              <w:rPr>
                <w:sz w:val="19"/>
                <w:szCs w:val="19"/>
              </w:rPr>
              <w:t xml:space="preserve">All pages returned; count matches the source system</w:t>
            </w:r>
          </w:p>
        </w:tc>
      </w:tr>
      <w:tr>
        <w:tc>
          <w:tcPr>
            <w:tcW w:type="dxa" w:w="1000"/>
            <w:tcMar>
              <w:top w:type="dxa" w:w="60"/>
              <w:left w:type="dxa" w:w="100"/>
              <w:bottom w:type="dxa" w:w="60"/>
              <w:right w:type="dxa" w:w="100"/>
            </w:tcMar>
          </w:tcPr>
          <w:p>
            <w:pPr>
              <w:spacing w:after="0" w:line="250"/>
            </w:pPr>
            <w:r>
              <w:rPr>
                <w:sz w:val="19"/>
                <w:szCs w:val="19"/>
              </w:rPr>
              <w:t xml:space="preserve">TC-04</w:t>
            </w:r>
          </w:p>
        </w:tc>
        <w:tc>
          <w:tcPr>
            <w:tcW w:type="dxa" w:w="5426"/>
            <w:tcMar>
              <w:top w:type="dxa" w:w="60"/>
              <w:left w:type="dxa" w:w="100"/>
              <w:bottom w:type="dxa" w:w="60"/>
              <w:right w:type="dxa" w:w="100"/>
            </w:tcMar>
          </w:tcPr>
          <w:p>
            <w:pPr>
              <w:spacing w:after="0" w:line="250"/>
            </w:pPr>
            <w:r>
              <w:rPr>
                <w:sz w:val="19"/>
                <w:szCs w:val="19"/>
              </w:rPr>
              <w:t xml:space="preserve">Interface not invoked for five hours, then invoked</w:t>
            </w:r>
          </w:p>
        </w:tc>
        <w:tc>
          <w:tcPr>
            <w:tcW w:type="dxa" w:w="2600"/>
            <w:tcMar>
              <w:top w:type="dxa" w:w="60"/>
              <w:left w:type="dxa" w:w="100"/>
              <w:bottom w:type="dxa" w:w="60"/>
              <w:right w:type="dxa" w:w="100"/>
            </w:tcMar>
          </w:tcPr>
          <w:p>
            <w:pPr>
              <w:spacing w:after="0" w:line="250"/>
            </w:pPr>
            <w:r>
              <w:rPr>
                <w:sz w:val="19"/>
                <w:szCs w:val="19"/>
              </w:rPr>
              <w:t xml:space="preserve">Each call returns at most one hour of data with X-Caught-Up false, until the backlog is drained and X-Caught-Up returns true</w:t>
            </w:r>
          </w:p>
        </w:tc>
      </w:tr>
      <w:tr>
        <w:tc>
          <w:tcPr>
            <w:tcW w:type="dxa" w:w="1000"/>
            <w:tcMar>
              <w:top w:type="dxa" w:w="60"/>
              <w:left w:type="dxa" w:w="100"/>
              <w:bottom w:type="dxa" w:w="60"/>
              <w:right w:type="dxa" w:w="100"/>
            </w:tcMar>
          </w:tcPr>
          <w:p>
            <w:pPr>
              <w:spacing w:after="0" w:line="250"/>
            </w:pPr>
            <w:r>
              <w:rPr>
                <w:sz w:val="19"/>
                <w:szCs w:val="19"/>
              </w:rPr>
              <w:t xml:space="preserve">TC-05</w:t>
            </w:r>
          </w:p>
        </w:tc>
        <w:tc>
          <w:tcPr>
            <w:tcW w:type="dxa" w:w="5426"/>
            <w:tcMar>
              <w:top w:type="dxa" w:w="60"/>
              <w:left w:type="dxa" w:w="100"/>
              <w:bottom w:type="dxa" w:w="60"/>
              <w:right w:type="dxa" w:w="100"/>
            </w:tcMar>
          </w:tcPr>
          <w:p>
            <w:pPr>
              <w:spacing w:after="0" w:line="250"/>
            </w:pPr>
            <w:r>
              <w:rPr>
                <w:sz w:val="19"/>
                <w:szCs w:val="19"/>
              </w:rPr>
              <w:t xml:space="preserve">S/4HANA unreachable (invalid credential or host)</w:t>
            </w:r>
          </w:p>
        </w:tc>
        <w:tc>
          <w:tcPr>
            <w:tcW w:type="dxa" w:w="2600"/>
            <w:tcMar>
              <w:top w:type="dxa" w:w="60"/>
              <w:left w:type="dxa" w:w="100"/>
              <w:bottom w:type="dxa" w:w="60"/>
              <w:right w:type="dxa" w:w="100"/>
            </w:tcMar>
          </w:tcPr>
          <w:p>
            <w:pPr>
              <w:spacing w:after="0" w:line="250"/>
            </w:pPr>
            <w:r>
              <w:rPr>
                <w:sz w:val="19"/>
                <w:szCs w:val="19"/>
              </w:rPr>
              <w:t xml:space="preserve">HTTP 500 with JSON error body; MPL status SECAUDIT_FAILED; high-water unchanged</w:t>
            </w:r>
          </w:p>
        </w:tc>
      </w:tr>
      <w:tr>
        <w:tc>
          <w:tcPr>
            <w:tcW w:type="dxa" w:w="1000"/>
            <w:tcMar>
              <w:top w:type="dxa" w:w="60"/>
              <w:left w:type="dxa" w:w="100"/>
              <w:bottom w:type="dxa" w:w="60"/>
              <w:right w:type="dxa" w:w="100"/>
            </w:tcMar>
          </w:tcPr>
          <w:p>
            <w:pPr>
              <w:spacing w:after="0" w:line="250"/>
            </w:pPr>
            <w:r>
              <w:rPr>
                <w:sz w:val="19"/>
                <w:szCs w:val="19"/>
              </w:rPr>
              <w:t xml:space="preserve">TC-06</w:t>
            </w:r>
          </w:p>
        </w:tc>
        <w:tc>
          <w:tcPr>
            <w:tcW w:type="dxa" w:w="5426"/>
            <w:tcMar>
              <w:top w:type="dxa" w:w="60"/>
              <w:left w:type="dxa" w:w="100"/>
              <w:bottom w:type="dxa" w:w="60"/>
              <w:right w:type="dxa" w:w="100"/>
            </w:tcMar>
          </w:tcPr>
          <w:p>
            <w:pPr>
              <w:spacing w:after="0" w:line="250"/>
            </w:pPr>
            <w:r>
              <w:rPr>
                <w:sz w:val="19"/>
                <w:szCs w:val="19"/>
              </w:rPr>
              <w:t xml:space="preserve">Re-invoke after the TC-05 failure</w:t>
            </w:r>
          </w:p>
        </w:tc>
        <w:tc>
          <w:tcPr>
            <w:tcW w:type="dxa" w:w="2600"/>
            <w:tcMar>
              <w:top w:type="dxa" w:w="60"/>
              <w:left w:type="dxa" w:w="100"/>
              <w:bottom w:type="dxa" w:w="60"/>
              <w:right w:type="dxa" w:w="100"/>
            </w:tcMar>
          </w:tcPr>
          <w:p>
            <w:pPr>
              <w:spacing w:after="0" w:line="250"/>
            </w:pPr>
            <w:r>
              <w:rPr>
                <w:sz w:val="19"/>
                <w:szCs w:val="19"/>
              </w:rPr>
              <w:t xml:space="preserve">The same window is re-extracted; no events lost</w:t>
            </w:r>
          </w:p>
        </w:tc>
      </w:tr>
      <w:tr>
        <w:tc>
          <w:tcPr>
            <w:tcW w:type="dxa" w:w="1000"/>
            <w:tcMar>
              <w:top w:type="dxa" w:w="60"/>
              <w:left w:type="dxa" w:w="100"/>
              <w:bottom w:type="dxa" w:w="60"/>
              <w:right w:type="dxa" w:w="100"/>
            </w:tcMar>
          </w:tcPr>
          <w:p>
            <w:pPr>
              <w:spacing w:after="0" w:line="250"/>
            </w:pPr>
            <w:r>
              <w:rPr>
                <w:sz w:val="19"/>
                <w:szCs w:val="19"/>
              </w:rPr>
              <w:t xml:space="preserve">TC-07</w:t>
            </w:r>
          </w:p>
        </w:tc>
        <w:tc>
          <w:tcPr>
            <w:tcW w:type="dxa" w:w="5426"/>
            <w:tcMar>
              <w:top w:type="dxa" w:w="60"/>
              <w:left w:type="dxa" w:w="100"/>
              <w:bottom w:type="dxa" w:w="60"/>
              <w:right w:type="dxa" w:w="100"/>
            </w:tcMar>
          </w:tcPr>
          <w:p>
            <w:pPr>
              <w:spacing w:after="0" w:line="250"/>
            </w:pPr>
            <w:r>
              <w:rPr>
                <w:sz w:val="19"/>
                <w:szCs w:val="19"/>
              </w:rPr>
              <w:t xml:space="preserve">Inspect the time field for IF-03 and IF-04 events</w:t>
            </w:r>
          </w:p>
        </w:tc>
        <w:tc>
          <w:tcPr>
            <w:tcW w:type="dxa" w:w="2600"/>
            <w:tcMar>
              <w:top w:type="dxa" w:w="60"/>
              <w:left w:type="dxa" w:w="100"/>
              <w:bottom w:type="dxa" w:w="60"/>
              <w:right w:type="dxa" w:w="100"/>
            </w:tcMar>
          </w:tcPr>
          <w:p>
            <w:pPr>
              <w:spacing w:after="0" w:line="250"/>
            </w:pPr>
            <w:r>
              <w:rPr>
                <w:sz w:val="19"/>
                <w:szCs w:val="19"/>
              </w:rPr>
              <w:t xml:space="preserve">Event time reflects ChangedOn, not ingestion time; noTimeCount is zero</w:t>
            </w:r>
          </w:p>
        </w:tc>
      </w:tr>
      <w:tr>
        <w:tc>
          <w:tcPr>
            <w:tcW w:type="dxa" w:w="1000"/>
            <w:tcMar>
              <w:top w:type="dxa" w:w="60"/>
              <w:left w:type="dxa" w:w="100"/>
              <w:bottom w:type="dxa" w:w="60"/>
              <w:right w:type="dxa" w:w="100"/>
            </w:tcMar>
          </w:tcPr>
          <w:p>
            <w:pPr>
              <w:spacing w:after="0" w:line="250"/>
            </w:pPr>
            <w:r>
              <w:rPr>
                <w:sz w:val="19"/>
                <w:szCs w:val="19"/>
              </w:rPr>
              <w:t xml:space="preserve">TC-08</w:t>
            </w:r>
          </w:p>
        </w:tc>
        <w:tc>
          <w:tcPr>
            <w:tcW w:type="dxa" w:w="5426"/>
            <w:tcMar>
              <w:top w:type="dxa" w:w="60"/>
              <w:left w:type="dxa" w:w="100"/>
              <w:bottom w:type="dxa" w:w="60"/>
              <w:right w:type="dxa" w:w="100"/>
            </w:tcMar>
          </w:tcPr>
          <w:p>
            <w:pPr>
              <w:spacing w:after="0" w:line="250"/>
            </w:pPr>
            <w:r>
              <w:rPr>
                <w:sz w:val="19"/>
                <w:szCs w:val="19"/>
              </w:rPr>
              <w:t xml:space="preserve">Inspect the time field for IF-01 and IF-02 events</w:t>
            </w:r>
          </w:p>
        </w:tc>
        <w:tc>
          <w:tcPr>
            <w:tcW w:type="dxa" w:w="2600"/>
            <w:tcMar>
              <w:top w:type="dxa" w:w="60"/>
              <w:left w:type="dxa" w:w="100"/>
              <w:bottom w:type="dxa" w:w="60"/>
              <w:right w:type="dxa" w:w="100"/>
            </w:tcMar>
          </w:tcPr>
          <w:p>
            <w:pPr>
              <w:spacing w:after="0" w:line="250"/>
            </w:pPr>
            <w:r>
              <w:rPr>
                <w:sz w:val="19"/>
                <w:szCs w:val="19"/>
              </w:rPr>
              <w:t xml:space="preserve">Event time reflects the source timestamp to sub-second precision</w:t>
            </w:r>
          </w:p>
        </w:tc>
      </w:tr>
      <w:tr>
        <w:tc>
          <w:tcPr>
            <w:tcW w:type="dxa" w:w="1000"/>
            <w:tcMar>
              <w:top w:type="dxa" w:w="60"/>
              <w:left w:type="dxa" w:w="100"/>
              <w:bottom w:type="dxa" w:w="60"/>
              <w:right w:type="dxa" w:w="100"/>
            </w:tcMar>
          </w:tcPr>
          <w:p>
            <w:pPr>
              <w:spacing w:after="0" w:line="250"/>
            </w:pPr>
            <w:r>
              <w:rPr>
                <w:sz w:val="19"/>
                <w:szCs w:val="19"/>
              </w:rPr>
              <w:t xml:space="preserve">TC-09</w:t>
            </w:r>
          </w:p>
        </w:tc>
        <w:tc>
          <w:tcPr>
            <w:tcW w:type="dxa" w:w="5426"/>
            <w:tcMar>
              <w:top w:type="dxa" w:w="60"/>
              <w:left w:type="dxa" w:w="100"/>
              <w:bottom w:type="dxa" w:w="60"/>
              <w:right w:type="dxa" w:w="100"/>
            </w:tcMar>
          </w:tcPr>
          <w:p>
            <w:pPr>
              <w:spacing w:after="0" w:line="250"/>
            </w:pPr>
            <w:r>
              <w:rPr>
                <w:sz w:val="19"/>
                <w:szCs w:val="19"/>
              </w:rPr>
              <w:t xml:space="preserve">Compare boundary records across two consecutive runs</w:t>
            </w:r>
          </w:p>
        </w:tc>
        <w:tc>
          <w:tcPr>
            <w:tcW w:type="dxa" w:w="2600"/>
            <w:tcMar>
              <w:top w:type="dxa" w:w="60"/>
              <w:left w:type="dxa" w:w="100"/>
              <w:bottom w:type="dxa" w:w="60"/>
              <w:right w:type="dxa" w:w="100"/>
            </w:tcMar>
          </w:tcPr>
          <w:p>
            <w:pPr>
              <w:spacing w:after="0" w:line="250"/>
            </w:pPr>
            <w:r>
              <w:rPr>
                <w:sz w:val="19"/>
                <w:szCs w:val="19"/>
              </w:rPr>
              <w:t xml:space="preserve">No record appears in both windows (strict gt lower bound)</w:t>
            </w:r>
          </w:p>
        </w:tc>
      </w:tr>
      <w:tr>
        <w:tc>
          <w:tcPr>
            <w:tcW w:type="dxa" w:w="1000"/>
            <w:tcMar>
              <w:top w:type="dxa" w:w="60"/>
              <w:left w:type="dxa" w:w="100"/>
              <w:bottom w:type="dxa" w:w="60"/>
              <w:right w:type="dxa" w:w="100"/>
            </w:tcMar>
          </w:tcPr>
          <w:p>
            <w:pPr>
              <w:spacing w:after="0" w:line="250"/>
            </w:pPr>
            <w:r>
              <w:rPr>
                <w:sz w:val="19"/>
                <w:szCs w:val="19"/>
              </w:rPr>
              <w:t xml:space="preserve">TC-10</w:t>
            </w:r>
          </w:p>
        </w:tc>
        <w:tc>
          <w:tcPr>
            <w:tcW w:type="dxa" w:w="5426"/>
            <w:tcMar>
              <w:top w:type="dxa" w:w="60"/>
              <w:left w:type="dxa" w:w="100"/>
              <w:bottom w:type="dxa" w:w="60"/>
              <w:right w:type="dxa" w:w="100"/>
            </w:tcMar>
          </w:tcPr>
          <w:p>
            <w:pPr>
              <w:spacing w:after="0" w:line="250"/>
            </w:pPr>
            <w:r>
              <w:rPr>
                <w:sz w:val="19"/>
                <w:szCs w:val="19"/>
              </w:rPr>
              <w:t xml:space="preserve">Deduplication on re-extraction after a forced failure</w:t>
            </w:r>
          </w:p>
        </w:tc>
        <w:tc>
          <w:tcPr>
            <w:tcW w:type="dxa" w:w="2600"/>
            <w:tcMar>
              <w:top w:type="dxa" w:w="60"/>
              <w:left w:type="dxa" w:w="100"/>
              <w:bottom w:type="dxa" w:w="60"/>
              <w:right w:type="dxa" w:w="100"/>
            </w:tcMar>
          </w:tcPr>
          <w:p>
            <w:pPr>
              <w:spacing w:after="0" w:line="250"/>
            </w:pPr>
            <w:r>
              <w:rPr>
                <w:sz w:val="19"/>
                <w:szCs w:val="19"/>
              </w:rPr>
              <w:t xml:space="preserve">No duplicates remain in Splunk after dedup on the documented key</w:t>
            </w:r>
          </w:p>
        </w:tc>
      </w:tr>
      <w:tr>
        <w:tc>
          <w:tcPr>
            <w:tcW w:type="dxa" w:w="1000"/>
            <w:tcMar>
              <w:top w:type="dxa" w:w="60"/>
              <w:left w:type="dxa" w:w="100"/>
              <w:bottom w:type="dxa" w:w="60"/>
              <w:right w:type="dxa" w:w="100"/>
            </w:tcMar>
          </w:tcPr>
          <w:p>
            <w:pPr>
              <w:spacing w:after="0" w:line="250"/>
            </w:pPr>
            <w:r>
              <w:rPr>
                <w:sz w:val="19"/>
                <w:szCs w:val="19"/>
              </w:rPr>
              <w:t xml:space="preserve">TC-11</w:t>
            </w:r>
          </w:p>
        </w:tc>
        <w:tc>
          <w:tcPr>
            <w:tcW w:type="dxa" w:w="5426"/>
            <w:tcMar>
              <w:top w:type="dxa" w:w="60"/>
              <w:left w:type="dxa" w:w="100"/>
              <w:bottom w:type="dxa" w:w="60"/>
              <w:right w:type="dxa" w:w="100"/>
            </w:tcMar>
          </w:tcPr>
          <w:p>
            <w:pPr>
              <w:spacing w:after="0" w:line="250"/>
            </w:pPr>
            <w:r>
              <w:rPr>
                <w:sz w:val="19"/>
                <w:szCs w:val="19"/>
              </w:rPr>
              <w:t xml:space="preserve">Run all four interfaces concurrently</w:t>
            </w:r>
          </w:p>
        </w:tc>
        <w:tc>
          <w:tcPr>
            <w:tcW w:type="dxa" w:w="2600"/>
            <w:tcMar>
              <w:top w:type="dxa" w:w="60"/>
              <w:left w:type="dxa" w:w="100"/>
              <w:bottom w:type="dxa" w:w="60"/>
              <w:right w:type="dxa" w:w="100"/>
            </w:tcMar>
          </w:tcPr>
          <w:p>
            <w:pPr>
              <w:spacing w:after="0" w:line="250"/>
            </w:pPr>
            <w:r>
              <w:rPr>
                <w:sz w:val="19"/>
                <w:szCs w:val="19"/>
              </w:rPr>
              <w:t xml:space="preserve">No cross-interference; each maintains its own high-water</w:t>
            </w:r>
          </w:p>
        </w:tc>
      </w:tr>
      <w:tr>
        <w:tc>
          <w:tcPr>
            <w:tcW w:type="dxa" w:w="1000"/>
            <w:tcMar>
              <w:top w:type="dxa" w:w="60"/>
              <w:left w:type="dxa" w:w="100"/>
              <w:bottom w:type="dxa" w:w="60"/>
              <w:right w:type="dxa" w:w="100"/>
            </w:tcMar>
          </w:tcPr>
          <w:p>
            <w:pPr>
              <w:spacing w:after="0" w:line="250"/>
            </w:pPr>
            <w:r>
              <w:rPr>
                <w:sz w:val="19"/>
                <w:szCs w:val="19"/>
              </w:rPr>
              <w:t xml:space="preserve">TC-12</w:t>
            </w:r>
          </w:p>
        </w:tc>
        <w:tc>
          <w:tcPr>
            <w:tcW w:type="dxa" w:w="5426"/>
            <w:tcMar>
              <w:top w:type="dxa" w:w="60"/>
              <w:left w:type="dxa" w:w="100"/>
              <w:bottom w:type="dxa" w:w="60"/>
              <w:right w:type="dxa" w:w="100"/>
            </w:tcMar>
          </w:tcPr>
          <w:p>
            <w:pPr>
              <w:spacing w:after="0" w:line="250"/>
            </w:pPr>
            <w:r>
              <w:rPr>
                <w:sz w:val="19"/>
                <w:szCs w:val="19"/>
              </w:rPr>
              <w:t xml:space="preserve">Verify no secrets in the deployed artifacts</w:t>
            </w:r>
          </w:p>
        </w:tc>
        <w:tc>
          <w:tcPr>
            <w:tcW w:type="dxa" w:w="2600"/>
            <w:tcMar>
              <w:top w:type="dxa" w:w="60"/>
              <w:left w:type="dxa" w:w="100"/>
              <w:bottom w:type="dxa" w:w="60"/>
              <w:right w:type="dxa" w:w="100"/>
            </w:tcMar>
          </w:tcPr>
          <w:p>
            <w:pPr>
              <w:spacing w:after="0" w:line="250"/>
            </w:pPr>
            <w:r>
              <w:rPr>
                <w:sz w:val="19"/>
                <w:szCs w:val="19"/>
              </w:rPr>
              <w:t xml:space="preserve">Credentials referenced only by alias</w:t>
            </w:r>
          </w:p>
        </w:tc>
      </w:tr>
    </w:tbl>
    <w:p>
      <w:r>
        <w:br w:type="page"/>
      </w:r>
    </w:p>
    <w:p>
      <w:pPr>
        <w:pStyle w:val="Heading1"/>
        <w:spacing w:after="140" w:before="320"/>
      </w:pPr>
      <w:r>
        <w:t xml:space="preserve">17. Operations and Monitoring</w:t>
      </w:r>
    </w:p>
    <w:tbl>
      <w:tblPr>
        <w:tblW w:type="dxa" w:w="9026"/>
        <w:tblBorders>
          <w:top w:val="single" w:color="8EA9DB" w:sz="4"/>
          <w:left w:val="single" w:color="8EA9DB" w:sz="4"/>
          <w:bottom w:val="single" w:color="8EA9DB" w:sz="4"/>
          <w:right w:val="single" w:color="8EA9DB" w:sz="4"/>
          <w:insideH w:val="single" w:color="B4C6E7" w:sz="3"/>
          <w:insideV w:val="single" w:color="B4C6E7" w:sz="3"/>
        </w:tblBorders>
      </w:tblPr>
      <w:tblGrid>
        <w:gridCol w:w="2600"/>
        <w:gridCol w:w="6426"/>
      </w:tblGrid>
      <w:tr>
        <w:tc>
          <w:tcPr>
            <w:tcW w:type="dxa" w:w="2600"/>
            <w:tcMar>
              <w:top w:type="dxa" w:w="60"/>
              <w:left w:type="dxa" w:w="100"/>
              <w:bottom w:type="dxa" w:w="60"/>
              <w:right w:type="dxa" w:w="100"/>
            </w:tcMar>
          </w:tcPr>
          <w:p>
            <w:pPr>
              <w:spacing w:after="0" w:line="250"/>
            </w:pPr>
            <w:r>
              <w:rPr>
                <w:b/>
                <w:bCs/>
                <w:sz w:val="19"/>
                <w:szCs w:val="19"/>
              </w:rPr>
              <w:t xml:space="preserve">Health signal</w:t>
            </w:r>
          </w:p>
        </w:tc>
        <w:tc>
          <w:tcPr>
            <w:tcW w:type="dxa" w:w="6426"/>
            <w:tcMar>
              <w:top w:type="dxa" w:w="60"/>
              <w:left w:type="dxa" w:w="100"/>
              <w:bottom w:type="dxa" w:w="60"/>
              <w:right w:type="dxa" w:w="100"/>
            </w:tcMar>
          </w:tcPr>
          <w:p>
            <w:pPr>
              <w:spacing w:after="0" w:line="250"/>
            </w:pPr>
            <w:r>
              <w:rPr>
                <w:sz w:val="19"/>
                <w:szCs w:val="19"/>
              </w:rPr>
              <w:t xml:space="preserve">A successful invocation returns HTTP 200 with X-Caught-Up true.</w:t>
            </w:r>
          </w:p>
        </w:tc>
      </w:tr>
      <w:tr>
        <w:tc>
          <w:tcPr>
            <w:tcW w:type="dxa" w:w="2600"/>
            <w:tcMar>
              <w:top w:type="dxa" w:w="60"/>
              <w:left w:type="dxa" w:w="100"/>
              <w:bottom w:type="dxa" w:w="60"/>
              <w:right w:type="dxa" w:w="100"/>
            </w:tcMar>
          </w:tcPr>
          <w:p>
            <w:pPr>
              <w:spacing w:after="0" w:line="250"/>
            </w:pPr>
            <w:r>
              <w:rPr>
                <w:b/>
                <w:bCs/>
                <w:sz w:val="19"/>
                <w:szCs w:val="19"/>
              </w:rPr>
              <w:t xml:space="preserve">Backlog signal</w:t>
            </w:r>
          </w:p>
        </w:tc>
        <w:tc>
          <w:tcPr>
            <w:tcW w:type="dxa" w:w="6426"/>
            <w:tcMar>
              <w:top w:type="dxa" w:w="60"/>
              <w:left w:type="dxa" w:w="100"/>
              <w:bottom w:type="dxa" w:w="60"/>
              <w:right w:type="dxa" w:w="100"/>
            </w:tcMar>
          </w:tcPr>
          <w:p>
            <w:pPr>
              <w:spacing w:after="0" w:line="250"/>
            </w:pPr>
            <w:r>
              <w:rPr>
                <w:sz w:val="19"/>
                <w:szCs w:val="19"/>
              </w:rPr>
              <w:t xml:space="preserve">Sustained X-Caught-Up false indicates the consumer cadence is not keeping pace with event volume, or a backlog is still draining.</w:t>
            </w:r>
          </w:p>
        </w:tc>
      </w:tr>
      <w:tr>
        <w:tc>
          <w:tcPr>
            <w:tcW w:type="dxa" w:w="2600"/>
            <w:tcMar>
              <w:top w:type="dxa" w:w="60"/>
              <w:left w:type="dxa" w:w="100"/>
              <w:bottom w:type="dxa" w:w="60"/>
              <w:right w:type="dxa" w:w="100"/>
            </w:tcMar>
          </w:tcPr>
          <w:p>
            <w:pPr>
              <w:spacing w:after="0" w:line="250"/>
            </w:pPr>
            <w:r>
              <w:rPr>
                <w:b/>
                <w:bCs/>
                <w:sz w:val="19"/>
                <w:szCs w:val="19"/>
              </w:rPr>
              <w:t xml:space="preserve">Failure signal</w:t>
            </w:r>
          </w:p>
        </w:tc>
        <w:tc>
          <w:tcPr>
            <w:tcW w:type="dxa" w:w="6426"/>
            <w:tcMar>
              <w:top w:type="dxa" w:w="60"/>
              <w:left w:type="dxa" w:w="100"/>
              <w:bottom w:type="dxa" w:w="60"/>
              <w:right w:type="dxa" w:w="100"/>
            </w:tcMar>
          </w:tcPr>
          <w:p>
            <w:pPr>
              <w:spacing w:after="0" w:line="250"/>
            </w:pPr>
            <w:r>
              <w:rPr>
                <w:sz w:val="19"/>
                <w:szCs w:val="19"/>
              </w:rPr>
              <w:t xml:space="preserve">HTTP 500 and MPL custom status SECAUDIT_FAILED.</w:t>
            </w:r>
          </w:p>
        </w:tc>
      </w:tr>
      <w:tr>
        <w:tc>
          <w:tcPr>
            <w:tcW w:type="dxa" w:w="2600"/>
            <w:tcMar>
              <w:top w:type="dxa" w:w="60"/>
              <w:left w:type="dxa" w:w="100"/>
              <w:bottom w:type="dxa" w:w="60"/>
              <w:right w:type="dxa" w:w="100"/>
            </w:tcMar>
          </w:tcPr>
          <w:p>
            <w:pPr>
              <w:spacing w:after="0" w:line="250"/>
            </w:pPr>
            <w:r>
              <w:rPr>
                <w:b/>
                <w:bCs/>
                <w:sz w:val="19"/>
                <w:szCs w:val="19"/>
              </w:rPr>
              <w:t xml:space="preserve">Data-quality signal</w:t>
            </w:r>
          </w:p>
        </w:tc>
        <w:tc>
          <w:tcPr>
            <w:tcW w:type="dxa" w:w="6426"/>
            <w:tcMar>
              <w:top w:type="dxa" w:w="60"/>
              <w:left w:type="dxa" w:w="100"/>
              <w:bottom w:type="dxa" w:w="60"/>
              <w:right w:type="dxa" w:w="100"/>
            </w:tcMar>
          </w:tcPr>
          <w:p>
            <w:pPr>
              <w:spacing w:after="0" w:line="250"/>
            </w:pPr>
            <w:r>
              <w:rPr>
                <w:sz w:val="19"/>
                <w:szCs w:val="19"/>
              </w:rPr>
              <w:t xml:space="preserve">A non-zero noTimeCount indicates a source timestamp format change.</w:t>
            </w:r>
          </w:p>
        </w:tc>
      </w:tr>
      <w:tr>
        <w:tc>
          <w:tcPr>
            <w:tcW w:type="dxa" w:w="2600"/>
            <w:tcMar>
              <w:top w:type="dxa" w:w="60"/>
              <w:left w:type="dxa" w:w="100"/>
              <w:bottom w:type="dxa" w:w="60"/>
              <w:right w:type="dxa" w:w="100"/>
            </w:tcMar>
          </w:tcPr>
          <w:p>
            <w:pPr>
              <w:spacing w:after="0" w:line="250"/>
            </w:pPr>
            <w:r>
              <w:rPr>
                <w:b/>
                <w:bCs/>
                <w:sz w:val="19"/>
                <w:szCs w:val="19"/>
              </w:rPr>
              <w:t xml:space="preserve">Recommended alert</w:t>
            </w:r>
          </w:p>
        </w:tc>
        <w:tc>
          <w:tcPr>
            <w:tcW w:type="dxa" w:w="6426"/>
            <w:tcMar>
              <w:top w:type="dxa" w:w="60"/>
              <w:left w:type="dxa" w:w="100"/>
              <w:bottom w:type="dxa" w:w="60"/>
              <w:right w:type="dxa" w:w="100"/>
            </w:tcMar>
          </w:tcPr>
          <w:p>
            <w:pPr>
              <w:spacing w:after="0" w:line="250"/>
            </w:pPr>
            <w:r>
              <w:rPr>
                <w:sz w:val="19"/>
                <w:szCs w:val="19"/>
              </w:rPr>
              <w:t xml:space="preserve">Alert if no events arrive from a given interface for an extended period, or on repeated HTTP 500s.</w:t>
            </w:r>
          </w:p>
        </w:tc>
      </w:tr>
      <w:tr>
        <w:tc>
          <w:tcPr>
            <w:tcW w:type="dxa" w:w="2600"/>
            <w:tcMar>
              <w:top w:type="dxa" w:w="60"/>
              <w:left w:type="dxa" w:w="100"/>
              <w:bottom w:type="dxa" w:w="60"/>
              <w:right w:type="dxa" w:w="100"/>
            </w:tcMar>
          </w:tcPr>
          <w:p>
            <w:pPr>
              <w:spacing w:after="0" w:line="250"/>
            </w:pPr>
            <w:r>
              <w:rPr>
                <w:b/>
                <w:bCs/>
                <w:sz w:val="19"/>
                <w:szCs w:val="19"/>
              </w:rPr>
              <w:t xml:space="preserve">High-water reset</w:t>
            </w:r>
          </w:p>
        </w:tc>
        <w:tc>
          <w:tcPr>
            <w:tcW w:type="dxa" w:w="6426"/>
            <w:tcMar>
              <w:top w:type="dxa" w:w="60"/>
              <w:left w:type="dxa" w:w="100"/>
              <w:bottom w:type="dxa" w:w="60"/>
              <w:right w:type="dxa" w:w="100"/>
            </w:tcMar>
          </w:tcPr>
          <w:p>
            <w:pPr>
              <w:spacing w:after="0" w:line="250"/>
            </w:pPr>
            <w:r>
              <w:rPr>
                <w:sz w:val="19"/>
                <w:szCs w:val="19"/>
              </w:rPr>
              <w:t xml:space="preserve">Deleting the LastRun Data Store entry causes the next run to bootstrap as a first run.</w:t>
            </w:r>
          </w:p>
        </w:tc>
      </w:tr>
    </w:tbl>
    <w:p>
      <w:r>
        <w:br w:type="page"/>
      </w:r>
    </w:p>
    <w:p>
      <w:pPr>
        <w:pStyle w:val="Heading1"/>
        <w:spacing w:after="140" w:before="320"/>
      </w:pPr>
      <w:r>
        <w:t xml:space="preserve">18. Assumptions, Constraints and Open Items</w:t>
      </w:r>
    </w:p>
    <w:p>
      <w:pPr>
        <w:pStyle w:val="Heading2"/>
        <w:spacing w:after="140" w:before="240"/>
      </w:pPr>
      <w:r>
        <w:t xml:space="preserve">18.1 Assumptions</w:t>
      </w:r>
    </w:p>
    <w:tbl>
      <w:tblPr>
        <w:tblW w:type="dxa" w:w="9026"/>
        <w:tblBorders>
          <w:top w:val="single" w:color="8EA9DB" w:sz="4"/>
          <w:left w:val="single" w:color="8EA9DB" w:sz="4"/>
          <w:bottom w:val="single" w:color="8EA9DB" w:sz="4"/>
          <w:right w:val="single" w:color="8EA9DB" w:sz="4"/>
          <w:insideH w:val="single" w:color="B4C6E7" w:sz="3"/>
          <w:insideV w:val="single" w:color="B4C6E7" w:sz="3"/>
        </w:tblBorders>
      </w:tblPr>
      <w:tblGrid>
        <w:gridCol w:w="1000"/>
        <w:gridCol w:w="8026"/>
      </w:tblGrid>
      <w:tr>
        <w:trPr>
          <w:tblHeader/>
        </w:trPr>
        <w:tc>
          <w:tcPr>
            <w:tcW w:type="dxa" w:w="1000"/>
            <w:shd w:fill="D9E2F3" w:color="auto" w:val="clear"/>
            <w:tcMar>
              <w:top w:type="dxa" w:w="60"/>
              <w:left w:type="dxa" w:w="100"/>
              <w:bottom w:type="dxa" w:w="60"/>
              <w:right w:type="dxa" w:w="100"/>
            </w:tcMar>
          </w:tcPr>
          <w:p>
            <w:pPr>
              <w:spacing w:after="0" w:line="250"/>
            </w:pPr>
            <w:r>
              <w:rPr>
                <w:b/>
                <w:bCs/>
                <w:sz w:val="19"/>
                <w:szCs w:val="19"/>
              </w:rPr>
              <w:t xml:space="preserve">ID</w:t>
            </w:r>
          </w:p>
        </w:tc>
        <w:tc>
          <w:tcPr>
            <w:tcW w:type="dxa" w:w="8026"/>
            <w:shd w:fill="D9E2F3" w:color="auto" w:val="clear"/>
            <w:tcMar>
              <w:top w:type="dxa" w:w="60"/>
              <w:left w:type="dxa" w:w="100"/>
              <w:bottom w:type="dxa" w:w="60"/>
              <w:right w:type="dxa" w:w="100"/>
            </w:tcMar>
          </w:tcPr>
          <w:p>
            <w:pPr>
              <w:spacing w:after="0" w:line="250"/>
            </w:pPr>
            <w:r>
              <w:rPr>
                <w:b/>
                <w:bCs/>
                <w:sz w:val="19"/>
                <w:szCs w:val="19"/>
              </w:rPr>
              <w:t xml:space="preserve">Assumption</w:t>
            </w:r>
          </w:p>
        </w:tc>
      </w:tr>
      <w:tr>
        <w:tc>
          <w:tcPr>
            <w:tcW w:type="dxa" w:w="1000"/>
            <w:tcMar>
              <w:top w:type="dxa" w:w="60"/>
              <w:left w:type="dxa" w:w="100"/>
              <w:bottom w:type="dxa" w:w="60"/>
              <w:right w:type="dxa" w:w="100"/>
            </w:tcMar>
          </w:tcPr>
          <w:p>
            <w:pPr>
              <w:spacing w:after="0" w:line="250"/>
            </w:pPr>
            <w:r>
              <w:rPr>
                <w:sz w:val="19"/>
                <w:szCs w:val="19"/>
              </w:rPr>
              <w:t xml:space="preserve">AS-01</w:t>
            </w:r>
          </w:p>
        </w:tc>
        <w:tc>
          <w:tcPr>
            <w:tcW w:type="dxa" w:w="8026"/>
            <w:tcMar>
              <w:top w:type="dxa" w:w="60"/>
              <w:left w:type="dxa" w:w="100"/>
              <w:bottom w:type="dxa" w:w="60"/>
              <w:right w:type="dxa" w:w="100"/>
            </w:tcMar>
          </w:tcPr>
          <w:p>
            <w:pPr>
              <w:spacing w:after="0" w:line="250"/>
            </w:pPr>
            <w:r>
              <w:rPr>
                <w:sz w:val="19"/>
                <w:szCs w:val="19"/>
              </w:rPr>
              <w:t xml:space="preserve">ChangedOn values returned by the IAM change-document services (IF-03, IF-04) are UTC. They carry no timezone designator and are interpreted as UTC. If the source emits system-local time, event times will be offset and the interpretation must be adjusted.</w:t>
            </w:r>
          </w:p>
        </w:tc>
      </w:tr>
      <w:tr>
        <w:tc>
          <w:tcPr>
            <w:tcW w:type="dxa" w:w="1000"/>
            <w:tcMar>
              <w:top w:type="dxa" w:w="60"/>
              <w:left w:type="dxa" w:w="100"/>
              <w:bottom w:type="dxa" w:w="60"/>
              <w:right w:type="dxa" w:w="100"/>
            </w:tcMar>
          </w:tcPr>
          <w:p>
            <w:pPr>
              <w:spacing w:after="0" w:line="250"/>
            </w:pPr>
            <w:r>
              <w:rPr>
                <w:sz w:val="19"/>
                <w:szCs w:val="19"/>
              </w:rPr>
              <w:t xml:space="preserve">AS-02</w:t>
            </w:r>
          </w:p>
        </w:tc>
        <w:tc>
          <w:tcPr>
            <w:tcW w:type="dxa" w:w="8026"/>
            <w:tcMar>
              <w:top w:type="dxa" w:w="60"/>
              <w:left w:type="dxa" w:w="100"/>
              <w:bottom w:type="dxa" w:w="60"/>
              <w:right w:type="dxa" w:w="100"/>
            </w:tcMar>
          </w:tcPr>
          <w:p>
            <w:pPr>
              <w:spacing w:after="0" w:line="250"/>
            </w:pPr>
            <w:r>
              <w:rPr>
                <w:sz w:val="19"/>
                <w:szCs w:val="19"/>
              </w:rPr>
              <w:t xml:space="preserve">The consumer invokes each endpoint on a cadence at least as frequent as the operational latency target, and re-invokes promptly while X-Caught-Up is false.</w:t>
            </w:r>
          </w:p>
        </w:tc>
      </w:tr>
      <w:tr>
        <w:tc>
          <w:tcPr>
            <w:tcW w:type="dxa" w:w="1000"/>
            <w:tcMar>
              <w:top w:type="dxa" w:w="60"/>
              <w:left w:type="dxa" w:w="100"/>
              <w:bottom w:type="dxa" w:w="60"/>
              <w:right w:type="dxa" w:w="100"/>
            </w:tcMar>
          </w:tcPr>
          <w:p>
            <w:pPr>
              <w:spacing w:after="0" w:line="250"/>
            </w:pPr>
            <w:r>
              <w:rPr>
                <w:sz w:val="19"/>
                <w:szCs w:val="19"/>
              </w:rPr>
              <w:t xml:space="preserve">AS-03</w:t>
            </w:r>
          </w:p>
        </w:tc>
        <w:tc>
          <w:tcPr>
            <w:tcW w:type="dxa" w:w="8026"/>
            <w:tcMar>
              <w:top w:type="dxa" w:w="60"/>
              <w:left w:type="dxa" w:w="100"/>
              <w:bottom w:type="dxa" w:w="60"/>
              <w:right w:type="dxa" w:w="100"/>
            </w:tcMar>
          </w:tcPr>
          <w:p>
            <w:pPr>
              <w:spacing w:after="0" w:line="250"/>
            </w:pPr>
            <w:r>
              <w:rPr>
                <w:sz w:val="19"/>
                <w:szCs w:val="19"/>
              </w:rPr>
              <w:t xml:space="preserve">Splunk performs deduplication on the documented natural keys.</w:t>
            </w:r>
          </w:p>
        </w:tc>
      </w:tr>
      <w:tr>
        <w:tc>
          <w:tcPr>
            <w:tcW w:type="dxa" w:w="1000"/>
            <w:tcMar>
              <w:top w:type="dxa" w:w="60"/>
              <w:left w:type="dxa" w:w="100"/>
              <w:bottom w:type="dxa" w:w="60"/>
              <w:right w:type="dxa" w:w="100"/>
            </w:tcMar>
          </w:tcPr>
          <w:p>
            <w:pPr>
              <w:spacing w:after="0" w:line="250"/>
            </w:pPr>
            <w:r>
              <w:rPr>
                <w:sz w:val="19"/>
                <w:szCs w:val="19"/>
              </w:rPr>
              <w:t xml:space="preserve">AS-04</w:t>
            </w:r>
          </w:p>
        </w:tc>
        <w:tc>
          <w:tcPr>
            <w:tcW w:type="dxa" w:w="8026"/>
            <w:tcMar>
              <w:top w:type="dxa" w:w="60"/>
              <w:left w:type="dxa" w:w="100"/>
              <w:bottom w:type="dxa" w:w="60"/>
              <w:right w:type="dxa" w:w="100"/>
            </w:tcMar>
          </w:tcPr>
          <w:p>
            <w:pPr>
              <w:spacing w:after="0" w:line="250"/>
            </w:pPr>
            <w:r>
              <w:rPr>
                <w:sz w:val="19"/>
                <w:szCs w:val="19"/>
              </w:rPr>
              <w:t xml:space="preserve">Event volume per hour per interface fits within CPI MPL memory at the configured maxWindowMinutes.</w:t>
            </w:r>
          </w:p>
        </w:tc>
      </w:tr>
    </w:tbl>
    <w:p>
      <w:pPr>
        <w:pStyle w:val="Heading2"/>
        <w:spacing w:after="140" w:before="240"/>
      </w:pPr>
      <w:r>
        <w:t xml:space="preserve">18.2 Constraints</w:t>
      </w:r>
    </w:p>
    <w:tbl>
      <w:tblPr>
        <w:tblW w:type="dxa" w:w="9026"/>
        <w:tblBorders>
          <w:top w:val="single" w:color="8EA9DB" w:sz="4"/>
          <w:left w:val="single" w:color="8EA9DB" w:sz="4"/>
          <w:bottom w:val="single" w:color="8EA9DB" w:sz="4"/>
          <w:right w:val="single" w:color="8EA9DB" w:sz="4"/>
          <w:insideH w:val="single" w:color="B4C6E7" w:sz="3"/>
          <w:insideV w:val="single" w:color="B4C6E7" w:sz="3"/>
        </w:tblBorders>
      </w:tblPr>
      <w:tblGrid>
        <w:gridCol w:w="1000"/>
        <w:gridCol w:w="8026"/>
      </w:tblGrid>
      <w:tr>
        <w:trPr>
          <w:tblHeader/>
        </w:trPr>
        <w:tc>
          <w:tcPr>
            <w:tcW w:type="dxa" w:w="1000"/>
            <w:shd w:fill="D9E2F3" w:color="auto" w:val="clear"/>
            <w:tcMar>
              <w:top w:type="dxa" w:w="60"/>
              <w:left w:type="dxa" w:w="100"/>
              <w:bottom w:type="dxa" w:w="60"/>
              <w:right w:type="dxa" w:w="100"/>
            </w:tcMar>
          </w:tcPr>
          <w:p>
            <w:pPr>
              <w:spacing w:after="0" w:line="250"/>
            </w:pPr>
            <w:r>
              <w:rPr>
                <w:b/>
                <w:bCs/>
                <w:sz w:val="19"/>
                <w:szCs w:val="19"/>
              </w:rPr>
              <w:t xml:space="preserve">ID</w:t>
            </w:r>
          </w:p>
        </w:tc>
        <w:tc>
          <w:tcPr>
            <w:tcW w:type="dxa" w:w="8026"/>
            <w:shd w:fill="D9E2F3" w:color="auto" w:val="clear"/>
            <w:tcMar>
              <w:top w:type="dxa" w:w="60"/>
              <w:left w:type="dxa" w:w="100"/>
              <w:bottom w:type="dxa" w:w="60"/>
              <w:right w:type="dxa" w:w="100"/>
            </w:tcMar>
          </w:tcPr>
          <w:p>
            <w:pPr>
              <w:spacing w:after="0" w:line="250"/>
            </w:pPr>
            <w:r>
              <w:rPr>
                <w:b/>
                <w:bCs/>
                <w:sz w:val="19"/>
                <w:szCs w:val="19"/>
              </w:rPr>
              <w:t xml:space="preserve">Constraint</w:t>
            </w:r>
          </w:p>
        </w:tc>
      </w:tr>
      <w:tr>
        <w:tc>
          <w:tcPr>
            <w:tcW w:type="dxa" w:w="1000"/>
            <w:tcMar>
              <w:top w:type="dxa" w:w="60"/>
              <w:left w:type="dxa" w:w="100"/>
              <w:bottom w:type="dxa" w:w="60"/>
              <w:right w:type="dxa" w:w="100"/>
            </w:tcMar>
          </w:tcPr>
          <w:p>
            <w:pPr>
              <w:spacing w:after="0" w:line="250"/>
            </w:pPr>
            <w:r>
              <w:rPr>
                <w:sz w:val="19"/>
                <w:szCs w:val="19"/>
              </w:rPr>
              <w:t xml:space="preserve">CO-01</w:t>
            </w:r>
          </w:p>
        </w:tc>
        <w:tc>
          <w:tcPr>
            <w:tcW w:type="dxa" w:w="8026"/>
            <w:tcMar>
              <w:top w:type="dxa" w:w="60"/>
              <w:left w:type="dxa" w:w="100"/>
              <w:bottom w:type="dxa" w:w="60"/>
              <w:right w:type="dxa" w:w="100"/>
            </w:tcMar>
          </w:tcPr>
          <w:p>
            <w:pPr>
              <w:spacing w:after="0" w:line="250"/>
            </w:pPr>
            <w:r>
              <w:rPr>
                <w:sz w:val="19"/>
                <w:szCs w:val="19"/>
              </w:rPr>
              <w:t xml:space="preserve">The reply model requires the full window to be buffered in memory, which mandates the window cap.</w:t>
            </w:r>
          </w:p>
        </w:tc>
      </w:tr>
      <w:tr>
        <w:tc>
          <w:tcPr>
            <w:tcW w:type="dxa" w:w="1000"/>
            <w:tcMar>
              <w:top w:type="dxa" w:w="60"/>
              <w:left w:type="dxa" w:w="100"/>
              <w:bottom w:type="dxa" w:w="60"/>
              <w:right w:type="dxa" w:w="100"/>
            </w:tcMar>
          </w:tcPr>
          <w:p>
            <w:pPr>
              <w:spacing w:after="0" w:line="250"/>
            </w:pPr>
            <w:r>
              <w:rPr>
                <w:sz w:val="19"/>
                <w:szCs w:val="19"/>
              </w:rPr>
              <w:t xml:space="preserve">CO-02</w:t>
            </w:r>
          </w:p>
        </w:tc>
        <w:tc>
          <w:tcPr>
            <w:tcW w:type="dxa" w:w="8026"/>
            <w:tcMar>
              <w:top w:type="dxa" w:w="60"/>
              <w:left w:type="dxa" w:w="100"/>
              <w:bottom w:type="dxa" w:w="60"/>
              <w:right w:type="dxa" w:w="100"/>
            </w:tcMar>
          </w:tcPr>
          <w:p>
            <w:pPr>
              <w:spacing w:after="0" w:line="250"/>
            </w:pPr>
            <w:r>
              <w:rPr>
                <w:sz w:val="19"/>
                <w:szCs w:val="19"/>
              </w:rPr>
              <w:t xml:space="preserve">CPI cannot confirm consumer ingestion; delivery is at-least-once, not exactly-once.</w:t>
            </w:r>
          </w:p>
        </w:tc>
      </w:tr>
      <w:tr>
        <w:tc>
          <w:tcPr>
            <w:tcW w:type="dxa" w:w="1000"/>
            <w:tcMar>
              <w:top w:type="dxa" w:w="60"/>
              <w:left w:type="dxa" w:w="100"/>
              <w:bottom w:type="dxa" w:w="60"/>
              <w:right w:type="dxa" w:w="100"/>
            </w:tcMar>
          </w:tcPr>
          <w:p>
            <w:pPr>
              <w:spacing w:after="0" w:line="250"/>
            </w:pPr>
            <w:r>
              <w:rPr>
                <w:sz w:val="19"/>
                <w:szCs w:val="19"/>
              </w:rPr>
              <w:t xml:space="preserve">CO-03</w:t>
            </w:r>
          </w:p>
        </w:tc>
        <w:tc>
          <w:tcPr>
            <w:tcW w:type="dxa" w:w="8026"/>
            <w:tcMar>
              <w:top w:type="dxa" w:w="60"/>
              <w:left w:type="dxa" w:w="100"/>
              <w:bottom w:type="dxa" w:w="60"/>
              <w:right w:type="dxa" w:w="100"/>
            </w:tcMar>
          </w:tcPr>
          <w:p>
            <w:pPr>
              <w:spacing w:after="0" w:line="250"/>
            </w:pPr>
            <w:r>
              <w:rPr>
                <w:sz w:val="19"/>
                <w:szCs w:val="19"/>
              </w:rPr>
              <w:t xml:space="preserve">The iFlow definition files within the three copied artifacts retain the file name of the original Security Audit Log artifact. Artifact identity derives from the bundle manifest, which is correct in each case; this is cosmetic only.</w:t>
            </w:r>
          </w:p>
        </w:tc>
      </w:tr>
      <w:tr>
        <w:tc>
          <w:tcPr>
            <w:tcW w:type="dxa" w:w="1000"/>
            <w:tcMar>
              <w:top w:type="dxa" w:w="60"/>
              <w:left w:type="dxa" w:w="100"/>
              <w:bottom w:type="dxa" w:w="60"/>
              <w:right w:type="dxa" w:w="100"/>
            </w:tcMar>
          </w:tcPr>
          <w:p>
            <w:pPr>
              <w:spacing w:after="0" w:line="250"/>
            </w:pPr>
            <w:r>
              <w:rPr>
                <w:sz w:val="19"/>
                <w:szCs w:val="19"/>
              </w:rPr>
              <w:t xml:space="preserve">CO-04</w:t>
            </w:r>
          </w:p>
        </w:tc>
        <w:tc>
          <w:tcPr>
            <w:tcW w:type="dxa" w:w="8026"/>
            <w:tcMar>
              <w:top w:type="dxa" w:w="60"/>
              <w:left w:type="dxa" w:w="100"/>
              <w:bottom w:type="dxa" w:w="60"/>
              <w:right w:type="dxa" w:w="100"/>
            </w:tcMar>
          </w:tcPr>
          <w:p>
            <w:pPr>
              <w:spacing w:after="0" w:line="250"/>
            </w:pPr>
            <w:r>
              <w:rPr>
                <w:sz w:val="19"/>
                <w:szCs w:val="19"/>
              </w:rPr>
              <w:t xml:space="preserve">The Business User and Business Role services are OData V2 and require different date-literal syntax from the V4 services; the two protocol families cannot share a single query template.</w:t>
            </w:r>
          </w:p>
        </w:tc>
      </w:tr>
    </w:tbl>
    <w:p>
      <w:pPr>
        <w:pStyle w:val="Heading2"/>
        <w:spacing w:after="140" w:before="240"/>
      </w:pPr>
      <w:r>
        <w:t xml:space="preserve">18.3 Open items</w:t>
      </w:r>
    </w:p>
    <w:tbl>
      <w:tblPr>
        <w:tblW w:type="dxa" w:w="9026"/>
        <w:tblBorders>
          <w:top w:val="single" w:color="8EA9DB" w:sz="4"/>
          <w:left w:val="single" w:color="8EA9DB" w:sz="4"/>
          <w:bottom w:val="single" w:color="8EA9DB" w:sz="4"/>
          <w:right w:val="single" w:color="8EA9DB" w:sz="4"/>
          <w:insideH w:val="single" w:color="B4C6E7" w:sz="3"/>
          <w:insideV w:val="single" w:color="B4C6E7" w:sz="3"/>
        </w:tblBorders>
      </w:tblPr>
      <w:tblGrid>
        <w:gridCol w:w="1000"/>
        <w:gridCol w:w="8026"/>
      </w:tblGrid>
      <w:tr>
        <w:trPr>
          <w:tblHeader/>
        </w:trPr>
        <w:tc>
          <w:tcPr>
            <w:tcW w:type="dxa" w:w="1000"/>
            <w:shd w:fill="D9E2F3" w:color="auto" w:val="clear"/>
            <w:tcMar>
              <w:top w:type="dxa" w:w="60"/>
              <w:left w:type="dxa" w:w="100"/>
              <w:bottom w:type="dxa" w:w="60"/>
              <w:right w:type="dxa" w:w="100"/>
            </w:tcMar>
          </w:tcPr>
          <w:p>
            <w:pPr>
              <w:spacing w:after="0" w:line="250"/>
            </w:pPr>
            <w:r>
              <w:rPr>
                <w:b/>
                <w:bCs/>
                <w:sz w:val="19"/>
                <w:szCs w:val="19"/>
              </w:rPr>
              <w:t xml:space="preserve">ID</w:t>
            </w:r>
          </w:p>
        </w:tc>
        <w:tc>
          <w:tcPr>
            <w:tcW w:type="dxa" w:w="8026"/>
            <w:shd w:fill="D9E2F3" w:color="auto" w:val="clear"/>
            <w:tcMar>
              <w:top w:type="dxa" w:w="60"/>
              <w:left w:type="dxa" w:w="100"/>
              <w:bottom w:type="dxa" w:w="60"/>
              <w:right w:type="dxa" w:w="100"/>
            </w:tcMar>
          </w:tcPr>
          <w:p>
            <w:pPr>
              <w:spacing w:after="0" w:line="250"/>
            </w:pPr>
            <w:r>
              <w:rPr>
                <w:b/>
                <w:bCs/>
                <w:sz w:val="19"/>
                <w:szCs w:val="19"/>
              </w:rPr>
              <w:t xml:space="preserve">Open item</w:t>
            </w:r>
          </w:p>
        </w:tc>
      </w:tr>
      <w:tr>
        <w:tc>
          <w:tcPr>
            <w:tcW w:type="dxa" w:w="1000"/>
            <w:tcMar>
              <w:top w:type="dxa" w:w="60"/>
              <w:left w:type="dxa" w:w="100"/>
              <w:bottom w:type="dxa" w:w="60"/>
              <w:right w:type="dxa" w:w="100"/>
            </w:tcMar>
          </w:tcPr>
          <w:p>
            <w:pPr>
              <w:spacing w:after="0" w:line="250"/>
            </w:pPr>
            <w:r>
              <w:rPr>
                <w:sz w:val="19"/>
                <w:szCs w:val="19"/>
              </w:rPr>
              <w:t xml:space="preserve">OI-01</w:t>
            </w:r>
          </w:p>
        </w:tc>
        <w:tc>
          <w:tcPr>
            <w:tcW w:type="dxa" w:w="8026"/>
            <w:tcMar>
              <w:top w:type="dxa" w:w="60"/>
              <w:left w:type="dxa" w:w="100"/>
              <w:bottom w:type="dxa" w:w="60"/>
              <w:right w:type="dxa" w:w="100"/>
            </w:tcMar>
          </w:tcPr>
          <w:p>
            <w:pPr>
              <w:spacing w:after="0" w:line="250"/>
            </w:pPr>
            <w:r>
              <w:rPr>
                <w:sz w:val="19"/>
                <w:szCs w:val="19"/>
              </w:rPr>
              <w:t xml:space="preserve">Confirm AS-01 by comparing one extracted ChangedOn value against the same change record in the S/4HANA user interface.</w:t>
            </w:r>
          </w:p>
        </w:tc>
      </w:tr>
      <w:tr>
        <w:tc>
          <w:tcPr>
            <w:tcW w:type="dxa" w:w="1000"/>
            <w:tcMar>
              <w:top w:type="dxa" w:w="60"/>
              <w:left w:type="dxa" w:w="100"/>
              <w:bottom w:type="dxa" w:w="60"/>
              <w:right w:type="dxa" w:w="100"/>
            </w:tcMar>
          </w:tcPr>
          <w:p>
            <w:pPr>
              <w:spacing w:after="0" w:line="250"/>
            </w:pPr>
            <w:r>
              <w:rPr>
                <w:sz w:val="19"/>
                <w:szCs w:val="19"/>
              </w:rPr>
              <w:t xml:space="preserve">OI-02</w:t>
            </w:r>
          </w:p>
        </w:tc>
        <w:tc>
          <w:tcPr>
            <w:tcW w:type="dxa" w:w="8026"/>
            <w:tcMar>
              <w:top w:type="dxa" w:w="60"/>
              <w:left w:type="dxa" w:w="100"/>
              <w:bottom w:type="dxa" w:w="60"/>
              <w:right w:type="dxa" w:w="100"/>
            </w:tcMar>
          </w:tcPr>
          <w:p>
            <w:pPr>
              <w:spacing w:after="0" w:line="250"/>
            </w:pPr>
            <w:r>
              <w:rPr>
                <w:sz w:val="19"/>
                <w:szCs w:val="19"/>
              </w:rPr>
              <w:t xml:space="preserve">Replace the standard sender role ESBMessaging.send with a dedicated custom role before production cut-over.</w:t>
            </w:r>
          </w:p>
        </w:tc>
      </w:tr>
      <w:tr>
        <w:tc>
          <w:tcPr>
            <w:tcW w:type="dxa" w:w="1000"/>
            <w:tcMar>
              <w:top w:type="dxa" w:w="60"/>
              <w:left w:type="dxa" w:w="100"/>
              <w:bottom w:type="dxa" w:w="60"/>
              <w:right w:type="dxa" w:w="100"/>
            </w:tcMar>
          </w:tcPr>
          <w:p>
            <w:pPr>
              <w:spacing w:after="0" w:line="250"/>
            </w:pPr>
            <w:r>
              <w:rPr>
                <w:sz w:val="19"/>
                <w:szCs w:val="19"/>
              </w:rPr>
              <w:t xml:space="preserve">OI-03</w:t>
            </w:r>
          </w:p>
        </w:tc>
        <w:tc>
          <w:tcPr>
            <w:tcW w:type="dxa" w:w="8026"/>
            <w:tcMar>
              <w:top w:type="dxa" w:w="60"/>
              <w:left w:type="dxa" w:w="100"/>
              <w:bottom w:type="dxa" w:w="60"/>
              <w:right w:type="dxa" w:w="100"/>
            </w:tcMar>
          </w:tcPr>
          <w:p>
            <w:pPr>
              <w:spacing w:after="0" w:line="250"/>
            </w:pPr>
            <w:r>
              <w:rPr>
                <w:sz w:val="19"/>
                <w:szCs w:val="19"/>
              </w:rPr>
              <w:t xml:space="preserve">Agree Splunk index, retention and access restrictions for Read Access Log data with the data protection officer.</w:t>
            </w:r>
          </w:p>
        </w:tc>
      </w:tr>
      <w:tr>
        <w:tc>
          <w:tcPr>
            <w:tcW w:type="dxa" w:w="1000"/>
            <w:tcMar>
              <w:top w:type="dxa" w:w="60"/>
              <w:left w:type="dxa" w:w="100"/>
              <w:bottom w:type="dxa" w:w="60"/>
              <w:right w:type="dxa" w:w="100"/>
            </w:tcMar>
          </w:tcPr>
          <w:p>
            <w:pPr>
              <w:spacing w:after="0" w:line="250"/>
            </w:pPr>
            <w:r>
              <w:rPr>
                <w:sz w:val="19"/>
                <w:szCs w:val="19"/>
              </w:rPr>
              <w:t xml:space="preserve">OI-04</w:t>
            </w:r>
          </w:p>
        </w:tc>
        <w:tc>
          <w:tcPr>
            <w:tcW w:type="dxa" w:w="8026"/>
            <w:tcMar>
              <w:top w:type="dxa" w:w="60"/>
              <w:left w:type="dxa" w:w="100"/>
              <w:bottom w:type="dxa" w:w="60"/>
              <w:right w:type="dxa" w:w="100"/>
            </w:tcMar>
          </w:tcPr>
          <w:p>
            <w:pPr>
              <w:spacing w:after="0" w:line="250"/>
            </w:pPr>
            <w:r>
              <w:rPr>
                <w:sz w:val="19"/>
                <w:szCs w:val="19"/>
              </w:rPr>
              <w:t xml:space="preserve">Tune maxWindowMinutes per interface after observing production volumes.</w:t>
            </w:r>
          </w:p>
        </w:tc>
      </w:tr>
      <w:tr>
        <w:tc>
          <w:tcPr>
            <w:tcW w:type="dxa" w:w="1000"/>
            <w:tcMar>
              <w:top w:type="dxa" w:w="60"/>
              <w:left w:type="dxa" w:w="100"/>
              <w:bottom w:type="dxa" w:w="60"/>
              <w:right w:type="dxa" w:w="100"/>
            </w:tcMar>
          </w:tcPr>
          <w:p>
            <w:pPr>
              <w:spacing w:after="0" w:line="250"/>
            </w:pPr>
            <w:r>
              <w:rPr>
                <w:sz w:val="19"/>
                <w:szCs w:val="19"/>
              </w:rPr>
              <w:t xml:space="preserve">OI-05</w:t>
            </w:r>
          </w:p>
        </w:tc>
        <w:tc>
          <w:tcPr>
            <w:tcW w:type="dxa" w:w="8026"/>
            <w:tcMar>
              <w:top w:type="dxa" w:w="60"/>
              <w:left w:type="dxa" w:w="100"/>
              <w:bottom w:type="dxa" w:w="60"/>
              <w:right w:type="dxa" w:w="100"/>
            </w:tcMar>
          </w:tcPr>
          <w:p>
            <w:pPr>
              <w:spacing w:after="0" w:line="250"/>
            </w:pPr>
            <w:r>
              <w:rPr>
                <w:sz w:val="19"/>
                <w:szCs w:val="19"/>
              </w:rPr>
              <w:t xml:space="preserve">Confirm the final detection rule set, approved-country list and alert thresholds (§2.3) with the SOC before go-live.</w:t>
            </w:r>
          </w:p>
        </w:tc>
      </w:tr>
    </w:tbl>
    <w:p>
      <w:r>
        <w:br w:type="page"/>
      </w:r>
    </w:p>
    <w:p>
      <w:pPr>
        <w:pStyle w:val="Heading1"/>
        <w:spacing w:after="140" w:before="320"/>
      </w:pPr>
      <w:r>
        <w:t xml:space="preserve">Appendix A — Extracted Field Lists</w:t>
      </w:r>
    </w:p>
    <w:p>
      <w:pPr>
        <w:spacing w:after="120" w:line="276"/>
      </w:pPr>
      <w:r>
        <w:rPr>
          <w:sz w:val="21"/>
          <w:szCs w:val="21"/>
        </w:rPr>
        <w:t xml:space="preserve">The $select of each interface covers every property exposed by the corresponding entity type; all field names were validated against the service EDMX.</w:t>
      </w:r>
    </w:p>
    <w:p>
      <w:pPr>
        <w:pStyle w:val="Heading2"/>
        <w:spacing w:after="140" w:before="240"/>
      </w:pPr>
      <w:r>
        <w:t xml:space="preserve">IF-01 — Security Audit Log (18 fields)</w:t>
      </w:r>
    </w:p>
    <w:p>
      <w:pPr>
        <w:pBdr>
          <w:left w:val="single" w:color="1F4E79" w:sz="12" w:space="6"/>
        </w:pBdr>
        <w:shd w:fill="F2F2F2" w:color="auto" w:val="clear"/>
        <w:spacing w:after="60" w:before="60"/>
        <w:ind w:left="180"/>
      </w:pPr>
      <w:r>
        <w:rPr>
          <w:rFonts w:ascii="Consolas" w:cs="Consolas" w:eastAsia="Consolas" w:hAnsi="Consolas"/>
          <w:sz w:val="17"/>
          <w:szCs w:val="17"/>
        </w:rPr>
        <w:t xml:space="preserve">eventID, log_tstmp, slgmand, sid, counter, terminal_name, user_fullname, param_a, param_b, param_c, param_d, slgtc, slgrepna, rsau_text, UserID, useralias, email_adress, UserDescription</w:t>
      </w:r>
    </w:p>
    <w:p>
      <w:pPr>
        <w:spacing w:after="140"/>
      </w:pPr>
    </w:p>
    <w:p>
      <w:pPr>
        <w:pStyle w:val="Heading2"/>
        <w:spacing w:after="140" w:before="240"/>
      </w:pPr>
      <w:r>
        <w:t xml:space="preserve">IF-02 — Read Access Log (RAL) (14 fields)</w:t>
      </w:r>
    </w:p>
    <w:p>
      <w:pPr>
        <w:pBdr>
          <w:left w:val="single" w:color="1F4E79" w:sz="12" w:space="6"/>
        </w:pBdr>
        <w:shd w:fill="F2F2F2" w:color="auto" w:val="clear"/>
        <w:spacing w:after="60" w:before="60"/>
        <w:ind w:left="180"/>
      </w:pPr>
      <w:r>
        <w:rPr>
          <w:rFonts w:ascii="Consolas" w:cs="Consolas" w:eastAsia="Consolas" w:hAnsi="Consolas"/>
          <w:sz w:val="17"/>
          <w:szCs w:val="17"/>
        </w:rPr>
        <w:t xml:space="preserve">LogID, LogTimestamp, UserID, UserEmail, UserAlias, UserDescription, ChannelID, Direction, Purpose, LogDomainName, FieldType, FieldName, FieldValue, EPPID</w:t>
      </w:r>
    </w:p>
    <w:p>
      <w:pPr>
        <w:spacing w:after="140"/>
      </w:pPr>
    </w:p>
    <w:p>
      <w:pPr>
        <w:pStyle w:val="Heading2"/>
        <w:spacing w:after="140" w:before="240"/>
      </w:pPr>
      <w:r>
        <w:t xml:space="preserve">IF-03 — Business User Changes (15 fields)</w:t>
      </w:r>
    </w:p>
    <w:p>
      <w:pPr>
        <w:pBdr>
          <w:left w:val="single" w:color="1F4E79" w:sz="12" w:space="6"/>
        </w:pBdr>
        <w:shd w:fill="F2F2F2" w:color="auto" w:val="clear"/>
        <w:spacing w:after="60" w:before="60"/>
        <w:ind w:left="180"/>
      </w:pPr>
      <w:r>
        <w:rPr>
          <w:rFonts w:ascii="Consolas" w:cs="Consolas" w:eastAsia="Consolas" w:hAnsi="Consolas"/>
          <w:sz w:val="17"/>
          <w:szCs w:val="17"/>
        </w:rPr>
        <w:t xml:space="preserve">BusinessUserID, ChangedOn, ChangeCategory, Attribute, ValueChangedFrom, ValueChangedTo, ChangedByUserName, ChangedByUserID, ChangedByUserEmailAddress, ChangedByGlobalUserID, Action, ChangeCategoryText, AttributeText, ValueChangedFromText, ValueChangedToText</w:t>
      </w:r>
    </w:p>
    <w:p>
      <w:pPr>
        <w:spacing w:after="140"/>
      </w:pPr>
    </w:p>
    <w:p>
      <w:pPr>
        <w:pStyle w:val="Heading2"/>
        <w:spacing w:after="140" w:before="240"/>
      </w:pPr>
      <w:r>
        <w:t xml:space="preserve">IF-04 — Business Role Changes (12 fields)</w:t>
      </w:r>
    </w:p>
    <w:p>
      <w:pPr>
        <w:pBdr>
          <w:left w:val="single" w:color="1F4E79" w:sz="12" w:space="6"/>
        </w:pBdr>
        <w:shd w:fill="F2F2F2" w:color="auto" w:val="clear"/>
        <w:spacing w:after="60" w:before="60"/>
        <w:ind w:left="180"/>
      </w:pPr>
      <w:r>
        <w:rPr>
          <w:rFonts w:ascii="Consolas" w:cs="Consolas" w:eastAsia="Consolas" w:hAnsi="Consolas"/>
          <w:sz w:val="17"/>
          <w:szCs w:val="17"/>
        </w:rPr>
        <w:t xml:space="preserve">BusinessRoleID, ChangedOn, ChangeCategory, Attribute, ValueChangedFrom, ValueChangedTo, ChangedByUserName, ChangedByUserID, ChangedByUserEmailAddress, ChangedByGlobalUserID, Action, ChangeCategoryText</w:t>
      </w:r>
    </w:p>
    <w:p>
      <w:pPr>
        <w:spacing w:after="140"/>
      </w:pPr>
    </w:p>
    <w:p>
      <w:pPr>
        <w:pStyle w:val="Heading1"/>
        <w:spacing w:after="140" w:before="320"/>
      </w:pPr>
      <w:r>
        <w:t xml:space="preserve">Appendix B — Validation Performed</w:t>
      </w:r>
    </w:p>
    <w:p>
      <w:pPr>
        <w:spacing w:after="120" w:line="276"/>
      </w:pPr>
      <w:r>
        <w:rPr>
          <w:sz w:val="21"/>
          <w:szCs w:val="21"/>
        </w:rPr>
        <w:t xml:space="preserve">The following automated checks were executed against the four packaged artifacts prior to baselining:</w:t>
      </w:r>
    </w:p>
    <w:p>
      <w:pPr>
        <w:pStyle w:val="ListParagraph"/>
        <w:numPr>
          <w:ilvl w:val="0"/>
          <w:numId w:val="2"/>
        </w:numPr>
        <w:spacing w:after="70" w:line="276"/>
      </w:pPr>
      <w:r>
        <w:rPr>
          <w:sz w:val="21"/>
          <w:szCs w:val="21"/>
        </w:rPr>
        <w:t xml:space="preserve">iFlow XML well-formedness.</w:t>
      </w:r>
    </w:p>
    <w:p>
      <w:pPr>
        <w:pStyle w:val="ListParagraph"/>
        <w:numPr>
          <w:ilvl w:val="0"/>
          <w:numId w:val="2"/>
        </w:numPr>
        <w:spacing w:after="70" w:line="276"/>
      </w:pPr>
      <w:r>
        <w:rPr>
          <w:sz w:val="21"/>
          <w:szCs w:val="21"/>
        </w:rPr>
        <w:t xml:space="preserve">BPMN referential integrity — every sequence flow, message flow and diagram reference resolves; incoming/outgoing declarations consistent.</w:t>
      </w:r>
    </w:p>
    <w:p>
      <w:pPr>
        <w:pStyle w:val="ListParagraph"/>
        <w:numPr>
          <w:ilvl w:val="0"/>
          <w:numId w:val="2"/>
        </w:numPr>
        <w:spacing w:after="70" w:line="276"/>
      </w:pPr>
      <w:r>
        <w:rPr>
          <w:sz w:val="21"/>
          <w:szCs w:val="21"/>
        </w:rPr>
        <w:t xml:space="preserve">Every referenced Groovy script exists; no orphan script files remain in the bundle.</w:t>
      </w:r>
    </w:p>
    <w:p>
      <w:pPr>
        <w:pStyle w:val="ListParagraph"/>
        <w:numPr>
          <w:ilvl w:val="0"/>
          <w:numId w:val="2"/>
        </w:numPr>
        <w:spacing w:after="70" w:line="276"/>
      </w:pPr>
      <w:r>
        <w:rPr>
          <w:sz w:val="21"/>
          <w:szCs w:val="21"/>
        </w:rPr>
        <w:t xml:space="preserve">Groovy flow-step version matches the script file's API and package declaration.</w:t>
      </w:r>
    </w:p>
    <w:p>
      <w:pPr>
        <w:pStyle w:val="ListParagraph"/>
        <w:numPr>
          <w:ilvl w:val="0"/>
          <w:numId w:val="2"/>
        </w:numPr>
        <w:spacing w:after="70" w:line="276"/>
      </w:pPr>
      <w:r>
        <w:rPr>
          <w:sz w:val="21"/>
          <w:szCs w:val="21"/>
        </w:rPr>
        <w:t xml:space="preserve">The mapper's record path matches the XML-to-JSON converter path.</w:t>
      </w:r>
    </w:p>
    <w:p>
      <w:pPr>
        <w:pStyle w:val="ListParagraph"/>
        <w:numPr>
          <w:ilvl w:val="0"/>
          <w:numId w:val="2"/>
        </w:numPr>
        <w:spacing w:after="70" w:line="276"/>
      </w:pPr>
      <w:r>
        <w:rPr>
          <w:sz w:val="21"/>
          <w:szCs w:val="21"/>
        </w:rPr>
        <w:t xml:space="preserve">$select field names validated against each service EDMX.</w:t>
      </w:r>
    </w:p>
    <w:p>
      <w:pPr>
        <w:pStyle w:val="ListParagraph"/>
        <w:numPr>
          <w:ilvl w:val="0"/>
          <w:numId w:val="2"/>
        </w:numPr>
        <w:spacing w:after="70" w:line="276"/>
      </w:pPr>
      <w:r>
        <w:rPr>
          <w:sz w:val="21"/>
          <w:szCs w:val="21"/>
        </w:rPr>
        <w:t xml:space="preserve">$filter present, $orderby present, strict gt lower bound, and version-correct date literals.</w:t>
      </w:r>
    </w:p>
    <w:p>
      <w:pPr>
        <w:pStyle w:val="ListParagraph"/>
        <w:numPr>
          <w:ilvl w:val="0"/>
          <w:numId w:val="2"/>
        </w:numPr>
        <w:spacing w:after="70" w:line="276"/>
      </w:pPr>
      <w:r>
        <w:rPr>
          <w:sz w:val="21"/>
          <w:szCs w:val="21"/>
        </w:rPr>
        <w:t xml:space="preserve">Loop maximum sufficient, and loop-condition property matching the receiver participant name.</w:t>
      </w:r>
    </w:p>
    <w:p>
      <w:pPr>
        <w:pStyle w:val="ListParagraph"/>
        <w:numPr>
          <w:ilvl w:val="0"/>
          <w:numId w:val="2"/>
        </w:numPr>
        <w:spacing w:after="70" w:line="276"/>
      </w:pPr>
      <w:r>
        <w:rPr>
          <w:sz w:val="21"/>
          <w:szCs w:val="21"/>
        </w:rPr>
        <w:t xml:space="preserve">Endpoint path, Data Store name and bundle symbolic name unique across all four artifacts.</w:t>
      </w:r>
    </w:p>
    <w:p>
      <w:pPr>
        <w:pStyle w:val="ListParagraph"/>
        <w:numPr>
          <w:ilvl w:val="0"/>
          <w:numId w:val="2"/>
        </w:numPr>
        <w:spacing w:after="70" w:line="276"/>
      </w:pPr>
      <w:r>
        <w:rPr>
          <w:sz w:val="21"/>
          <w:szCs w:val="21"/>
        </w:rPr>
        <w:t xml:space="preserve">Timestamp parsing verified against captured production sample payloads for all four log types.</w:t>
      </w:r>
    </w:p>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3828"/>
      <w:gridCol w:w="3264"/>
      <w:gridCol w:w="1934"/>
    </w:tblGrid>
    <w:tr>
      <w:tc>
        <w:tcPr>
          <w:tcW w:type="dxa" w:w="3828"/>
          <w:tcMar>
            <w:top w:type="dxa" w:w="0"/>
            <w:left w:type="dxa" w:w="0"/>
            <w:bottom w:type="dxa" w:w="0"/>
            <w:right w:type="dxa" w:w="0"/>
          </w:tcMar>
        </w:tcPr>
        <w:p>
          <w:pPr>
            <w:spacing w:after="0"/>
          </w:pPr>
          <w:r>
            <w:rPr>
              <w:color w:val="1E1E1E"/>
              <w:sz w:val="16"/>
              <w:szCs w:val="16"/>
            </w:rPr>
            <w:t xml:space="preserve">Service Stream</w:t>
          </w:r>
        </w:p>
      </w:tc>
      <w:tc>
        <w:tcPr>
          <w:tcW w:type="dxa" w:w="3264"/>
          <w:tcMar>
            <w:top w:type="dxa" w:w="0"/>
            <w:left w:type="dxa" w:w="0"/>
            <w:bottom w:type="dxa" w:w="0"/>
            <w:right w:type="dxa" w:w="0"/>
          </w:tcMar>
        </w:tcPr>
        <w:p>
          <w:pPr>
            <w:spacing w:after="0"/>
          </w:pPr>
          <w:r>
            <w:rPr>
              <w:color w:val="1E1E1E"/>
              <w:sz w:val="16"/>
              <w:szCs w:val="16"/>
            </w:rPr>
            <w:t xml:space="preserve">Project Apollo – Security Log Extraction to Splunk</w:t>
          </w:r>
        </w:p>
      </w:tc>
      <w:tc>
        <w:tcPr>
          <w:tcW w:type="dxa" w:w="1934"/>
          <w:tcMar>
            <w:top w:type="dxa" w:w="0"/>
            <w:left w:type="dxa" w:w="0"/>
            <w:bottom w:type="dxa" w:w="0"/>
            <w:right w:type="dxa" w:w="0"/>
          </w:tcMar>
        </w:tcPr>
        <w:p>
          <w:pPr>
            <w:spacing w:after="0"/>
            <w:jc w:val="right"/>
          </w:pPr>
          <w:r>
            <w:rPr>
              <w:color w:val="1E1E1E"/>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tc>
    </w:tr>
  </w:tbl>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30" w:before="0"/>
    </w:pPr>
    <w:r>
      <w:rPr>
        <w:b/>
        <w:bCs/>
        <w:color w:val="FFFFFF"/>
        <w:spacing w:val="80"/>
        <w:sz w:val="26"/>
        <w:szCs w:val="26"/>
      </w:rPr>
      <w:t xml:space="preserve">SERVICE STREAM</w:t>
    </w:r>
  </w:p>
  <w:p>
    <w:pPr>
      <w:spacing w:after="0"/>
    </w:pPr>
    <w:r>
      <w:rPr>
        <w:color w:val="FFFFFF"/>
        <w:sz w:val="16"/>
        <w:szCs w:val="16"/>
      </w:rPr>
      <w:t xml:space="preserve">Commercial in Confidence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4C6E7" w:sz="6" w:space="4"/>
      </w:pBdr>
      <w:jc w:val="right"/>
    </w:pPr>
    <w:r>
      <w:rPr>
        <w:color w:val="808080"/>
        <w:sz w:val="16"/>
        <w:szCs w:val="16"/>
      </w:rPr>
      <w:t xml:space="preserve">Service Stream  |  Project Apollo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anchor distT="0" distB="0" distL="0" distR="0" simplePos="0" allowOverlap="1" behindDoc="1" locked="0" layoutInCell="1" relativeHeight="10763250">
          <wp:simplePos x="0" y="0"/>
          <wp:positionH relativeFrom="page">
            <wp:posOffset>-51955</wp:posOffset>
          </wp:positionH>
          <wp:positionV relativeFrom="page">
            <wp:posOffset>-72737</wp:posOffset>
          </wp:positionV>
          <wp:extent cx="7686675" cy="1076325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86675" cy="1076325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10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Calibri" w:cs="Calibri" w:eastAsia="Calibri" w:hAnsi="Calibri"/>
      <w:b/>
      <w:bCs/>
      <w:color w:val="1F4E79"/>
      <w:sz w:val="30"/>
      <w:szCs w:val="30"/>
    </w:rPr>
  </w:style>
  <w:style w:type="paragraph" w:styleId="Heading2">
    <w:name w:val="Heading 2"/>
    <w:basedOn w:val="Normal"/>
    <w:next w:val="Normal"/>
    <w:qFormat/>
    <w:pPr>
      <w:spacing w:after="120" w:before="260"/>
    </w:pPr>
    <w:rPr>
      <w:rFonts w:ascii="Calibri" w:cs="Calibri" w:eastAsia="Calibri" w:hAnsi="Calibri"/>
      <w:b/>
      <w:bCs/>
      <w:color w:val="2E75B6"/>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 Id="rId12" Type="http://schemas.openxmlformats.org/officeDocument/2006/relationships/image" Target="media/flowdiagram1.png"/><Relationship Id="rId13" Type="http://schemas.openxmlformats.org/officeDocument/2006/relationships/package" Target="embeddings/oleObject1.pptx"/><Relationship Id="rId14" Type="http://schemas.openxmlformats.org/officeDocument/2006/relationships/image" Target="media/flowdiagram2.png"/><Relationship Id="rId15" Type="http://schemas.openxmlformats.org/officeDocument/2006/relationships/package" Target="embeddings/oleObject2.pptx"/></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d0100cc0910a989f5738e24db37cad18e2599af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Apollo — Security Log Extraction to Splunk — Technical Specification &amp; Design</dc:title>
  <dc:creator>Integration Team</dc:creator>
  <dc:description>Technical specification and requirements for four SAP CPI security log extraction interfaces</dc:description>
  <cp:lastModifiedBy>Un-named</cp:lastModifiedBy>
  <cp:revision>1</cp:revision>
  <dcterms:created xsi:type="dcterms:W3CDTF">2026-08-21T00:14:36.721Z</dcterms:created>
  <dcterms:modified xsi:type="dcterms:W3CDTF">2026-08-21T00:14:36.722Z</dcterms:modified>
</cp:coreProperties>
</file>

<file path=docProps/custom.xml><?xml version="1.0" encoding="utf-8"?>
<Properties xmlns="http://schemas.openxmlformats.org/officeDocument/2006/custom-properties" xmlns:vt="http://schemas.openxmlformats.org/officeDocument/2006/docPropsVTypes"/>
</file>