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mbria" w:cs="Cambria" w:eastAsia="Cambria" w:hAnsi="Cambria"/>
          <w:b w:val="1"/>
          <w:bCs w:val="1"/>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1933575</wp:posOffset>
                </wp:positionH>
                <wp:positionV relativeFrom="paragraph">
                  <wp:posOffset>131445</wp:posOffset>
                </wp:positionV>
                <wp:extent cx="4005263" cy="533020"/>
                <wp:effectExtent b="0" l="0" r="0" t="0"/>
                <wp:wrapSquare wrapText="bothSides" distB="45720" distT="45720" distL="114300" distR="114300"/>
                <wp:docPr id="1" name=""/>
                <a:graphic>
                  <a:graphicData uri="http://schemas.microsoft.com/office/word/2010/wordprocessingShape">
                    <wps:wsp>
                      <wps:cNvSpPr/>
                      <wps:cNvPr id="2" name="Shape 2"/>
                      <wps:spPr>
                        <a:xfrm>
                          <a:off x="2639200" y="3509500"/>
                          <a:ext cx="4992900" cy="540900"/>
                        </a:xfrm>
                        <a:prstGeom prst="rect">
                          <a:avLst/>
                        </a:prstGeom>
                        <a:solidFill>
                          <a:srgbClr val="FFFFFF"/>
                        </a:solidFill>
                        <a:ln>
                          <a:noFill/>
                        </a:ln>
                      </wps:spPr>
                      <wps:txbx>
                        <w:txbxContent>
                          <w:p w:rsidR="00000000" w:rsidDel="00000000" w:rsidP="00000000" w:rsidRDefault="00000000" w:rsidRPr="00000000">
                            <w:pPr>
                              <w:spacing w:after="0" w:before="0" w:line="259.0000820159912"/>
                              <w:ind w:left="0" w:right="0" w:firstLine="0"/>
                              <w:jc w:val="right"/>
                              <w:textDirection w:val="btLr"/>
                            </w:pPr>
                            <w:r w:rsidDel="00000000" w:rsidR="00000000" w:rsidRPr="00000000">
                              <w:rPr>
                                <w:rFonts w:ascii="Trebuchet MS" w:cs="Trebuchet MS" w:eastAsia="Trebuchet MS" w:hAnsi="Trebuchet MS"/>
                                <w:b w:val="0"/>
                                <w:i w:val="0"/>
                                <w:smallCaps w:val="0"/>
                                <w:strike w:val="0"/>
                                <w:color w:val="000000"/>
                                <w:sz w:val="24"/>
                                <w:vertAlign w:val="baseline"/>
                              </w:rPr>
                              <w:t xml:space="preserve">CLEAN Enzyme Function Prediction</w:t>
                            </w:r>
                          </w:p>
                          <w:p w:rsidR="00000000" w:rsidDel="00000000" w:rsidP="00000000" w:rsidRDefault="00000000" w:rsidRPr="00000000">
                            <w:pPr>
                              <w:spacing w:after="0" w:before="0" w:line="259.0000820159912"/>
                              <w:ind w:left="0" w:right="0" w:firstLine="0"/>
                              <w:jc w:val="right"/>
                              <w:textDirection w:val="btLr"/>
                            </w:pPr>
                            <w:r w:rsidDel="00000000" w:rsidR="00000000" w:rsidRPr="00000000">
                              <w:rPr>
                                <w:rFonts w:ascii="Trebuchet MS" w:cs="Trebuchet MS" w:eastAsia="Trebuchet MS" w:hAnsi="Trebuchet MS"/>
                                <w:b w:val="0"/>
                                <w:i w:val="0"/>
                                <w:smallCaps w:val="0"/>
                                <w:strike w:val="0"/>
                                <w:color w:val="000000"/>
                                <w:sz w:val="24"/>
                                <w:vertAlign w:val="baseline"/>
                              </w:rPr>
                            </w:r>
                            <w:r w:rsidDel="00000000" w:rsidR="00000000" w:rsidRPr="00000000">
                              <w:rPr>
                                <w:rFonts w:ascii="Trebuchet MS" w:cs="Trebuchet MS" w:eastAsia="Trebuchet MS" w:hAnsi="Trebuchet MS"/>
                                <w:b w:val="0"/>
                                <w:i w:val="0"/>
                                <w:smallCaps w:val="0"/>
                                <w:strike w:val="0"/>
                                <w:color w:val="000000"/>
                                <w:sz w:val="24"/>
                                <w:vertAlign w:val="baseline"/>
                              </w:rPr>
                              <w:t xml:space="preserve">Student Module</w:t>
                            </w:r>
                          </w:p>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1933575</wp:posOffset>
                </wp:positionH>
                <wp:positionV relativeFrom="paragraph">
                  <wp:posOffset>131445</wp:posOffset>
                </wp:positionV>
                <wp:extent cx="4005263" cy="533020"/>
                <wp:effectExtent b="0" l="0" r="0" t="0"/>
                <wp:wrapSquare wrapText="bothSides" distB="45720" distT="45720" distL="114300" distR="114300"/>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4005263" cy="5330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142260</wp:posOffset>
            </wp:positionH>
            <wp:positionV relativeFrom="paragraph">
              <wp:posOffset>152400</wp:posOffset>
            </wp:positionV>
            <wp:extent cx="1252855" cy="480060"/>
            <wp:effectExtent b="0" l="0" r="0" t="0"/>
            <wp:wrapSquare wrapText="bothSides" distB="0" distT="0" distL="114300" distR="11430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252855" cy="480060"/>
                    </a:xfrm>
                    <a:prstGeom prst="rect"/>
                    <a:ln/>
                  </pic:spPr>
                </pic:pic>
              </a:graphicData>
            </a:graphic>
          </wp:anchor>
        </w:drawing>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wcwgdkdckbf" w:id="0"/>
      <w:bookmarkEnd w:id="0"/>
      <w:r w:rsidDel="00000000" w:rsidR="00000000" w:rsidRPr="00000000">
        <w:rPr>
          <w:b w:val="1"/>
          <w:bCs w:val="1"/>
          <w:color w:val="000000"/>
          <w:sz w:val="26"/>
          <w:szCs w:val="26"/>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deebf6" w:val="clear"/>
        <w:spacing w:after="240" w:before="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Learning Goals </w:t>
      </w:r>
    </w:p>
    <w:p w:rsidR="00000000" w:rsidDel="00000000" w:rsidP="00000000" w:rsidRDefault="00000000" w:rsidRPr="00000000" w14:paraId="00000005">
      <w:pPr>
        <w:numPr>
          <w:ilvl w:val="0"/>
          <w:numId w:val="5"/>
        </w:numPr>
        <w:spacing w:line="276" w:lineRule="auto"/>
        <w:ind w:left="720" w:hanging="360"/>
        <w:rPr>
          <w:u w:val="none"/>
        </w:rPr>
      </w:pPr>
      <w:r w:rsidDel="00000000" w:rsidR="00000000" w:rsidRPr="00000000">
        <w:rPr>
          <w:rFonts w:ascii="Cambria" w:cs="Cambria" w:eastAsia="Cambria" w:hAnsi="Cambria"/>
          <w:rtl w:val="0"/>
        </w:rPr>
        <w:t xml:space="preserve">Students will understand what information enzyme commission (EC) numbers provide about a protein.</w:t>
      </w:r>
    </w:p>
    <w:p w:rsidR="00000000" w:rsidDel="00000000" w:rsidP="00000000" w:rsidRDefault="00000000" w:rsidRPr="00000000" w14:paraId="00000006">
      <w:pPr>
        <w:numPr>
          <w:ilvl w:val="0"/>
          <w:numId w:val="5"/>
        </w:numPr>
        <w:spacing w:line="276" w:lineRule="auto"/>
        <w:ind w:left="720" w:hanging="360"/>
        <w:rPr>
          <w:u w:val="none"/>
        </w:rPr>
      </w:pPr>
      <w:r w:rsidDel="00000000" w:rsidR="00000000" w:rsidRPr="00000000">
        <w:rPr>
          <w:rFonts w:ascii="Cambria" w:cs="Cambria" w:eastAsia="Cambria" w:hAnsi="Cambria"/>
          <w:rtl w:val="0"/>
        </w:rPr>
        <w:t xml:space="preserve">Students will know the role of machine learning tools in predicting protein function. </w:t>
      </w:r>
    </w:p>
    <w:p w:rsidR="00000000" w:rsidDel="00000000" w:rsidP="00000000" w:rsidRDefault="00000000" w:rsidRPr="00000000" w14:paraId="00000007">
      <w:pPr>
        <w:numPr>
          <w:ilvl w:val="0"/>
          <w:numId w:val="5"/>
        </w:numPr>
        <w:spacing w:after="240" w:line="276" w:lineRule="auto"/>
        <w:ind w:left="720" w:hanging="360"/>
        <w:rPr>
          <w:u w:val="none"/>
        </w:rPr>
      </w:pPr>
      <w:r w:rsidDel="00000000" w:rsidR="00000000" w:rsidRPr="00000000">
        <w:rPr>
          <w:rFonts w:ascii="Cambria" w:cs="Cambria" w:eastAsia="Cambria" w:hAnsi="Cambria"/>
          <w:rtl w:val="0"/>
        </w:rPr>
        <w:t xml:space="preserve">Students will gain a basic understanding of how the CLEAN algorithm predicts protein function. </w:t>
      </w:r>
      <w:r w:rsidDel="00000000" w:rsidR="00000000" w:rsidRPr="00000000">
        <w:rPr>
          <w:rtl w:val="0"/>
        </w:rPr>
        <w:t xml:space="preserve"> </w:t>
      </w:r>
    </w:p>
    <w:p w:rsidR="00000000" w:rsidDel="00000000" w:rsidP="00000000" w:rsidRDefault="00000000" w:rsidRPr="00000000" w14:paraId="00000008">
      <w:pPr>
        <w:shd w:fill="deebf6" w:val="clea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Learning Objectives </w:t>
      </w:r>
    </w:p>
    <w:p w:rsidR="00000000" w:rsidDel="00000000" w:rsidP="00000000" w:rsidRDefault="00000000" w:rsidRPr="00000000" w14:paraId="00000009">
      <w:pPr>
        <w:numPr>
          <w:ilvl w:val="0"/>
          <w:numId w:val="7"/>
        </w:numPr>
        <w:spacing w:line="276" w:lineRule="auto"/>
        <w:ind w:left="720" w:hanging="360"/>
        <w:rPr>
          <w:u w:val="none"/>
        </w:rPr>
      </w:pPr>
      <w:r w:rsidDel="00000000" w:rsidR="00000000" w:rsidRPr="00000000">
        <w:rPr>
          <w:rFonts w:ascii="Cambria" w:cs="Cambria" w:eastAsia="Cambria" w:hAnsi="Cambria"/>
          <w:rtl w:val="0"/>
        </w:rPr>
        <w:t xml:space="preserve">Students will understand the hierarchical structure of the Enzyme Commission (EC) classification system and its role in annotating protein functions.</w:t>
      </w:r>
    </w:p>
    <w:p w:rsidR="00000000" w:rsidDel="00000000" w:rsidP="00000000" w:rsidRDefault="00000000" w:rsidRPr="00000000" w14:paraId="0000000A">
      <w:pPr>
        <w:numPr>
          <w:ilvl w:val="0"/>
          <w:numId w:val="7"/>
        </w:numPr>
        <w:spacing w:line="276" w:lineRule="auto"/>
        <w:ind w:left="720" w:hanging="360"/>
        <w:rPr>
          <w:u w:val="none"/>
        </w:rPr>
      </w:pPr>
      <w:r w:rsidDel="00000000" w:rsidR="00000000" w:rsidRPr="00000000">
        <w:rPr>
          <w:rFonts w:ascii="Cambria" w:cs="Cambria" w:eastAsia="Cambria" w:hAnsi="Cambria"/>
          <w:rtl w:val="0"/>
        </w:rPr>
        <w:t xml:space="preserve">Students will access and submit the sequence of a protein to the CLEAN website to obtain a prediction of its function. </w:t>
      </w:r>
    </w:p>
    <w:p w:rsidR="00000000" w:rsidDel="00000000" w:rsidP="00000000" w:rsidRDefault="00000000" w:rsidRPr="00000000" w14:paraId="0000000B">
      <w:pPr>
        <w:numPr>
          <w:ilvl w:val="0"/>
          <w:numId w:val="7"/>
        </w:numPr>
        <w:spacing w:line="276" w:lineRule="auto"/>
        <w:ind w:left="720" w:hanging="360"/>
        <w:rPr>
          <w:u w:val="none"/>
        </w:rPr>
      </w:pPr>
      <w:r w:rsidDel="00000000" w:rsidR="00000000" w:rsidRPr="00000000">
        <w:rPr>
          <w:rFonts w:ascii="Cambria" w:cs="Cambria" w:eastAsia="Cambria" w:hAnsi="Cambria"/>
          <w:rtl w:val="0"/>
        </w:rPr>
        <w:t xml:space="preserve">Students will identify the limitations of the results provided by the CLEAN algorithm.</w:t>
      </w:r>
    </w:p>
    <w:p w:rsidR="00000000" w:rsidDel="00000000" w:rsidP="00000000" w:rsidRDefault="00000000" w:rsidRPr="00000000" w14:paraId="0000000C">
      <w:pPr>
        <w:numPr>
          <w:ilvl w:val="0"/>
          <w:numId w:val="7"/>
        </w:numPr>
        <w:spacing w:line="276" w:lineRule="auto"/>
        <w:ind w:left="720" w:hanging="360"/>
        <w:rPr>
          <w:u w:val="none"/>
        </w:rPr>
      </w:pPr>
      <w:r w:rsidDel="00000000" w:rsidR="00000000" w:rsidRPr="00000000">
        <w:rPr>
          <w:rFonts w:ascii="Cambria" w:cs="Cambria" w:eastAsia="Cambria" w:hAnsi="Cambria"/>
          <w:rtl w:val="0"/>
        </w:rPr>
        <w:t xml:space="preserve">Students will explain why the CLEAN algorithm may predict more than one function for a protein.</w:t>
      </w:r>
    </w:p>
    <w:p w:rsidR="00000000" w:rsidDel="00000000" w:rsidP="00000000" w:rsidRDefault="00000000" w:rsidRPr="00000000" w14:paraId="0000000D">
      <w:pPr>
        <w:numPr>
          <w:ilvl w:val="0"/>
          <w:numId w:val="7"/>
        </w:numPr>
        <w:spacing w:line="276" w:lineRule="auto"/>
        <w:ind w:left="720" w:hanging="360"/>
        <w:rPr>
          <w:u w:val="none"/>
        </w:rPr>
      </w:pPr>
      <w:r w:rsidDel="00000000" w:rsidR="00000000" w:rsidRPr="00000000">
        <w:rPr>
          <w:rFonts w:ascii="Cambria" w:cs="Cambria" w:eastAsia="Cambria" w:hAnsi="Cambria"/>
          <w:rtl w:val="0"/>
        </w:rPr>
        <w:t xml:space="preserve">Students will interpret the predicted function(s) of their protein based on EC numbers provided by CLEAN.</w:t>
      </w:r>
    </w:p>
    <w:p w:rsidR="00000000" w:rsidDel="00000000" w:rsidP="00000000" w:rsidRDefault="00000000" w:rsidRPr="00000000" w14:paraId="0000000E">
      <w:pPr>
        <w:spacing w:line="276" w:lineRule="auto"/>
        <w:rPr>
          <w:sz w:val="32"/>
          <w:szCs w:val="32"/>
        </w:rPr>
      </w:pPr>
      <w:r w:rsidDel="00000000" w:rsidR="00000000" w:rsidRPr="00000000">
        <w:rPr>
          <w:rtl w:val="0"/>
        </w:rPr>
      </w:r>
    </w:p>
    <w:p w:rsidR="00000000" w:rsidDel="00000000" w:rsidP="00000000" w:rsidRDefault="00000000" w:rsidRPr="00000000" w14:paraId="0000000F">
      <w:pPr>
        <w:shd w:fill="deebf6" w:val="clear"/>
        <w:spacing w:after="0" w:before="0" w:lineRule="auto"/>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0">
      <w:pPr>
        <w:spacing w:before="240" w:line="276" w:lineRule="auto"/>
        <w:rPr>
          <w:rFonts w:ascii="Cambria" w:cs="Cambria" w:eastAsia="Cambria" w:hAnsi="Cambria"/>
        </w:rPr>
      </w:pPr>
      <w:r w:rsidDel="00000000" w:rsidR="00000000" w:rsidRPr="00000000">
        <w:rPr>
          <w:rFonts w:ascii="Cambria" w:cs="Cambria" w:eastAsia="Cambria" w:hAnsi="Cambria"/>
          <w:rtl w:val="0"/>
        </w:rPr>
        <w:t xml:space="preserve">The experimental goal of your BASIL work is to determine the function of a protein of unknown function. One way to gain information about the function of your protein is to utilize its amino acid sequence as an input for a machine learning model trained to predict protein functions. </w:t>
      </w:r>
    </w:p>
    <w:p w:rsidR="00000000" w:rsidDel="00000000" w:rsidP="00000000" w:rsidRDefault="00000000" w:rsidRPr="00000000" w14:paraId="00000011">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What exactly is machine learning? Machine learning (ML) involves training a computer to recognize patterns in data that have already been annotated and generate labels using that data. The trained ML model can then use its training to predict labels for novel data. The ML model is basically a label maker—one that uses very large data sets to predict those labels.</w:t>
      </w:r>
    </w:p>
    <w:p w:rsidR="00000000" w:rsidDel="00000000" w:rsidP="00000000" w:rsidRDefault="00000000" w:rsidRPr="00000000" w14:paraId="00000012">
      <w:pPr>
        <w:spacing w:after="120" w:before="240" w:line="276" w:lineRule="auto"/>
        <w:rPr>
          <w:rFonts w:ascii="Cambria" w:cs="Cambria" w:eastAsia="Cambria" w:hAnsi="Cambria"/>
        </w:rPr>
      </w:pPr>
      <w:r w:rsidDel="00000000" w:rsidR="00000000" w:rsidRPr="00000000">
        <w:rPr>
          <w:rFonts w:ascii="Cambria" w:cs="Cambria" w:eastAsia="Cambria" w:hAnsi="Cambria"/>
          <w:rtl w:val="0"/>
        </w:rPr>
        <w:t xml:space="preserve">The most common labels used to specify enzyme functions are enzyme commission (EC) numbers. Each enzyme is assigned a four digit number that describes the reaction catalyzed by that enzyme. For example the enzyme pepsin has an EC number of:</w:t>
      </w:r>
    </w:p>
    <w:p w:rsidR="00000000" w:rsidDel="00000000" w:rsidP="00000000" w:rsidRDefault="00000000" w:rsidRPr="00000000" w14:paraId="00000013">
      <w:pPr>
        <w:spacing w:after="120" w:before="120" w:line="276" w:lineRule="auto"/>
        <w:jc w:val="center"/>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3.4.23.1</w:t>
      </w:r>
    </w:p>
    <w:p w:rsidR="00000000" w:rsidDel="00000000" w:rsidP="00000000" w:rsidRDefault="00000000" w:rsidRPr="00000000" w14:paraId="00000014">
      <w:pPr>
        <w:spacing w:after="240" w:before="120" w:line="276" w:lineRule="auto"/>
        <w:rPr>
          <w:rFonts w:ascii="Cambria" w:cs="Cambria" w:eastAsia="Cambria" w:hAnsi="Cambria"/>
        </w:rPr>
      </w:pPr>
      <w:r w:rsidDel="00000000" w:rsidR="00000000" w:rsidRPr="00000000">
        <w:rPr>
          <w:rFonts w:ascii="Cambria" w:cs="Cambria" w:eastAsia="Cambria" w:hAnsi="Cambria"/>
          <w:rtl w:val="0"/>
        </w:rPr>
        <w:t xml:space="preserve">The first number is the class or main division and gives a general description of the reaction catalyzed (see table 1 below). Pepsin belongs to class 3, which indicates it is a hydrolase. The subclass (second number) is 4, which tells us it is a protease/peptidase—it cuts bonds in proteins or peptides. The sub-subclass is 23, indicating it is an aspartic endopeptidase, meaning it is a type of protease enzyme that uses an activated water molecule bound to one or more aspartate residues to hydrolyze internal bonds of peptide substrates. The fourth EC number is the serial number, an identifier that makes sure each specific enzyme has its own unique EC number.  </w:t>
      </w:r>
      <w:r w:rsidDel="00000000" w:rsidR="00000000" w:rsidRPr="00000000">
        <w:rPr>
          <w:rFonts w:ascii="Cambria" w:cs="Cambria" w:eastAsia="Cambria" w:hAnsi="Cambria"/>
          <w:rtl w:val="0"/>
        </w:rPr>
        <w:t xml:space="preserve">There are 7 first level enzyme classifications and a</w:t>
      </w:r>
      <w:r w:rsidDel="00000000" w:rsidR="00000000" w:rsidRPr="00000000">
        <w:rPr>
          <w:rFonts w:ascii="Cambria" w:cs="Cambria" w:eastAsia="Cambria" w:hAnsi="Cambria"/>
          <w:rtl w:val="0"/>
        </w:rPr>
        <w:t xml:space="preserve"> good resource for looking up what each EC number means is the list on Wikipedia, found at</w:t>
      </w:r>
      <w:hyperlink r:id="rId8">
        <w:r w:rsidDel="00000000" w:rsidR="00000000" w:rsidRPr="00000000">
          <w:rPr>
            <w:rFonts w:ascii="Cambria" w:cs="Cambria" w:eastAsia="Cambria" w:hAnsi="Cambria"/>
            <w:rtl w:val="0"/>
          </w:rPr>
          <w:t xml:space="preserve"> </w:t>
        </w:r>
      </w:hyperlink>
      <w:hyperlink r:id="rId9">
        <w:r w:rsidDel="00000000" w:rsidR="00000000" w:rsidRPr="00000000">
          <w:rPr>
            <w:rFonts w:ascii="Cambria" w:cs="Cambria" w:eastAsia="Cambria" w:hAnsi="Cambria"/>
            <w:color w:val="1155cc"/>
            <w:u w:val="single"/>
            <w:rtl w:val="0"/>
          </w:rPr>
          <w:t xml:space="preserve">https://en.wikipedia.org/wiki/Enzyme_Commission_number#</w:t>
        </w:r>
      </w:hyperlink>
      <w:r w:rsidDel="00000000" w:rsidR="00000000" w:rsidRPr="00000000">
        <w:rPr>
          <w:rFonts w:ascii="Cambria" w:cs="Cambria" w:eastAsia="Cambria" w:hAnsi="Cambria"/>
          <w:rtl w:val="0"/>
        </w:rPr>
        <w:t xml:space="preserve">. To learn more about enzymes and enzyme classification, visit the BRENDA enzyme database (Chang 2021; </w:t>
      </w:r>
      <w:hyperlink r:id="rId10">
        <w:r w:rsidDel="00000000" w:rsidR="00000000" w:rsidRPr="00000000">
          <w:rPr>
            <w:rFonts w:ascii="Cambria" w:cs="Cambria" w:eastAsia="Cambria" w:hAnsi="Cambria"/>
            <w:color w:val="1155cc"/>
            <w:u w:val="single"/>
            <w:rtl w:val="0"/>
          </w:rPr>
          <w:t xml:space="preserve">https://www.brenda-enzymes.org/</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15">
      <w:pPr>
        <w:keepLines w:val="1"/>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Table 1. 1. Enzyme Commission (EC) Top Level Classes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495"/>
        <w:gridCol w:w="1860"/>
        <w:gridCol w:w="2115"/>
        <w:tblGridChange w:id="0">
          <w:tblGrid>
            <w:gridCol w:w="1890"/>
            <w:gridCol w:w="3495"/>
            <w:gridCol w:w="1860"/>
            <w:gridCol w:w="21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Lines w:val="1"/>
              <w:jc w:val="left"/>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Lines w:val="1"/>
              <w:jc w:val="left"/>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Reaction catalyzed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Lines w:val="1"/>
              <w:jc w:val="left"/>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Typical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Lines w:val="1"/>
              <w:jc w:val="left"/>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Enzyme example(s) with trivial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EC 1 ''Oxidoreductases''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Oxidation/reduction reactions; transfer of H and O atoms or electrons from one substance to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Lines w:val="1"/>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AH + B → A + BH ('''reduced''')</w:t>
            </w:r>
          </w:p>
          <w:p w:rsidR="00000000" w:rsidDel="00000000" w:rsidP="00000000" w:rsidRDefault="00000000" w:rsidRPr="00000000" w14:paraId="0000001D">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 + O → AO ('''oxidized''')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Dehydrogenase, oxidase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EC 2 ''Transferases''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Transfer of a functional group from one substance to another. The group may be methyl-, acyl-, amino- or phosphate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AB + C → A + 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Transaminase, kinase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EC 3 ''Hydrolases''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Formation of two products from a substrate by hydrolysis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AB + H</w:t>
            </w:r>
            <w:r w:rsidDel="00000000" w:rsidR="00000000" w:rsidRPr="00000000">
              <w:rPr>
                <w:rFonts w:ascii="Cambria" w:cs="Cambria" w:eastAsia="Cambria" w:hAnsi="Cambria"/>
                <w:sz w:val="18"/>
                <w:szCs w:val="18"/>
                <w:vertAlign w:val="subscript"/>
                <w:rtl w:val="0"/>
              </w:rPr>
              <w:t xml:space="preserve">2</w:t>
            </w:r>
            <w:r w:rsidDel="00000000" w:rsidR="00000000" w:rsidRPr="00000000">
              <w:rPr>
                <w:rFonts w:ascii="Cambria" w:cs="Cambria" w:eastAsia="Cambria" w:hAnsi="Cambria"/>
                <w:sz w:val="18"/>
                <w:szCs w:val="18"/>
                <w:rtl w:val="0"/>
              </w:rPr>
              <w:t xml:space="preserve">O → </w:t>
              <w:br w:type="textWrapping"/>
              <w:t xml:space="preserve">AOH + BH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Lipase, amylase, peptidase, phosphatase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EC 4</w:t>
              <w:br w:type="textWrapping"/>
              <w:t xml:space="preserve"> ''Lyases''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Non-hydrolytic addition or removal of groups from substrates. C-C, C-N, C-O or C-S bonds may be cleaved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RCOCOOH → RCOH + CO</w:t>
            </w:r>
            <w:r w:rsidDel="00000000" w:rsidR="00000000" w:rsidRPr="00000000">
              <w:rPr>
                <w:rFonts w:ascii="Cambria" w:cs="Cambria" w:eastAsia="Cambria" w:hAnsi="Cambria"/>
                <w:sz w:val="18"/>
                <w:szCs w:val="18"/>
                <w:vertAlign w:val="subscript"/>
                <w:rtl w:val="0"/>
              </w:rPr>
              <w:t xml:space="preserve">2</w:t>
            </w:r>
            <w:r w:rsidDel="00000000" w:rsidR="00000000" w:rsidRPr="00000000">
              <w:rPr>
                <w:rFonts w:ascii="Cambria" w:cs="Cambria" w:eastAsia="Cambria" w:hAnsi="Cambria"/>
                <w:sz w:val="18"/>
                <w:szCs w:val="18"/>
                <w:rtl w:val="0"/>
              </w:rPr>
              <w:t xml:space="preserve"> or [X-A+B-Y] → </w:t>
              <w:br w:type="textWrapping"/>
              <w:t xml:space="preserve">[A=B + X-Y]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Decarboxylase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EC 5 ''Isomerases''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Intramoleculer rearrangement, i.e. isomerization changes within a single molecule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ABC → BCA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Isomerase, mutase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EC 6 </w:t>
              <w:br w:type="textWrapping"/>
              <w:t xml:space="preserve">''Ligases''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Join together two molecules by synthesis of new C-O, C-S, C-N or C-C covalent bonds with simultaneous breakdown of ATP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X + Y + ATP → </w:t>
              <w:br w:type="textWrapping"/>
              <w:t xml:space="preserve">XY + ADP + P</w:t>
            </w:r>
            <w:r w:rsidDel="00000000" w:rsidR="00000000" w:rsidRPr="00000000">
              <w:rPr>
                <w:rFonts w:ascii="Cambria" w:cs="Cambria" w:eastAsia="Cambria" w:hAnsi="Cambria"/>
                <w:sz w:val="18"/>
                <w:szCs w:val="18"/>
                <w:vertAlign w:val="subscript"/>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Synthetase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EC 7 ''Translocases''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Catalyze the movement of ions or molecules across membranes or their separation within membranes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Lines w:val="1"/>
              <w:jc w:val="left"/>
              <w:rPr>
                <w:rFonts w:ascii="Cambria" w:cs="Cambria" w:eastAsia="Cambria" w:hAnsi="Cambria"/>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Lines w:val="1"/>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Transporter</w:t>
            </w:r>
          </w:p>
        </w:tc>
      </w:tr>
    </w:tbl>
    <w:p w:rsidR="00000000" w:rsidDel="00000000" w:rsidP="00000000" w:rsidRDefault="00000000" w:rsidRPr="00000000" w14:paraId="00000037">
      <w:pPr>
        <w:keepLines w:val="1"/>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8">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Contrastive Learning–Enabled Enzyme Annotation (CLEAN; Yu 2023) model was trained to predict EC numbers using proteins from the UniProt database. UniProt is a comprehensive database (The UniProt Consortium 2023</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 UniProt data comes from researchers all over the world, and is curated and maintained by three institutes and over 100 people. The CLEAN model was provided the amino acid sequence of over 20,000 proteins where there is a high confidence level in the assigned EC number.</w:t>
      </w:r>
    </w:p>
    <w:p w:rsidR="00000000" w:rsidDel="00000000" w:rsidP="00000000" w:rsidRDefault="00000000" w:rsidRPr="00000000" w14:paraId="00000039">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model was trained using contrastive learning and two approaches helped the model to learn to make correct predictions. The first approach used proteins with the same EC number to build a “map” that placed all those proteins in the same “location”. The second used proteins with different EC numbers to increase the distance between the various EC number groups. The CLEAN model additionally assigns a confidence level to each prediction it makes, based on how well it is able to predict </w:t>
      </w:r>
      <w:r w:rsidDel="00000000" w:rsidR="00000000" w:rsidRPr="00000000">
        <w:rPr>
          <w:rFonts w:ascii="Cambria" w:cs="Cambria" w:eastAsia="Cambria" w:hAnsi="Cambria"/>
          <w:rtl w:val="0"/>
        </w:rPr>
        <w:t xml:space="preserve">tha</w:t>
      </w:r>
      <w:r w:rsidDel="00000000" w:rsidR="00000000" w:rsidRPr="00000000">
        <w:rPr>
          <w:rFonts w:ascii="Cambria" w:cs="Cambria" w:eastAsia="Cambria" w:hAnsi="Cambria"/>
          <w:rtl w:val="0"/>
        </w:rPr>
        <w:t xml:space="preserve">t number during the training phase.</w:t>
      </w:r>
    </w:p>
    <w:p w:rsidR="00000000" w:rsidDel="00000000" w:rsidP="00000000" w:rsidRDefault="00000000" w:rsidRPr="00000000" w14:paraId="0000003A">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online version of the CLEAN model requires sequences to be in the FASTA format. For the pepsin protein, the FASTA sequence is:</w:t>
      </w:r>
    </w:p>
    <w:p w:rsidR="00000000" w:rsidDel="00000000" w:rsidP="00000000" w:rsidRDefault="00000000" w:rsidRPr="00000000" w14:paraId="0000003B">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&gt;1PSO_1|Chain A[auth E]|PEPSIN 3A|Homo sapiens (9606)</w:t>
      </w:r>
    </w:p>
    <w:p w:rsidR="00000000" w:rsidDel="00000000" w:rsidP="00000000" w:rsidRDefault="00000000" w:rsidRPr="00000000" w14:paraId="0000003C">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DEQPLENYLDMEYFGTIGIGTPAQDFTVVFDTGSSNLWVPSVYCSSLACTNHNRFNPEDSSTYQSTSETVSITYGTGSMTGILGYDTVQVGGISDTNQIFGLSETEPGSFLYYAPFDGILGLAYPSISSSGATPVFDNIWNQGLVSQDLFSVYLSADDQSGSVVIFGGIDSSYYTGSLNWVPVTVEGYWQITVDSITMNGEAIACAEGCQAIVDTGTSLLTGPTSPIANIQSDIGASENSDGDMVVSCSAISSLPDIVFTINGVQYPVPPSAYILQSEGSCISGFQGMNLPTESGELWILGDVFIRQYFTVFDRANNQVGLAPVA</w:t>
      </w:r>
    </w:p>
    <w:p w:rsidR="00000000" w:rsidDel="00000000" w:rsidP="00000000" w:rsidRDefault="00000000" w:rsidRPr="00000000" w14:paraId="0000003D">
      <w:pPr>
        <w:spacing w:before="240" w:lineRule="auto"/>
        <w:rPr>
          <w:rFonts w:ascii="Cambria" w:cs="Cambria" w:eastAsia="Cambria" w:hAnsi="Cambria"/>
        </w:rPr>
      </w:pPr>
      <w:r w:rsidDel="00000000" w:rsidR="00000000" w:rsidRPr="00000000">
        <w:rPr>
          <w:rFonts w:ascii="Cambria" w:cs="Cambria" w:eastAsia="Cambria" w:hAnsi="Cambria"/>
          <w:rtl w:val="0"/>
        </w:rPr>
        <w:t xml:space="preserve">The “&gt;” symbol indicates the start of the FASTA format and is followed by information about the protein. The information may be provided, or if you need to create the FASTA format then you will generate the information. Note that information is NOT part of the protein sequence. In order to distinguish the information from the sequence, the amino acid sequence begins on the second line. The sequence must be provided in the one-letter amino acid abbreviation format.</w:t>
      </w:r>
    </w:p>
    <w:p w:rsidR="00000000" w:rsidDel="00000000" w:rsidP="00000000" w:rsidRDefault="00000000" w:rsidRPr="00000000" w14:paraId="0000003E">
      <w:pPr>
        <w:pStyle w:val="Heading3"/>
        <w:keepNext w:val="0"/>
        <w:keepLines w:val="0"/>
        <w:spacing w:before="280" w:line="276" w:lineRule="auto"/>
        <w:rPr>
          <w:rFonts w:ascii="Cambria" w:cs="Cambria" w:eastAsia="Cambria" w:hAnsi="Cambria"/>
          <w:b w:val="1"/>
          <w:bCs w:val="1"/>
          <w:color w:val="000000"/>
          <w:sz w:val="22"/>
          <w:szCs w:val="22"/>
        </w:rPr>
      </w:pPr>
      <w:bookmarkStart w:colFirst="0" w:colLast="0" w:name="_m9i3ayuaiuez" w:id="1"/>
      <w:bookmarkEnd w:id="1"/>
      <w:r w:rsidDel="00000000" w:rsidR="00000000" w:rsidRPr="00000000">
        <w:rPr>
          <w:rFonts w:ascii="Cambria" w:cs="Cambria" w:eastAsia="Cambria" w:hAnsi="Cambria"/>
          <w:b w:val="1"/>
          <w:bCs w:val="1"/>
          <w:color w:val="000000"/>
          <w:sz w:val="22"/>
          <w:szCs w:val="22"/>
          <w:rtl w:val="0"/>
        </w:rPr>
        <w:t xml:space="preserve"> </w:t>
      </w:r>
    </w:p>
    <w:p w:rsidR="00000000" w:rsidDel="00000000" w:rsidP="00000000" w:rsidRDefault="00000000" w:rsidRPr="00000000" w14:paraId="0000003F">
      <w:pPr>
        <w:shd w:fill="deebf6" w:val="clear"/>
        <w:spacing w:after="0" w:before="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Protocol</w:t>
      </w:r>
    </w:p>
    <w:p w:rsidR="00000000" w:rsidDel="00000000" w:rsidP="00000000" w:rsidRDefault="00000000" w:rsidRPr="00000000" w14:paraId="00000040">
      <w:pPr>
        <w:spacing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Purpose:</w:t>
      </w:r>
      <w:r w:rsidDel="00000000" w:rsidR="00000000" w:rsidRPr="00000000">
        <w:rPr>
          <w:rFonts w:ascii="Cambria" w:cs="Cambria" w:eastAsia="Cambria" w:hAnsi="Cambria"/>
          <w:rtl w:val="0"/>
        </w:rPr>
        <w:t xml:space="preserve"> Use the CLEAN model to predict the EC number(s) of your protein of interest.</w:t>
      </w:r>
      <w:r w:rsidDel="00000000" w:rsidR="00000000" w:rsidRPr="00000000">
        <w:rPr>
          <w:rtl w:val="0"/>
        </w:rPr>
      </w:r>
    </w:p>
    <w:p w:rsidR="00000000" w:rsidDel="00000000" w:rsidP="00000000" w:rsidRDefault="00000000" w:rsidRPr="00000000" w14:paraId="00000041">
      <w:pPr>
        <w:spacing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Supplies:</w:t>
      </w:r>
    </w:p>
    <w:p w:rsidR="00000000" w:rsidDel="00000000" w:rsidP="00000000" w:rsidRDefault="00000000" w:rsidRPr="00000000" w14:paraId="00000042">
      <w:pPr>
        <w:pStyle w:val="Heading3"/>
        <w:keepNext w:val="0"/>
        <w:keepLines w:val="0"/>
        <w:numPr>
          <w:ilvl w:val="0"/>
          <w:numId w:val="4"/>
        </w:numPr>
        <w:spacing w:after="0" w:afterAutospacing="0" w:before="280" w:line="276" w:lineRule="auto"/>
        <w:ind w:left="720" w:hanging="360"/>
        <w:rPr>
          <w:rFonts w:ascii="Cambria" w:cs="Cambria" w:eastAsia="Cambria" w:hAnsi="Cambria"/>
          <w:color w:val="000000"/>
          <w:sz w:val="22"/>
          <w:szCs w:val="22"/>
          <w:u w:val="none"/>
        </w:rPr>
      </w:pPr>
      <w:bookmarkStart w:colFirst="0" w:colLast="0" w:name="_xtqob9rug86v" w:id="2"/>
      <w:bookmarkEnd w:id="2"/>
      <w:r w:rsidDel="00000000" w:rsidR="00000000" w:rsidRPr="00000000">
        <w:rPr>
          <w:rFonts w:ascii="Cambria" w:cs="Cambria" w:eastAsia="Cambria" w:hAnsi="Cambria"/>
          <w:color w:val="000000"/>
          <w:sz w:val="22"/>
          <w:szCs w:val="22"/>
          <w:rtl w:val="0"/>
        </w:rPr>
        <w:t xml:space="preserve">A computer with an up-to-date browser</w:t>
      </w:r>
    </w:p>
    <w:p w:rsidR="00000000" w:rsidDel="00000000" w:rsidP="00000000" w:rsidRDefault="00000000" w:rsidRPr="00000000" w14:paraId="00000043">
      <w:pPr>
        <w:pStyle w:val="Heading3"/>
        <w:keepNext w:val="0"/>
        <w:keepLines w:val="0"/>
        <w:numPr>
          <w:ilvl w:val="0"/>
          <w:numId w:val="4"/>
        </w:numPr>
        <w:spacing w:after="0" w:afterAutospacing="0" w:before="0" w:beforeAutospacing="0" w:line="276" w:lineRule="auto"/>
        <w:ind w:left="720" w:hanging="360"/>
        <w:rPr>
          <w:rFonts w:ascii="Cambria" w:cs="Cambria" w:eastAsia="Cambria" w:hAnsi="Cambria"/>
          <w:color w:val="000000"/>
          <w:sz w:val="22"/>
          <w:szCs w:val="22"/>
          <w:u w:val="none"/>
        </w:rPr>
      </w:pPr>
      <w:bookmarkStart w:colFirst="0" w:colLast="0" w:name="_ilu0xskgd0yp" w:id="3"/>
      <w:bookmarkEnd w:id="3"/>
      <w:r w:rsidDel="00000000" w:rsidR="00000000" w:rsidRPr="00000000">
        <w:rPr>
          <w:rFonts w:ascii="Cambria" w:cs="Cambria" w:eastAsia="Cambria" w:hAnsi="Cambria"/>
          <w:color w:val="000000"/>
          <w:sz w:val="22"/>
          <w:szCs w:val="22"/>
          <w:rtl w:val="0"/>
        </w:rPr>
        <w:t xml:space="preserve">A connection to the Internet </w:t>
      </w:r>
    </w:p>
    <w:p w:rsidR="00000000" w:rsidDel="00000000" w:rsidP="00000000" w:rsidRDefault="00000000" w:rsidRPr="00000000" w14:paraId="00000044">
      <w:pPr>
        <w:pStyle w:val="Heading3"/>
        <w:keepNext w:val="0"/>
        <w:keepLines w:val="0"/>
        <w:numPr>
          <w:ilvl w:val="0"/>
          <w:numId w:val="4"/>
        </w:numPr>
        <w:spacing w:before="0" w:beforeAutospacing="0" w:line="276" w:lineRule="auto"/>
        <w:ind w:left="720" w:hanging="360"/>
        <w:rPr>
          <w:rFonts w:ascii="Cambria" w:cs="Cambria" w:eastAsia="Cambria" w:hAnsi="Cambria"/>
          <w:color w:val="000000"/>
          <w:sz w:val="22"/>
          <w:szCs w:val="22"/>
          <w:u w:val="none"/>
        </w:rPr>
      </w:pPr>
      <w:bookmarkStart w:colFirst="0" w:colLast="0" w:name="_nqfzbrmg2ote" w:id="4"/>
      <w:bookmarkEnd w:id="4"/>
      <w:r w:rsidDel="00000000" w:rsidR="00000000" w:rsidRPr="00000000">
        <w:rPr>
          <w:rFonts w:ascii="Cambria" w:cs="Cambria" w:eastAsia="Cambria" w:hAnsi="Cambria"/>
          <w:color w:val="000000"/>
          <w:sz w:val="22"/>
          <w:szCs w:val="22"/>
          <w:rtl w:val="0"/>
        </w:rPr>
        <w:t xml:space="preserve">T</w:t>
      </w:r>
      <w:r w:rsidDel="00000000" w:rsidR="00000000" w:rsidRPr="00000000">
        <w:rPr>
          <w:rFonts w:ascii="Cambria" w:cs="Cambria" w:eastAsia="Cambria" w:hAnsi="Cambria"/>
          <w:color w:val="000000"/>
          <w:sz w:val="22"/>
          <w:szCs w:val="22"/>
          <w:rtl w:val="0"/>
        </w:rPr>
        <w:t xml:space="preserve">he sequence of your protein of interest.</w:t>
      </w:r>
      <w:r w:rsidDel="00000000" w:rsidR="00000000" w:rsidRPr="00000000">
        <w:rPr>
          <w:rtl w:val="0"/>
        </w:rPr>
      </w:r>
    </w:p>
    <w:p w:rsidR="00000000" w:rsidDel="00000000" w:rsidP="00000000" w:rsidRDefault="00000000" w:rsidRPr="00000000" w14:paraId="00000045">
      <w:pPr>
        <w:spacing w:after="12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Safety considerations: </w:t>
      </w:r>
      <w:r w:rsidDel="00000000" w:rsidR="00000000" w:rsidRPr="00000000">
        <w:rPr>
          <w:rFonts w:ascii="Cambria" w:cs="Cambria" w:eastAsia="Cambria" w:hAnsi="Cambria"/>
          <w:rtl w:val="0"/>
        </w:rPr>
        <w:t xml:space="preserve"> As this experiment is done on a computer, there are no laboratory safety issues.  Make sure to take a break at least once an hour from your computer screen.</w:t>
      </w:r>
    </w:p>
    <w:p w:rsidR="00000000" w:rsidDel="00000000" w:rsidP="00000000" w:rsidRDefault="00000000" w:rsidRPr="00000000" w14:paraId="00000046">
      <w:pPr>
        <w:spacing w:after="12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Procedure:</w:t>
      </w:r>
    </w:p>
    <w:p w:rsidR="00000000" w:rsidDel="00000000" w:rsidP="00000000" w:rsidRDefault="00000000" w:rsidRPr="00000000" w14:paraId="00000047">
      <w:pPr>
        <w:spacing w:after="240" w:before="240" w:line="276" w:lineRule="auto"/>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8">
      <w:pPr>
        <w:spacing w:after="240" w:before="240" w:line="276" w:lineRule="auto"/>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9">
      <w:pPr>
        <w:spacing w:after="240" w:before="24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Part 1:  Finding the sequence of your protein.</w:t>
      </w:r>
    </w:p>
    <w:p w:rsidR="00000000" w:rsidDel="00000000" w:rsidP="00000000" w:rsidRDefault="00000000" w:rsidRPr="00000000" w14:paraId="0000004A">
      <w:pPr>
        <w:numPr>
          <w:ilvl w:val="0"/>
          <w:numId w:val="6"/>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There are multiple databases that contain proteins of interest. The most common sources are the Protein Data Bank (PDB,</w:t>
      </w:r>
      <w:hyperlink r:id="rId11">
        <w:r w:rsidDel="00000000" w:rsidR="00000000" w:rsidRPr="00000000">
          <w:rPr>
            <w:rFonts w:ascii="Cambria" w:cs="Cambria" w:eastAsia="Cambria" w:hAnsi="Cambria"/>
            <w:rtl w:val="0"/>
          </w:rPr>
          <w:t xml:space="preserve"> </w:t>
        </w:r>
      </w:hyperlink>
      <w:hyperlink r:id="rId12">
        <w:r w:rsidDel="00000000" w:rsidR="00000000" w:rsidRPr="00000000">
          <w:rPr>
            <w:rFonts w:ascii="Cambria" w:cs="Cambria" w:eastAsia="Cambria" w:hAnsi="Cambria"/>
            <w:color w:val="1155cc"/>
            <w:u w:val="single"/>
            <w:rtl w:val="0"/>
          </w:rPr>
          <w:t xml:space="preserve">https://www.rcsb.org/</w:t>
        </w:r>
      </w:hyperlink>
      <w:r w:rsidDel="00000000" w:rsidR="00000000" w:rsidRPr="00000000">
        <w:rPr>
          <w:rFonts w:ascii="Cambria" w:cs="Cambria" w:eastAsia="Cambria" w:hAnsi="Cambria"/>
          <w:rtl w:val="0"/>
        </w:rPr>
        <w:t xml:space="preserve">, Berman</w:t>
      </w:r>
      <w:r w:rsidDel="00000000" w:rsidR="00000000" w:rsidRPr="00000000">
        <w:rPr>
          <w:rFonts w:ascii="Cambria" w:cs="Cambria" w:eastAsia="Cambria" w:hAnsi="Cambria"/>
          <w:rtl w:val="0"/>
        </w:rPr>
        <w:t xml:space="preserve">) or UniProt (</w:t>
      </w:r>
      <w:hyperlink r:id="rId13">
        <w:r w:rsidDel="00000000" w:rsidR="00000000" w:rsidRPr="00000000">
          <w:rPr>
            <w:rFonts w:ascii="Cambria" w:cs="Cambria" w:eastAsia="Cambria" w:hAnsi="Cambria"/>
            <w:color w:val="1155cc"/>
            <w:u w:val="single"/>
            <w:rtl w:val="0"/>
          </w:rPr>
          <w:t xml:space="preserve">https://www.uniprot.org/</w:t>
        </w:r>
      </w:hyperlink>
      <w:r w:rsidDel="00000000" w:rsidR="00000000" w:rsidRPr="00000000">
        <w:rPr>
          <w:rFonts w:ascii="Cambria" w:cs="Cambria" w:eastAsia="Cambria" w:hAnsi="Cambria"/>
          <w:rtl w:val="0"/>
        </w:rPr>
        <w:t xml:space="preserve">). Your instructor can provide information about which database is most appropriate for your protein of interest.</w:t>
      </w:r>
    </w:p>
    <w:p w:rsidR="00000000" w:rsidDel="00000000" w:rsidP="00000000" w:rsidRDefault="00000000" w:rsidRPr="00000000" w14:paraId="0000004B">
      <w:pPr>
        <w:numPr>
          <w:ilvl w:val="0"/>
          <w:numId w:val="1"/>
        </w:numPr>
        <w:spacing w:after="20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After you locate the sequence of your protein, copy the one-letter code using the copy feature of your browser.</w:t>
      </w:r>
    </w:p>
    <w:p w:rsidR="00000000" w:rsidDel="00000000" w:rsidP="00000000" w:rsidRDefault="00000000" w:rsidRPr="00000000" w14:paraId="0000004C">
      <w:pPr>
        <w:numPr>
          <w:ilvl w:val="0"/>
          <w:numId w:val="2"/>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Go to the CLEAN website at</w:t>
      </w:r>
      <w:hyperlink r:id="rId14">
        <w:r w:rsidDel="00000000" w:rsidR="00000000" w:rsidRPr="00000000">
          <w:rPr>
            <w:rFonts w:ascii="Cambria" w:cs="Cambria" w:eastAsia="Cambria" w:hAnsi="Cambria"/>
            <w:rtl w:val="0"/>
          </w:rPr>
          <w:t xml:space="preserve"> </w:t>
        </w:r>
      </w:hyperlink>
      <w:hyperlink r:id="rId15">
        <w:r w:rsidDel="00000000" w:rsidR="00000000" w:rsidRPr="00000000">
          <w:rPr>
            <w:rFonts w:ascii="Cambria" w:cs="Cambria" w:eastAsia="Cambria" w:hAnsi="Cambria"/>
            <w:color w:val="1155cc"/>
            <w:u w:val="single"/>
            <w:rtl w:val="0"/>
          </w:rPr>
          <w:t xml:space="preserve">https://clean.platform.moleculemaker.org/configuration</w:t>
        </w:r>
      </w:hyperlink>
      <w:r w:rsidDel="00000000" w:rsidR="00000000" w:rsidRPr="00000000">
        <w:rPr>
          <w:rFonts w:ascii="Cambria" w:cs="Cambria" w:eastAsia="Cambria" w:hAnsi="Cambria"/>
          <w:rtl w:val="0"/>
        </w:rPr>
        <w:t xml:space="preserve">. You will see the screen shown below.</w:t>
      </w:r>
      <w:r w:rsidDel="00000000" w:rsidR="00000000" w:rsidRPr="00000000">
        <w:rPr>
          <w:rFonts w:ascii="Cambria" w:cs="Cambria" w:eastAsia="Cambria" w:hAnsi="Cambria"/>
        </w:rPr>
        <w:drawing>
          <wp:inline distB="114300" distT="114300" distL="114300" distR="114300">
            <wp:extent cx="5118365" cy="5110163"/>
            <wp:effectExtent b="12700" l="12700" r="12700" t="1270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118365" cy="5110163"/>
                    </a:xfrm>
                    <a:prstGeom prst="rect"/>
                    <a:ln w="12700">
                      <a:solidFill>
                        <a:srgbClr val="000000"/>
                      </a:solidFill>
                      <a:prstDash val="solid"/>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Paste your amino acid sequence into the Sequences input pane, where you see the text “Please enter enzyme amino acid sequence in FASTA format. If your sequence is not in the FASTA format, add a line at the top that starts with the “&gt;” symbol and has some identifying information, for example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&gt;1PSO_1|Chain A[auth E]|PEPSIN 3A|Homo sapiens (9606)</w:t>
        <w:br w:type="textWrapping"/>
        <w:t xml:space="preserve">VDEQPLENYLDMEYFGTIGIGTPAQDFTVVFDTGSSNLWVPSVYCSSLACTNHNRFNPEDSSTYQSTSETVSITYGTGSMTGILGYDTVQVGGISDTNQIFGLSETEPGSFLYYAPFDGILGLAYPSISSSGATPVFDNIWNQGLVSQDLFSVYLSADDQSGSVVIFGGIDSSYYTGSLNWVPVTVEGYWQITVDSITMNGEAIACAEGCQAIVDTGTSLLTGPTSPIANIQSDIGASENSDGDMVVSCSAISSLPDIVFTINGVQYPVPPSAYILQSEGSCISGFQGMNLPTESGELWILGDVFIRQYFTVFDRANNQVGLAPV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ind w:left="1180" w:righ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&gt;Unknown Protein for CLEAN</w:t>
      </w:r>
    </w:p>
    <w:p w:rsidR="00000000" w:rsidDel="00000000" w:rsidP="00000000" w:rsidRDefault="00000000" w:rsidRPr="00000000" w14:paraId="00000051">
      <w:pPr>
        <w:spacing w:line="276.0005454545455" w:lineRule="auto"/>
        <w:ind w:left="1180" w:righ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VDEQPLENYLDMEYFGTIGIGTPAQDFTVVFDTGSSNLWVPSVYCSSLACTNHNRFNPEDSSTYQSTSETVSITYGTGSMTGILGYDTVQVGGISDTNQIFGLSETEPGSFLYYAPFDGILGLAYPSISSSGATPVFDNIWNQGLVSQDLFSVYLSADDQSGSVVIFGGIDSSYYTGSLNWVPVTVEGYWQITVDSITMNGEAIACAEGCQAIVDTGTSLLTGPTSPIANIQSDIGASENSDGDMVVSC</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It is recommended you provide an email address so that you can be notified when the prediction is completed. Although the CLEAN model often takes only a few minutes to predict a function, the server may be busy when you submit your request. By providing an email address you do not need to keep the browser window open while you wait. Note that CLEAN does struggle with some proteins. If you do not receive an email in 24 hours, submit your request again. If you do not receive an email again this means your protein likely cannot be characterized by the CLEAN model, regardless of how many times you submit a request.</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Once your sequence is in the FASTA format in the input window,  the “Get the CLEAN Results→” button will turn blue and you can click to submit your sequence.</w:t>
        <w:br w:type="textWrapping"/>
        <w:br w:type="textWrapping"/>
      </w:r>
      <w:r w:rsidDel="00000000" w:rsidR="00000000" w:rsidRPr="00000000">
        <w:rPr>
          <w:rFonts w:ascii="Cambria" w:cs="Cambria" w:eastAsia="Cambria" w:hAnsi="Cambria"/>
        </w:rPr>
        <w:drawing>
          <wp:inline distB="114300" distT="114300" distL="114300" distR="114300">
            <wp:extent cx="1933575" cy="428625"/>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933575" cy="428625"/>
                    </a:xfrm>
                    <a:prstGeom prst="rect"/>
                    <a:ln/>
                  </pic:spPr>
                </pic:pic>
              </a:graphicData>
            </a:graphic>
          </wp:inline>
        </w:draw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48"/>
          <w:szCs w:val="48"/>
        </w:rPr>
        <w:drawing>
          <wp:inline distB="114300" distT="114300" distL="114300" distR="114300">
            <wp:extent cx="371063" cy="371063"/>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71063" cy="371063"/>
                    </a:xfrm>
                    <a:prstGeom prst="rect"/>
                    <a:ln/>
                  </pic:spPr>
                </pic:pic>
              </a:graphicData>
            </a:graphic>
          </wp:inline>
        </w:drawing>
      </w:r>
      <w:r w:rsidDel="00000000" w:rsidR="00000000" w:rsidRPr="00000000">
        <w:rPr>
          <w:rFonts w:ascii="Cambria" w:cs="Cambria" w:eastAsia="Cambria" w:hAnsi="Cambria"/>
          <w:sz w:val="48"/>
          <w:szCs w:val="48"/>
          <w:rtl w:val="0"/>
        </w:rPr>
        <w:t xml:space="preserve">  </w:t>
      </w:r>
      <w:r w:rsidDel="00000000" w:rsidR="00000000" w:rsidRPr="00000000">
        <w:rPr>
          <w:rFonts w:ascii="Cambria" w:cs="Cambria" w:eastAsia="Cambria" w:hAnsi="Cambria"/>
        </w:rPr>
        <w:drawing>
          <wp:inline distB="114300" distT="114300" distL="114300" distR="114300">
            <wp:extent cx="1876425" cy="409575"/>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8764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CLEAN sequences are returned in a table format. Shown below is a sample set of results.</w:t>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rtl w:val="0"/>
        </w:rPr>
        <w:t xml:space="preserve">Identifier</w:t>
      </w:r>
      <w:r w:rsidDel="00000000" w:rsidR="00000000" w:rsidRPr="00000000">
        <w:rPr>
          <w:rFonts w:ascii="Cambria" w:cs="Cambria" w:eastAsia="Cambria" w:hAnsi="Cambria"/>
          <w:rtl w:val="0"/>
        </w:rPr>
        <w:t xml:space="preserve"> column is the information provided in the first line of the FASTA sequence. </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rtl w:val="0"/>
        </w:rPr>
        <w:t xml:space="preserve">Predicted EC Number</w:t>
      </w:r>
      <w:r w:rsidDel="00000000" w:rsidR="00000000" w:rsidRPr="00000000">
        <w:rPr>
          <w:rFonts w:ascii="Cambria" w:cs="Cambria" w:eastAsia="Cambria" w:hAnsi="Cambria"/>
          <w:rtl w:val="0"/>
        </w:rPr>
        <w:t xml:space="preserve"> is the CLEAN prediction for the enzyme’s function. Notice that some proteins will return multiple EC numbers. This may mean that your protein of interest is a strong match to more than one enzyme, or it may mean that your protein has more than one catalytic activity.</w:t>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rtl w:val="0"/>
        </w:rPr>
        <w:t xml:space="preserve">Confidence Level</w:t>
      </w:r>
      <w:r w:rsidDel="00000000" w:rsidR="00000000" w:rsidRPr="00000000">
        <w:rPr>
          <w:rFonts w:ascii="Cambria" w:cs="Cambria" w:eastAsia="Cambria" w:hAnsi="Cambria"/>
          <w:rtl w:val="0"/>
        </w:rPr>
        <w:t xml:space="preserve"> indicates the level of certainty  that the prediction is correct. Ideally, you would want a High level of confidence. If the confidence level is medium or low, running the CLEAN model again will NOT change the confidence level. You will want to keep the confidence level in mind as you complete additional experiments to predict your protein’s function, particularly if the CLEAN results do not agree with other data you generate.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527300"/>
            <wp:effectExtent b="12700" l="12700" r="12700" t="1270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527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The results generated by the CLEAN model are clickable—each EC number can be clicked with your mouse, and this will take you to the BRENDA database. BRENDA is the main collection of enzyme functional data available to the scientific community. BRENDA will provide the information about what your EC number means. For example, for pepsin it provides: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019300"/>
            <wp:effectExtent b="12700" l="12700" r="12700" t="1270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01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Cambria" w:cs="Cambria" w:eastAsia="Cambria" w:hAnsi="Cambria"/>
        </w:rPr>
      </w:pPr>
      <w:r w:rsidDel="00000000" w:rsidR="00000000" w:rsidRPr="00000000">
        <w:rPr>
          <w:rFonts w:ascii="Cambria" w:cs="Cambria" w:eastAsia="Cambria" w:hAnsi="Cambria"/>
          <w:rtl w:val="0"/>
        </w:rPr>
        <w:t xml:space="preserve">For the first enzyme in the sample results table (the one with a low confidence level), BRENDA provides: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Cambria" w:cs="Cambria" w:eastAsia="Cambria" w:hAnsi="Cambria"/>
        </w:rPr>
      </w:pP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rPr>
        <w:drawing>
          <wp:inline distB="114300" distT="114300" distL="114300" distR="114300">
            <wp:extent cx="5057775" cy="2476500"/>
            <wp:effectExtent b="12700" l="12700" r="12700" t="12700"/>
            <wp:docPr id="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057775" cy="2476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Cambria" w:cs="Cambria" w:eastAsia="Cambria" w:hAnsi="Cambria"/>
        </w:rPr>
      </w:pPr>
      <w:r w:rsidDel="00000000" w:rsidR="00000000" w:rsidRPr="00000000">
        <w:rPr>
          <w:rFonts w:ascii="Cambria" w:cs="Cambria" w:eastAsia="Cambria" w:hAnsi="Cambria"/>
          <w:rtl w:val="0"/>
        </w:rPr>
        <w:t xml:space="preserve">Scrolling down on the BRENDA results page will provide associated chemical reactions, a reaction diagram (if available), and potential metabolic pathway(s) the enzyme could be a part of.</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The final part of the results page is a set of external links to other databases with information about the EC number. Make sure to explore those resources to help you understand the EC number prediction provided to you by the CLEAN model.</w:t>
      </w:r>
      <w:r w:rsidDel="00000000" w:rsidR="00000000" w:rsidRPr="00000000">
        <w:rPr>
          <w:rtl w:val="0"/>
        </w:rPr>
      </w:r>
    </w:p>
    <w:p w:rsidR="00000000" w:rsidDel="00000000" w:rsidP="00000000" w:rsidRDefault="00000000" w:rsidRPr="00000000" w14:paraId="00000060">
      <w:pPr>
        <w:shd w:fill="deebf6" w:val="clear"/>
        <w:spacing w:after="0" w:before="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Interpreting Results</w:t>
      </w:r>
    </w:p>
    <w:p w:rsidR="00000000" w:rsidDel="00000000" w:rsidP="00000000" w:rsidRDefault="00000000" w:rsidRPr="00000000" w14:paraId="00000061">
      <w:pPr>
        <w:pStyle w:val="Heading3"/>
        <w:keepNext w:val="0"/>
        <w:keepLines w:val="0"/>
        <w:spacing w:before="280" w:line="276" w:lineRule="auto"/>
        <w:rPr>
          <w:rFonts w:ascii="Cambria" w:cs="Cambria" w:eastAsia="Cambria" w:hAnsi="Cambria"/>
          <w:color w:val="000000"/>
          <w:sz w:val="22"/>
          <w:szCs w:val="22"/>
        </w:rPr>
      </w:pPr>
      <w:bookmarkStart w:colFirst="0" w:colLast="0" w:name="_c4wmqadghws9" w:id="5"/>
      <w:bookmarkEnd w:id="5"/>
      <w:r w:rsidDel="00000000" w:rsidR="00000000" w:rsidRPr="00000000">
        <w:rPr>
          <w:rFonts w:ascii="Cambria" w:cs="Cambria" w:eastAsia="Cambria" w:hAnsi="Cambria"/>
          <w:color w:val="000000"/>
          <w:sz w:val="22"/>
          <w:szCs w:val="22"/>
          <w:rtl w:val="0"/>
        </w:rPr>
        <w:t xml:space="preserve">Based on the CLEAN model predictions, you will have one or more EC numbers. For each EC number you should:</w:t>
      </w:r>
    </w:p>
    <w:p w:rsidR="00000000" w:rsidDel="00000000" w:rsidP="00000000" w:rsidRDefault="00000000" w:rsidRPr="00000000" w14:paraId="00000062">
      <w:pPr>
        <w:pStyle w:val="Heading3"/>
        <w:keepNext w:val="0"/>
        <w:keepLines w:val="0"/>
        <w:numPr>
          <w:ilvl w:val="0"/>
          <w:numId w:val="3"/>
        </w:numPr>
        <w:spacing w:after="0" w:afterAutospacing="0" w:before="280" w:line="276" w:lineRule="auto"/>
        <w:ind w:left="720" w:hanging="360"/>
        <w:rPr>
          <w:color w:val="000000"/>
          <w:u w:val="none"/>
        </w:rPr>
      </w:pPr>
      <w:bookmarkStart w:colFirst="0" w:colLast="0" w:name="_s12j8grsmlzm" w:id="6"/>
      <w:bookmarkEnd w:id="6"/>
      <w:r w:rsidDel="00000000" w:rsidR="00000000" w:rsidRPr="00000000">
        <w:rPr>
          <w:rFonts w:ascii="Cambria" w:cs="Cambria" w:eastAsia="Cambria" w:hAnsi="Cambria"/>
          <w:color w:val="000000"/>
          <w:sz w:val="22"/>
          <w:szCs w:val="22"/>
          <w:rtl w:val="0"/>
        </w:rPr>
        <w:t xml:space="preserve">Record the EC number and the confidence level.</w:t>
      </w:r>
    </w:p>
    <w:p w:rsidR="00000000" w:rsidDel="00000000" w:rsidP="00000000" w:rsidRDefault="00000000" w:rsidRPr="00000000" w14:paraId="00000063">
      <w:pPr>
        <w:pStyle w:val="Heading3"/>
        <w:keepNext w:val="0"/>
        <w:keepLines w:val="0"/>
        <w:numPr>
          <w:ilvl w:val="0"/>
          <w:numId w:val="3"/>
        </w:numPr>
        <w:spacing w:after="0" w:afterAutospacing="0" w:before="0" w:beforeAutospacing="0" w:line="276" w:lineRule="auto"/>
        <w:ind w:left="720" w:hanging="360"/>
        <w:rPr>
          <w:color w:val="000000"/>
          <w:u w:val="none"/>
        </w:rPr>
      </w:pPr>
      <w:bookmarkStart w:colFirst="0" w:colLast="0" w:name="_8tqj352jfkgn" w:id="7"/>
      <w:bookmarkEnd w:id="7"/>
      <w:r w:rsidDel="00000000" w:rsidR="00000000" w:rsidRPr="00000000">
        <w:rPr>
          <w:rFonts w:ascii="Cambria" w:cs="Cambria" w:eastAsia="Cambria" w:hAnsi="Cambria"/>
          <w:color w:val="000000"/>
          <w:sz w:val="22"/>
          <w:szCs w:val="22"/>
          <w:rtl w:val="0"/>
        </w:rPr>
        <w:t xml:space="preserve">Look up the EC number in the BRENDA database and record the details of the EC tree.</w:t>
      </w:r>
    </w:p>
    <w:p w:rsidR="00000000" w:rsidDel="00000000" w:rsidP="00000000" w:rsidRDefault="00000000" w:rsidRPr="00000000" w14:paraId="00000064">
      <w:pPr>
        <w:pStyle w:val="Heading3"/>
        <w:keepNext w:val="0"/>
        <w:keepLines w:val="0"/>
        <w:numPr>
          <w:ilvl w:val="0"/>
          <w:numId w:val="3"/>
        </w:numPr>
        <w:spacing w:after="0" w:afterAutospacing="0" w:before="0" w:beforeAutospacing="0" w:line="276" w:lineRule="auto"/>
        <w:ind w:left="720" w:hanging="360"/>
        <w:rPr>
          <w:color w:val="000000"/>
          <w:u w:val="none"/>
        </w:rPr>
      </w:pPr>
      <w:bookmarkStart w:colFirst="0" w:colLast="0" w:name="_yvovd68a6lb4" w:id="8"/>
      <w:bookmarkEnd w:id="8"/>
      <w:r w:rsidDel="00000000" w:rsidR="00000000" w:rsidRPr="00000000">
        <w:rPr>
          <w:rFonts w:ascii="Cambria" w:cs="Cambria" w:eastAsia="Cambria" w:hAnsi="Cambria"/>
          <w:color w:val="000000"/>
          <w:sz w:val="22"/>
          <w:szCs w:val="22"/>
          <w:rtl w:val="0"/>
        </w:rPr>
        <w:t xml:space="preserve">Look up the specific chemical reaction for that EC number and write down as many details as you can find.</w:t>
      </w:r>
    </w:p>
    <w:p w:rsidR="00000000" w:rsidDel="00000000" w:rsidP="00000000" w:rsidRDefault="00000000" w:rsidRPr="00000000" w14:paraId="00000065">
      <w:pPr>
        <w:numPr>
          <w:ilvl w:val="0"/>
          <w:numId w:val="3"/>
        </w:numPr>
        <w:spacing w:after="0" w:afterAutospacing="0" w:before="0" w:beforeAutospacing="0" w:line="276" w:lineRule="auto"/>
        <w:ind w:left="720" w:hanging="360"/>
        <w:rPr>
          <w:u w:val="none"/>
        </w:rPr>
      </w:pPr>
      <w:r w:rsidDel="00000000" w:rsidR="00000000" w:rsidRPr="00000000">
        <w:rPr>
          <w:rFonts w:ascii="Cambria" w:cs="Cambria" w:eastAsia="Cambria" w:hAnsi="Cambria"/>
          <w:rtl w:val="0"/>
        </w:rPr>
        <w:t xml:space="preserve">Explore the external links to maximize what you know about the predicted EC number.</w:t>
      </w:r>
    </w:p>
    <w:p w:rsidR="00000000" w:rsidDel="00000000" w:rsidP="00000000" w:rsidRDefault="00000000" w:rsidRPr="00000000" w14:paraId="00000066">
      <w:pPr>
        <w:numPr>
          <w:ilvl w:val="0"/>
          <w:numId w:val="3"/>
        </w:numPr>
        <w:spacing w:after="240" w:before="0" w:beforeAutospacing="0" w:line="276" w:lineRule="auto"/>
        <w:ind w:left="720" w:hanging="360"/>
        <w:rPr>
          <w:u w:val="none"/>
        </w:rPr>
      </w:pPr>
      <w:r w:rsidDel="00000000" w:rsidR="00000000" w:rsidRPr="00000000">
        <w:rPr>
          <w:rFonts w:ascii="Cambria" w:cs="Cambria" w:eastAsia="Cambria" w:hAnsi="Cambria"/>
          <w:rtl w:val="0"/>
        </w:rPr>
        <w:t xml:space="preserve">Utilize additional tools to verify the protein function prediction. Options could include the BASIL modules for BLAST, DALI, InterPro and SPRITE, which can be found on basilbiochem.org. </w:t>
      </w:r>
    </w:p>
    <w:p w:rsidR="00000000" w:rsidDel="00000000" w:rsidP="00000000" w:rsidRDefault="00000000" w:rsidRPr="00000000" w14:paraId="00000067">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shd w:fill="deebf6" w:val="clear"/>
        <w:spacing w:after="240" w:before="24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References</w:t>
      </w:r>
    </w:p>
    <w:p w:rsidR="00000000" w:rsidDel="00000000" w:rsidP="00000000" w:rsidRDefault="00000000" w:rsidRPr="00000000" w14:paraId="0000006B">
      <w:pPr>
        <w:spacing w:line="276" w:lineRule="auto"/>
        <w:ind w:left="760" w:hanging="38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6C">
      <w:pPr>
        <w:numPr>
          <w:ilvl w:val="0"/>
          <w:numId w:val="8"/>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Yu, T., Cui, H., Li, J. C., Luo, Y., Jiang, G., &amp; Zhao, H. (2023). Enzyme function prediction using contrastive learning. Science (American Association for the Advancement of Science), 379(6639), 1358–1363.</w:t>
      </w:r>
      <w:hyperlink r:id="rId23">
        <w:r w:rsidDel="00000000" w:rsidR="00000000" w:rsidRPr="00000000">
          <w:rPr>
            <w:rFonts w:ascii="Cambria" w:cs="Cambria" w:eastAsia="Cambria" w:hAnsi="Cambria"/>
            <w:rtl w:val="0"/>
          </w:rPr>
          <w:t xml:space="preserve"> </w:t>
        </w:r>
      </w:hyperlink>
      <w:hyperlink r:id="rId24">
        <w:r w:rsidDel="00000000" w:rsidR="00000000" w:rsidRPr="00000000">
          <w:rPr>
            <w:rFonts w:ascii="Cambria" w:cs="Cambria" w:eastAsia="Cambria" w:hAnsi="Cambria"/>
            <w:color w:val="1155cc"/>
            <w:u w:val="single"/>
            <w:rtl w:val="0"/>
          </w:rPr>
          <w:t xml:space="preserve">https://doi.org/10.1126/science.adf2465</w:t>
        </w:r>
      </w:hyperlink>
      <w:r w:rsidDel="00000000" w:rsidR="00000000" w:rsidRPr="00000000">
        <w:rPr>
          <w:rtl w:val="0"/>
        </w:rPr>
      </w:r>
    </w:p>
    <w:p w:rsidR="00000000" w:rsidDel="00000000" w:rsidP="00000000" w:rsidRDefault="00000000" w:rsidRPr="00000000" w14:paraId="0000006D">
      <w:pPr>
        <w:numPr>
          <w:ilvl w:val="0"/>
          <w:numId w:val="8"/>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Chang, A., Jeske, L., Ulbrich, S., Hofmann, J., Koblitz, J., Schomburg, I., Neumann-Schaal, M., Jahn, D., &amp; Schomburg, D. (2021). BRENDA, the ELIXIR core data resource in 2021: new developments and updates. Nucleic Acids Research, 49(D1), D498–D508.</w:t>
      </w:r>
      <w:hyperlink r:id="rId25">
        <w:r w:rsidDel="00000000" w:rsidR="00000000" w:rsidRPr="00000000">
          <w:rPr>
            <w:rFonts w:ascii="Cambria" w:cs="Cambria" w:eastAsia="Cambria" w:hAnsi="Cambria"/>
            <w:rtl w:val="0"/>
          </w:rPr>
          <w:t xml:space="preserve"> </w:t>
        </w:r>
      </w:hyperlink>
      <w:hyperlink r:id="rId26">
        <w:r w:rsidDel="00000000" w:rsidR="00000000" w:rsidRPr="00000000">
          <w:rPr>
            <w:rFonts w:ascii="Cambria" w:cs="Cambria" w:eastAsia="Cambria" w:hAnsi="Cambria"/>
            <w:color w:val="1155cc"/>
            <w:u w:val="single"/>
            <w:rtl w:val="0"/>
          </w:rPr>
          <w:t xml:space="preserve">https://doi.org/10.1093/nar/gkaa1025</w:t>
        </w:r>
      </w:hyperlink>
      <w:r w:rsidDel="00000000" w:rsidR="00000000" w:rsidRPr="00000000">
        <w:rPr>
          <w:rtl w:val="0"/>
        </w:rPr>
      </w:r>
    </w:p>
    <w:p w:rsidR="00000000" w:rsidDel="00000000" w:rsidP="00000000" w:rsidRDefault="00000000" w:rsidRPr="00000000" w14:paraId="0000006E">
      <w:pPr>
        <w:numPr>
          <w:ilvl w:val="0"/>
          <w:numId w:val="8"/>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UniProt Consortium (2023). “UniProt: the Universal Protein Knowledgebase in 2023”. </w:t>
      </w:r>
      <w:hyperlink r:id="rId27">
        <w:r w:rsidDel="00000000" w:rsidR="00000000" w:rsidRPr="00000000">
          <w:rPr>
            <w:rFonts w:ascii="Cambria" w:cs="Cambria" w:eastAsia="Cambria" w:hAnsi="Cambria"/>
            <w:rtl w:val="0"/>
          </w:rPr>
          <w:t xml:space="preserve">Nucleic Acids Research, vol. 51, pp. D523–D531</w:t>
        </w:r>
      </w:hyperlink>
      <w:r w:rsidDel="00000000" w:rsidR="00000000" w:rsidRPr="00000000">
        <w:rPr>
          <w:rFonts w:ascii="Cambria" w:cs="Cambria" w:eastAsia="Cambria" w:hAnsi="Cambria"/>
          <w:rtl w:val="0"/>
        </w:rPr>
        <w:t xml:space="preserve">, </w:t>
      </w:r>
      <w:hyperlink r:id="rId28">
        <w:r w:rsidDel="00000000" w:rsidR="00000000" w:rsidRPr="00000000">
          <w:rPr>
            <w:rFonts w:ascii="Cambria" w:cs="Cambria" w:eastAsia="Cambria" w:hAnsi="Cambria"/>
            <w:color w:val="006fb7"/>
            <w:highlight w:val="white"/>
            <w:rtl w:val="0"/>
          </w:rPr>
          <w:t xml:space="preserve">https://doi.org/10.1093/nar/gkac1052</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6F">
      <w:pPr>
        <w:numPr>
          <w:ilvl w:val="0"/>
          <w:numId w:val="8"/>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Berman, H. M., et al. (2000), “The Protein Data Bank.” Nucleic Acids Research, vol. 28, no. 1, 2000, pp. 235–42,</w:t>
      </w:r>
      <w:hyperlink r:id="rId29">
        <w:r w:rsidDel="00000000" w:rsidR="00000000" w:rsidRPr="00000000">
          <w:rPr>
            <w:rFonts w:ascii="Cambria" w:cs="Cambria" w:eastAsia="Cambria" w:hAnsi="Cambria"/>
            <w:rtl w:val="0"/>
          </w:rPr>
          <w:t xml:space="preserve"> </w:t>
        </w:r>
      </w:hyperlink>
      <w:hyperlink r:id="rId30">
        <w:r w:rsidDel="00000000" w:rsidR="00000000" w:rsidRPr="00000000">
          <w:rPr>
            <w:rFonts w:ascii="Cambria" w:cs="Cambria" w:eastAsia="Cambria" w:hAnsi="Cambria"/>
            <w:color w:val="1155cc"/>
            <w:u w:val="single"/>
            <w:rtl w:val="0"/>
          </w:rPr>
          <w:t xml:space="preserve">https://doi.org/10.1093/nar/28.1.235</w:t>
        </w:r>
      </w:hyperlink>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70">
      <w:pPr>
        <w:spacing w:line="27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ind w:right="0"/>
      <w:rPr/>
    </w:pPr>
    <w:r w:rsidDel="00000000" w:rsidR="00000000" w:rsidRPr="00000000">
      <w:rPr>
        <w:color w:val="999999"/>
        <w:rtl w:val="0"/>
      </w:rPr>
      <w:t xml:space="preserve">BASIL Student Module: CLEAN Enzyme Function Prediction</w:t>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png"/><Relationship Id="rId21" Type="http://schemas.openxmlformats.org/officeDocument/2006/relationships/image" Target="media/image6.png"/><Relationship Id="rId24" Type="http://schemas.openxmlformats.org/officeDocument/2006/relationships/hyperlink" Target="https://doi.org/10.1126/science.adf2465" TargetMode="External"/><Relationship Id="rId23" Type="http://schemas.openxmlformats.org/officeDocument/2006/relationships/hyperlink" Target="https://doi.org/10.1126/science.adf24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Enzyme_Commission_number#" TargetMode="External"/><Relationship Id="rId26" Type="http://schemas.openxmlformats.org/officeDocument/2006/relationships/hyperlink" Target="https://doi.org/10.1093/nar/gkaa1025%20%0d3" TargetMode="External"/><Relationship Id="rId25" Type="http://schemas.openxmlformats.org/officeDocument/2006/relationships/hyperlink" Target="https://doi.org/10.1093/nar/gkaa1025%20%0d3" TargetMode="External"/><Relationship Id="rId28" Type="http://schemas.openxmlformats.org/officeDocument/2006/relationships/hyperlink" Target="https://doi.org/10.1093/nar/gkac1052" TargetMode="External"/><Relationship Id="rId27" Type="http://schemas.openxmlformats.org/officeDocument/2006/relationships/hyperlink" Target="https://doi.org/10.1093/nar/gkac1052"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doi.org/10.1093/nar/28.1.235" TargetMode="External"/><Relationship Id="rId7" Type="http://schemas.openxmlformats.org/officeDocument/2006/relationships/image" Target="media/image7.png"/><Relationship Id="rId8" Type="http://schemas.openxmlformats.org/officeDocument/2006/relationships/hyperlink" Target="https://en.wikipedia.org/wiki/Enzyme_Commission_number" TargetMode="External"/><Relationship Id="rId31" Type="http://schemas.openxmlformats.org/officeDocument/2006/relationships/footer" Target="footer1.xml"/><Relationship Id="rId30" Type="http://schemas.openxmlformats.org/officeDocument/2006/relationships/hyperlink" Target="https://doi.org/10.1093/nar/28.1.235" TargetMode="External"/><Relationship Id="rId11" Type="http://schemas.openxmlformats.org/officeDocument/2006/relationships/hyperlink" Target="https://www.rcsb.org/" TargetMode="External"/><Relationship Id="rId10" Type="http://schemas.openxmlformats.org/officeDocument/2006/relationships/hyperlink" Target="https://www.brenda-enzymes.org/" TargetMode="External"/><Relationship Id="rId13" Type="http://schemas.openxmlformats.org/officeDocument/2006/relationships/hyperlink" Target="https://www.uniprot.org/" TargetMode="External"/><Relationship Id="rId12" Type="http://schemas.openxmlformats.org/officeDocument/2006/relationships/hyperlink" Target="https://www.rcsb.org/" TargetMode="External"/><Relationship Id="rId15" Type="http://schemas.openxmlformats.org/officeDocument/2006/relationships/hyperlink" Target="https://clean.platform.moleculemaker.org/configuration" TargetMode="External"/><Relationship Id="rId14" Type="http://schemas.openxmlformats.org/officeDocument/2006/relationships/hyperlink" Target="https://clean.platform.moleculemaker.org/configuration" TargetMode="External"/><Relationship Id="rId17" Type="http://schemas.openxmlformats.org/officeDocument/2006/relationships/image" Target="media/image5.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