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06407" w14:textId="0D3F2476" w:rsidR="00D23278" w:rsidRDefault="00D23278">
      <w:pPr>
        <w:rPr>
          <w:rFonts w:ascii="Helvetica" w:hAnsi="Helvetica"/>
          <w:b/>
          <w:color w:val="FF0000"/>
        </w:rPr>
      </w:pPr>
      <w:r>
        <w:rPr>
          <w:rFonts w:ascii="Helvetica" w:hAnsi="Helvetica"/>
          <w:b/>
          <w:color w:val="FF0000"/>
        </w:rPr>
        <w:t>Miles Bennett</w:t>
      </w:r>
    </w:p>
    <w:p w14:paraId="20CA5582" w14:textId="586C58EA" w:rsidR="00D23278" w:rsidRPr="00D23278" w:rsidRDefault="00D23278">
      <w:pPr>
        <w:rPr>
          <w:rFonts w:ascii="Helvetica" w:hAnsi="Helvetica"/>
          <w:b/>
          <w:sz w:val="20"/>
          <w:szCs w:val="20"/>
        </w:rPr>
      </w:pPr>
      <w:r w:rsidRPr="00D23278">
        <w:rPr>
          <w:rFonts w:ascii="Helvetica" w:hAnsi="Helvetica"/>
          <w:b/>
          <w:sz w:val="20"/>
          <w:szCs w:val="20"/>
        </w:rPr>
        <w:t>BSEE Candidate (2015)</w:t>
      </w:r>
      <w:bookmarkStart w:id="0" w:name="_GoBack"/>
      <w:bookmarkEnd w:id="0"/>
    </w:p>
    <w:p w14:paraId="2CAA95DD" w14:textId="274413BB" w:rsidR="00D23278" w:rsidRPr="00D23278" w:rsidRDefault="00D23278">
      <w:pPr>
        <w:rPr>
          <w:rFonts w:ascii="Helvetica" w:hAnsi="Helvetica"/>
          <w:b/>
          <w:sz w:val="20"/>
          <w:szCs w:val="20"/>
        </w:rPr>
      </w:pPr>
      <w:r w:rsidRPr="00D23278">
        <w:rPr>
          <w:rFonts w:ascii="Helvetica" w:hAnsi="Helvetica"/>
          <w:b/>
          <w:sz w:val="20"/>
          <w:szCs w:val="20"/>
        </w:rPr>
        <w:t>MSEE Candidate (2016)</w:t>
      </w:r>
    </w:p>
    <w:p w14:paraId="27FA76CC" w14:textId="77777777" w:rsidR="00126EE4" w:rsidRPr="001737C6" w:rsidRDefault="00956FC8">
      <w:pPr>
        <w:rPr>
          <w:rFonts w:ascii="Helvetica" w:hAnsi="Helvetica"/>
          <w:b/>
          <w:color w:val="FF0000"/>
        </w:rPr>
      </w:pPr>
      <w:r w:rsidRPr="001737C6">
        <w:rPr>
          <w:rFonts w:ascii="Helvetica" w:hAnsi="Helvetica"/>
          <w:b/>
          <w:color w:val="FF0000"/>
        </w:rPr>
        <w:t>Magnetically Modulated Electrochemical Systems</w:t>
      </w:r>
    </w:p>
    <w:p w14:paraId="4EAC3C89" w14:textId="77777777" w:rsidR="00956FC8" w:rsidRDefault="003A0C58">
      <w:r w:rsidRPr="003A0C5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0F92BA9" wp14:editId="420CA0A0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4114800" cy="2043430"/>
            <wp:effectExtent l="0" t="0" r="0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3F93E" w14:textId="79B5BB9B" w:rsidR="001737C6" w:rsidRDefault="004C1296">
      <w:pPr>
        <w:rPr>
          <w:rFonts w:ascii="Helvetica" w:eastAsia="Times New Roman" w:hAnsi="Helvetica" w:cs="Times New Roman"/>
          <w:sz w:val="20"/>
          <w:szCs w:val="20"/>
        </w:rPr>
      </w:pPr>
      <w:r w:rsidRPr="001737C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AF6BC" wp14:editId="7D58779D">
                <wp:simplePos x="0" y="0"/>
                <wp:positionH relativeFrom="column">
                  <wp:posOffset>-4229100</wp:posOffset>
                </wp:positionH>
                <wp:positionV relativeFrom="paragraph">
                  <wp:posOffset>2099945</wp:posOffset>
                </wp:positionV>
                <wp:extent cx="4114800" cy="2857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FFD5" w14:textId="77777777" w:rsidR="00EB6FB2" w:rsidRPr="004C1296" w:rsidRDefault="00EB6FB2" w:rsidP="004C1296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4C1296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4C1296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C1296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4C1296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4C1296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C1296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C12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Charge</w:t>
                            </w:r>
                            <w:r w:rsidRPr="004C1296">
                              <w:rPr>
                                <w:sz w:val="16"/>
                                <w:szCs w:val="16"/>
                              </w:rPr>
                              <w:t xml:space="preserve"> transfer can take place from any occupied energy state that is matched in energy with an unoccupied receiving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32.95pt;margin-top:165.35pt;width:324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" stroked="f">
                <v:textbox inset="0,0,0,0">
                  <w:txbxContent>
                    <w:p w14:paraId="5F2AFFD5" w14:textId="77777777" w:rsidR="00EB6FB2" w:rsidRPr="004C1296" w:rsidRDefault="00EB6FB2" w:rsidP="004C1296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4C1296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4C1296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4C1296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4C1296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4C1296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4C1296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4C12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Charge</w:t>
                      </w:r>
                      <w:r w:rsidRPr="004C1296">
                        <w:rPr>
                          <w:sz w:val="16"/>
                          <w:szCs w:val="16"/>
                        </w:rPr>
                        <w:t xml:space="preserve"> transfer can take place from any occupied energy state that is matched in energy with an unoccupied receiving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58" w:rsidRPr="001737C6">
        <w:rPr>
          <w:rFonts w:ascii="Helvetica" w:hAnsi="Helvetica"/>
          <w:sz w:val="20"/>
          <w:szCs w:val="20"/>
        </w:rPr>
        <w:t xml:space="preserve">Magnetic field effects in electrochemical reactions can be divided into three categories: effects relating to mass transport, effects related to </w:t>
      </w:r>
      <w:r w:rsidR="00EB6FB2">
        <w:rPr>
          <w:rFonts w:ascii="Helvetica" w:hAnsi="Helvetica"/>
          <w:sz w:val="20"/>
          <w:szCs w:val="20"/>
        </w:rPr>
        <w:t>charge</w:t>
      </w:r>
      <w:r w:rsidRPr="001737C6">
        <w:rPr>
          <w:rFonts w:ascii="Helvetica" w:hAnsi="Helvetica"/>
          <w:sz w:val="20"/>
          <w:szCs w:val="20"/>
        </w:rPr>
        <w:t xml:space="preserve"> transfer</w:t>
      </w:r>
      <w:r w:rsidR="003A0C58" w:rsidRPr="001737C6">
        <w:rPr>
          <w:rFonts w:ascii="Helvetica" w:hAnsi="Helvetica"/>
          <w:sz w:val="20"/>
          <w:szCs w:val="20"/>
        </w:rPr>
        <w:t xml:space="preserve">, and effects related to deposition morphology in the electrode surface. The effects of magnetic fields on mass transport and deposition morphology are already well established; however, </w:t>
      </w:r>
      <w:r w:rsidR="00831C3E">
        <w:rPr>
          <w:rFonts w:ascii="Helvetica" w:hAnsi="Helvetica"/>
          <w:sz w:val="20"/>
          <w:szCs w:val="20"/>
        </w:rPr>
        <w:t>the effect of magnetic fields</w:t>
      </w:r>
      <w:r w:rsidR="003A0C58" w:rsidRPr="001737C6">
        <w:rPr>
          <w:rFonts w:ascii="Helvetica" w:hAnsi="Helvetica"/>
          <w:sz w:val="20"/>
          <w:szCs w:val="20"/>
        </w:rPr>
        <w:t xml:space="preserve"> on </w:t>
      </w:r>
      <w:r w:rsidR="00EB6FB2">
        <w:rPr>
          <w:rFonts w:ascii="Helvetica" w:hAnsi="Helvetica"/>
          <w:sz w:val="20"/>
          <w:szCs w:val="20"/>
        </w:rPr>
        <w:t>charge</w:t>
      </w:r>
      <w:r w:rsidRPr="001737C6">
        <w:rPr>
          <w:rFonts w:ascii="Helvetica" w:hAnsi="Helvetica"/>
          <w:sz w:val="20"/>
          <w:szCs w:val="20"/>
        </w:rPr>
        <w:t xml:space="preserve"> transfer remains controversial</w:t>
      </w:r>
      <w:r w:rsidR="003A0C58" w:rsidRPr="001737C6">
        <w:rPr>
          <w:rFonts w:ascii="Helvetica" w:hAnsi="Helvetica"/>
          <w:sz w:val="20"/>
          <w:szCs w:val="20"/>
        </w:rPr>
        <w:t xml:space="preserve">. </w:t>
      </w:r>
      <w:r w:rsidRPr="001737C6">
        <w:rPr>
          <w:rFonts w:ascii="Helvetica" w:hAnsi="Helvetica"/>
          <w:sz w:val="20"/>
          <w:szCs w:val="20"/>
        </w:rPr>
        <w:t xml:space="preserve">This current work is a systematic study of magnetic fields on the </w:t>
      </w:r>
      <w:r w:rsidR="00EB6FB2">
        <w:rPr>
          <w:rFonts w:ascii="Helvetica" w:hAnsi="Helvetica"/>
          <w:sz w:val="20"/>
          <w:szCs w:val="20"/>
        </w:rPr>
        <w:t>charge</w:t>
      </w:r>
      <w:r w:rsidRPr="001737C6">
        <w:rPr>
          <w:rFonts w:ascii="Helvetica" w:hAnsi="Helvetica"/>
          <w:sz w:val="20"/>
          <w:szCs w:val="20"/>
        </w:rPr>
        <w:t xml:space="preserve"> transfer process in a variety of electrochemical systems with strong magnetic coupling between the working electrode and electrolyte in solution. </w:t>
      </w:r>
      <w:r w:rsidRPr="001737C6">
        <w:rPr>
          <w:rFonts w:ascii="Helvetica" w:eastAsia="Times New Roman" w:hAnsi="Helvetica" w:cs="Times New Roman"/>
          <w:sz w:val="20"/>
          <w:szCs w:val="20"/>
        </w:rPr>
        <w:t>The results of this study not only will be of interest to scientists in the fields of physics and electrochemistry, but will see potential applications in: electrical engineering for use in magnetic sensor technology and low power electronics; materials science for use in new generations of fuel cells; and chemical engineering with uses in catalyst research</w:t>
      </w:r>
      <w:r w:rsidR="001737C6">
        <w:rPr>
          <w:rFonts w:ascii="Helvetica" w:eastAsia="Times New Roman" w:hAnsi="Helvetica" w:cs="Times New Roman"/>
          <w:sz w:val="20"/>
          <w:szCs w:val="20"/>
        </w:rPr>
        <w:t xml:space="preserve">. </w:t>
      </w:r>
    </w:p>
    <w:p w14:paraId="023D710E" w14:textId="77777777" w:rsidR="001737C6" w:rsidRDefault="001737C6">
      <w:pPr>
        <w:rPr>
          <w:rFonts w:ascii="Helvetica" w:eastAsia="Times New Roman" w:hAnsi="Helvetica" w:cs="Times New Roman"/>
          <w:color w:val="FF0000"/>
        </w:rPr>
      </w:pPr>
      <w:r w:rsidRPr="001737C6">
        <w:rPr>
          <w:rFonts w:ascii="Helvetica" w:eastAsia="Times New Roman" w:hAnsi="Helvetica" w:cs="Times New Roman"/>
          <w:color w:val="FF0000"/>
        </w:rPr>
        <w:t xml:space="preserve">Quantum </w:t>
      </w:r>
      <w:proofErr w:type="spellStart"/>
      <w:r w:rsidRPr="001737C6">
        <w:rPr>
          <w:rFonts w:ascii="Helvetica" w:eastAsia="Times New Roman" w:hAnsi="Helvetica" w:cs="Times New Roman"/>
          <w:color w:val="FF0000"/>
        </w:rPr>
        <w:t>Biomolecular</w:t>
      </w:r>
      <w:proofErr w:type="spellEnd"/>
      <w:r w:rsidRPr="001737C6">
        <w:rPr>
          <w:rFonts w:ascii="Helvetica" w:eastAsia="Times New Roman" w:hAnsi="Helvetica" w:cs="Times New Roman"/>
          <w:color w:val="FF0000"/>
        </w:rPr>
        <w:t xml:space="preserve"> Transducers for Electrochemical Sensing Applications</w:t>
      </w:r>
    </w:p>
    <w:p w14:paraId="0A26DC0A" w14:textId="77777777" w:rsidR="001737C6" w:rsidRDefault="001737C6">
      <w:pPr>
        <w:rPr>
          <w:rFonts w:ascii="Helvetica" w:eastAsia="Times New Roman" w:hAnsi="Helvetica" w:cs="Times New Roman"/>
          <w:color w:val="FF0000"/>
        </w:rPr>
      </w:pPr>
      <w:r w:rsidRPr="001737C6">
        <w:rPr>
          <w:rFonts w:ascii="Helvetica" w:eastAsia="Times New Roman" w:hAnsi="Helvetica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5F1C2D6" wp14:editId="66CC6EDF">
            <wp:simplePos x="0" y="0"/>
            <wp:positionH relativeFrom="column">
              <wp:posOffset>-635</wp:posOffset>
            </wp:positionH>
            <wp:positionV relativeFrom="paragraph">
              <wp:posOffset>183515</wp:posOffset>
            </wp:positionV>
            <wp:extent cx="3263265" cy="1860550"/>
            <wp:effectExtent l="0" t="0" r="0" b="0"/>
            <wp:wrapSquare wrapText="bothSides"/>
            <wp:docPr id="2" name="Picture 1" descr="3-Electrode_Potentiostat_Princi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3-Electrode_Potentiostat_Principle.jp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/>
                    <a:stretch/>
                  </pic:blipFill>
                  <pic:spPr>
                    <a:xfrm>
                      <a:off x="0" y="0"/>
                      <a:ext cx="326326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16B9" w14:textId="77777777" w:rsidR="00831C3E" w:rsidRDefault="00EE2F45">
      <w:pPr>
        <w:rPr>
          <w:rFonts w:ascii="Helvetica" w:hAnsi="Helvetica" w:cs="Verdana"/>
          <w:color w:val="302E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646C4" wp14:editId="10959A4F">
                <wp:simplePos x="0" y="0"/>
                <wp:positionH relativeFrom="column">
                  <wp:posOffset>-3376930</wp:posOffset>
                </wp:positionH>
                <wp:positionV relativeFrom="paragraph">
                  <wp:posOffset>1918335</wp:posOffset>
                </wp:positionV>
                <wp:extent cx="3263265" cy="61468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265" cy="614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FDD459" w14:textId="77777777" w:rsidR="00EE2F45" w:rsidRPr="00EE2F45" w:rsidRDefault="00EE2F45" w:rsidP="00EE2F45">
                            <w:pPr>
                              <w:pStyle w:val="Caption"/>
                              <w:rPr>
                                <w:rFonts w:ascii="Helvetica" w:eastAsia="Times New Roman" w:hAnsi="Helvetica" w:cs="Times New Roman"/>
                                <w:sz w:val="16"/>
                                <w:szCs w:val="16"/>
                              </w:rPr>
                            </w:pPr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E2F45">
                              <w:rPr>
                                <w:rFonts w:ascii="Helvetica" w:hAnsi="Helvetica"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potentiostat</w:t>
                            </w:r>
                            <w:proofErr w:type="spellEnd"/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 xml:space="preserve"> in a three-electrode electrochemical cell. The </w:t>
                            </w:r>
                            <w:proofErr w:type="spellStart"/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potentiostat</w:t>
                            </w:r>
                            <w:proofErr w:type="spellEnd"/>
                            <w:r w:rsidRPr="00EE2F45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 xml:space="preserve"> controls the potential difference between the working electrode (WE) and the reference electrode (RE) by injecting current into the counter electrode (CE).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-265.85pt;margin-top:151.05pt;width:256.95pt;height:4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" stroked="f">
                <v:textbox style="mso-fit-shape-to-text:t" inset="0,0,0,0">
                  <w:txbxContent>
                    <w:p w14:paraId="14FDD459" w14:textId="77777777" w:rsidR="00EE2F45" w:rsidRPr="00EE2F45" w:rsidRDefault="00EE2F45" w:rsidP="00EE2F45">
                      <w:pPr>
                        <w:pStyle w:val="Caption"/>
                        <w:rPr>
                          <w:rFonts w:ascii="Helvetica" w:eastAsia="Times New Roman" w:hAnsi="Helvetica" w:cs="Times New Roman"/>
                          <w:sz w:val="16"/>
                          <w:szCs w:val="16"/>
                        </w:rPr>
                      </w:pPr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t xml:space="preserve">Figure </w:t>
                      </w:r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fldChar w:fldCharType="begin"/>
                      </w:r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fldChar w:fldCharType="separate"/>
                      </w:r>
                      <w:r w:rsidRPr="00EE2F45">
                        <w:rPr>
                          <w:rFonts w:ascii="Helvetica" w:hAnsi="Helvetica"/>
                          <w:noProof/>
                          <w:sz w:val="16"/>
                          <w:szCs w:val="16"/>
                        </w:rPr>
                        <w:t>2</w:t>
                      </w:r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fldChar w:fldCharType="end"/>
                      </w:r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t>potentiostat</w:t>
                      </w:r>
                      <w:proofErr w:type="spellEnd"/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t xml:space="preserve"> in a three-electrode electrochemical cell. The </w:t>
                      </w:r>
                      <w:proofErr w:type="spellStart"/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t>potentiostat</w:t>
                      </w:r>
                      <w:proofErr w:type="spellEnd"/>
                      <w:r w:rsidRPr="00EE2F45">
                        <w:rPr>
                          <w:rFonts w:ascii="Helvetica" w:hAnsi="Helvetica"/>
                          <w:sz w:val="16"/>
                          <w:szCs w:val="16"/>
                        </w:rPr>
                        <w:t xml:space="preserve"> controls the potential difference between the working electrode (WE) and the reference electrode (RE) by injecting current into the counter electrode (CE).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C3E">
        <w:rPr>
          <w:rFonts w:ascii="Helvetica" w:hAnsi="Helvetica" w:cs="Verdana"/>
          <w:color w:val="302E24"/>
          <w:sz w:val="20"/>
          <w:szCs w:val="20"/>
        </w:rPr>
        <w:t>In this project, a marker-free biological sensor is proposed</w:t>
      </w:r>
      <w:r w:rsidR="00EB6FB2">
        <w:rPr>
          <w:rFonts w:ascii="Helvetica" w:hAnsi="Helvetica" w:cs="Verdana"/>
          <w:color w:val="302E24"/>
          <w:sz w:val="20"/>
          <w:szCs w:val="20"/>
        </w:rPr>
        <w:t xml:space="preserve"> and investigated</w:t>
      </w:r>
      <w:r w:rsidR="00831C3E">
        <w:rPr>
          <w:rFonts w:ascii="Helvetica" w:hAnsi="Helvetica" w:cs="Verdana"/>
          <w:color w:val="302E24"/>
          <w:sz w:val="20"/>
          <w:szCs w:val="20"/>
        </w:rPr>
        <w:t xml:space="preserve">, wherein discrete electronic and vibrational modes of a molecular </w:t>
      </w:r>
      <w:proofErr w:type="spellStart"/>
      <w:r w:rsidR="00831C3E">
        <w:rPr>
          <w:rFonts w:ascii="Helvetica" w:hAnsi="Helvetica" w:cs="Verdana"/>
          <w:color w:val="302E24"/>
          <w:sz w:val="20"/>
          <w:szCs w:val="20"/>
        </w:rPr>
        <w:t>analyte</w:t>
      </w:r>
      <w:proofErr w:type="spellEnd"/>
      <w:r w:rsidR="00831C3E">
        <w:rPr>
          <w:rFonts w:ascii="Helvetica" w:hAnsi="Helvetica" w:cs="Verdana"/>
          <w:color w:val="302E24"/>
          <w:sz w:val="20"/>
          <w:szCs w:val="20"/>
        </w:rPr>
        <w:t xml:space="preserve"> can be determined </w:t>
      </w:r>
      <w:proofErr w:type="spellStart"/>
      <w:r w:rsidR="00EB6FB2">
        <w:rPr>
          <w:rFonts w:ascii="Helvetica" w:hAnsi="Helvetica" w:cs="Verdana"/>
          <w:color w:val="302E24"/>
          <w:sz w:val="20"/>
          <w:szCs w:val="20"/>
        </w:rPr>
        <w:t>via</w:t>
      </w:r>
      <w:proofErr w:type="spellEnd"/>
      <w:r w:rsidR="00EB6FB2">
        <w:rPr>
          <w:rFonts w:ascii="Helvetica" w:hAnsi="Helvetica" w:cs="Verdana"/>
          <w:color w:val="302E24"/>
          <w:sz w:val="20"/>
          <w:szCs w:val="20"/>
        </w:rPr>
        <w:t xml:space="preserve"> the electronic tunneling current as a transduction mechanism. Although similar systems based on quantum tunneling spectroscopy have been proposed previously, a biosensor of this type has yet to have been developed to function at room temperature environments. Noise is used as a gating mechanism to modulate the kinetics of charge transfer. A specialized low noise </w:t>
      </w:r>
      <w:proofErr w:type="spellStart"/>
      <w:r w:rsidR="00EB6FB2">
        <w:rPr>
          <w:rFonts w:ascii="Helvetica" w:hAnsi="Helvetica" w:cs="Verdana"/>
          <w:color w:val="302E24"/>
          <w:sz w:val="20"/>
          <w:szCs w:val="20"/>
        </w:rPr>
        <w:t>potentiostat</w:t>
      </w:r>
      <w:proofErr w:type="spellEnd"/>
      <w:r w:rsidR="00EB6FB2">
        <w:rPr>
          <w:rFonts w:ascii="Helvetica" w:hAnsi="Helvetica" w:cs="Verdana"/>
          <w:color w:val="302E24"/>
          <w:sz w:val="20"/>
          <w:szCs w:val="20"/>
        </w:rPr>
        <w:t xml:space="preserve"> is used in order to control both the interface voltage and the noise power in a typical three-electrode electrochemical cell. </w:t>
      </w:r>
      <w:r>
        <w:rPr>
          <w:rFonts w:ascii="Helvetica" w:hAnsi="Helvetica" w:cs="Verdana"/>
          <w:color w:val="302E24"/>
          <w:sz w:val="20"/>
          <w:szCs w:val="20"/>
        </w:rPr>
        <w:t xml:space="preserve">Current effects to improve the performance of the </w:t>
      </w:r>
      <w:proofErr w:type="spellStart"/>
      <w:r>
        <w:rPr>
          <w:rFonts w:ascii="Helvetica" w:hAnsi="Helvetica" w:cs="Verdana"/>
          <w:color w:val="302E24"/>
          <w:sz w:val="20"/>
          <w:szCs w:val="20"/>
        </w:rPr>
        <w:t>potentiostat</w:t>
      </w:r>
      <w:proofErr w:type="spellEnd"/>
      <w:r>
        <w:rPr>
          <w:rFonts w:ascii="Helvetica" w:hAnsi="Helvetica" w:cs="Verdana"/>
          <w:color w:val="302E24"/>
          <w:sz w:val="20"/>
          <w:szCs w:val="20"/>
        </w:rPr>
        <w:t xml:space="preserve"> focus on creating </w:t>
      </w:r>
      <w:r w:rsidR="00BB3433">
        <w:rPr>
          <w:rFonts w:ascii="Helvetica" w:hAnsi="Helvetica" w:cs="Verdana"/>
          <w:color w:val="302E24"/>
          <w:sz w:val="20"/>
          <w:szCs w:val="20"/>
        </w:rPr>
        <w:t xml:space="preserve">an </w:t>
      </w:r>
      <w:r>
        <w:rPr>
          <w:rFonts w:ascii="Helvetica" w:hAnsi="Helvetica" w:cs="Verdana"/>
          <w:color w:val="302E24"/>
          <w:sz w:val="20"/>
          <w:szCs w:val="20"/>
        </w:rPr>
        <w:t>ultra low-nois</w:t>
      </w:r>
      <w:r w:rsidR="00BB3433">
        <w:rPr>
          <w:rFonts w:ascii="Helvetica" w:hAnsi="Helvetica" w:cs="Verdana"/>
          <w:color w:val="302E24"/>
          <w:sz w:val="20"/>
          <w:szCs w:val="20"/>
        </w:rPr>
        <w:t>e feedback loop</w:t>
      </w:r>
      <w:r>
        <w:rPr>
          <w:rFonts w:ascii="Helvetica" w:hAnsi="Helvetica" w:cs="Verdana"/>
          <w:color w:val="302E24"/>
          <w:sz w:val="20"/>
          <w:szCs w:val="20"/>
        </w:rPr>
        <w:t xml:space="preserve"> and optimizing a </w:t>
      </w:r>
      <w:proofErr w:type="spellStart"/>
      <w:r>
        <w:rPr>
          <w:rFonts w:ascii="Helvetica" w:hAnsi="Helvetica" w:cs="Verdana"/>
          <w:color w:val="302E24"/>
          <w:sz w:val="20"/>
          <w:szCs w:val="20"/>
        </w:rPr>
        <w:t>transimpedance</w:t>
      </w:r>
      <w:proofErr w:type="spellEnd"/>
      <w:r>
        <w:rPr>
          <w:rFonts w:ascii="Helvetica" w:hAnsi="Helvetica" w:cs="Verdana"/>
          <w:color w:val="302E24"/>
          <w:sz w:val="20"/>
          <w:szCs w:val="20"/>
        </w:rPr>
        <w:t xml:space="preserve"> amplifier to measure sub-</w:t>
      </w:r>
      <w:proofErr w:type="spellStart"/>
      <w:r>
        <w:rPr>
          <w:rFonts w:ascii="Helvetica" w:hAnsi="Helvetica" w:cs="Verdana"/>
          <w:color w:val="302E24"/>
          <w:sz w:val="20"/>
          <w:szCs w:val="20"/>
        </w:rPr>
        <w:t>pA</w:t>
      </w:r>
      <w:proofErr w:type="spellEnd"/>
      <w:r>
        <w:rPr>
          <w:rFonts w:ascii="Helvetica" w:hAnsi="Helvetica" w:cs="Verdana"/>
          <w:color w:val="302E24"/>
          <w:sz w:val="20"/>
          <w:szCs w:val="20"/>
        </w:rPr>
        <w:t xml:space="preserve"> current</w:t>
      </w:r>
      <w:r w:rsidR="00BB3433">
        <w:rPr>
          <w:rFonts w:ascii="Helvetica" w:hAnsi="Helvetica" w:cs="Verdana"/>
          <w:color w:val="302E24"/>
          <w:sz w:val="20"/>
          <w:szCs w:val="20"/>
        </w:rPr>
        <w:t xml:space="preserve"> levels</w:t>
      </w:r>
      <w:r>
        <w:rPr>
          <w:rFonts w:ascii="Helvetica" w:hAnsi="Helvetica" w:cs="Verdana"/>
          <w:color w:val="302E24"/>
          <w:sz w:val="20"/>
          <w:szCs w:val="20"/>
        </w:rPr>
        <w:t>.</w:t>
      </w:r>
    </w:p>
    <w:p w14:paraId="64E06E6D" w14:textId="15074823" w:rsidR="001737C6" w:rsidRPr="00D23278" w:rsidRDefault="00D23278">
      <w:pPr>
        <w:rPr>
          <w:rFonts w:ascii="Helvetica" w:hAnsi="Helvetica" w:cs="Verdana"/>
          <w:sz w:val="20"/>
          <w:szCs w:val="20"/>
        </w:rPr>
      </w:pPr>
      <w:r>
        <w:rPr>
          <w:rFonts w:ascii="Helvetica" w:hAnsi="Helvetica" w:cs="Verdana"/>
          <w:color w:val="FF0000"/>
          <w:sz w:val="20"/>
          <w:szCs w:val="20"/>
        </w:rPr>
        <w:t xml:space="preserve">Email: </w:t>
      </w:r>
      <w:r>
        <w:rPr>
          <w:rFonts w:ascii="Helvetica" w:hAnsi="Helvetica" w:cs="Verdana"/>
          <w:sz w:val="20"/>
          <w:szCs w:val="20"/>
        </w:rPr>
        <w:t xml:space="preserve">milesb1@stanford.edu </w:t>
      </w:r>
    </w:p>
    <w:sectPr w:rsidR="001737C6" w:rsidRPr="00D23278" w:rsidSect="00DF66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FC8"/>
    <w:rsid w:val="00126EE4"/>
    <w:rsid w:val="001737C6"/>
    <w:rsid w:val="003A0C58"/>
    <w:rsid w:val="004C1296"/>
    <w:rsid w:val="00831C3E"/>
    <w:rsid w:val="00956FC8"/>
    <w:rsid w:val="009C7DE7"/>
    <w:rsid w:val="00BB3433"/>
    <w:rsid w:val="00CE741E"/>
    <w:rsid w:val="00D23278"/>
    <w:rsid w:val="00DF6679"/>
    <w:rsid w:val="00EB6FB2"/>
    <w:rsid w:val="00EE2F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F2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F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C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C5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C12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32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F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C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C5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C12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3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310</Words>
  <Characters>1772</Characters>
  <Application>Microsoft Macintosh Word</Application>
  <DocSecurity>0</DocSecurity>
  <Lines>14</Lines>
  <Paragraphs>4</Paragraphs>
  <ScaleCrop>false</ScaleCrop>
  <Company>Stanford University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12</cp:revision>
  <cp:lastPrinted>2014-01-31T09:34:00Z</cp:lastPrinted>
  <dcterms:created xsi:type="dcterms:W3CDTF">2014-01-31T09:05:00Z</dcterms:created>
  <dcterms:modified xsi:type="dcterms:W3CDTF">2014-02-01T02:14:00Z</dcterms:modified>
</cp:coreProperties>
</file>