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包括单选题，多选题，不定项选择题，填空题，判断题，问答题和材料题；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最多包含10个选项，多选题的答案连续填写，如“ABC”；不定项选择题需以【不定项选择题】标签开头，注意不要产生空行。</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（注意是英文的中括号）代表空，如果一个空有多个备选答案，则每个答案之间用“|”隔开；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非必填，默认：2分，可在导入成功后批量修改；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非必填，默认一般，可在导入成功后批量修改。</w:t>
      </w:r>
      <w:r>
        <w:rPr>
          <w:rFonts w:ascii="宋体" w:hAnsi="宋体"/>
          <w:b/>
          <w:iCs/>
          <w:color w:val="4472C4"/>
          <w:szCs w:val="21"/>
        </w:rPr>
        <w:tab/>
      </w: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numPr>
          <w:numId w:val="0"/>
        </w:numPr>
        <w:rPr>
          <w:rFonts w:hint="eastAsia" w:ascii="宋体" w:hAnsi="宋体"/>
          <w:color w:val="000000"/>
          <w:szCs w:val="21"/>
        </w:rPr>
      </w:pPr>
    </w:p>
    <w:p>
      <w:pPr>
        <w:numPr>
          <w:numId w:val="0"/>
        </w:numPr>
        <w:rPr>
          <w:rFonts w:hint="eastAsia" w:ascii="宋体" w:hAnsi="宋体"/>
          <w:color w:val="000000"/>
          <w:szCs w:val="21"/>
        </w:rPr>
      </w:pP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numId w:val="0"/>
        </w:numPr>
        <w:ind w:firstLine="210" w:firstLineChars="100"/>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bookmarkStart w:id="0" w:name="_GoBack"/>
      <w:r>
        <w:drawing>
          <wp:inline distT="0" distB="0" distL="114300" distR="114300">
            <wp:extent cx="2057400" cy="1686560"/>
            <wp:effectExtent l="0" t="0" r="0" b="152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bookmarkEnd w:id="0"/>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E8631"/>
    <w:multiLevelType w:val="singleLevel"/>
    <w:tmpl w:val="5D2E8631"/>
    <w:lvl w:ilvl="0" w:tentative="0">
      <w:start w:val="6"/>
      <w:numFmt w:val="decimal"/>
      <w:suff w:val="nothing"/>
      <w:lvlText w:val="%1、"/>
      <w:lvlJc w:val="left"/>
    </w:lvl>
  </w:abstractNum>
  <w:abstractNum w:abstractNumId="1">
    <w:nsid w:val="5D2E94AF"/>
    <w:multiLevelType w:val="singleLevel"/>
    <w:tmpl w:val="5D2E94AF"/>
    <w:lvl w:ilvl="0" w:tentative="0">
      <w:start w:val="2"/>
      <w:numFmt w:val="decimal"/>
      <w:suff w:val="nothing"/>
      <w:lvlText w:val="（%1）"/>
      <w:lvlJc w:val="left"/>
    </w:lvl>
  </w:abstractNum>
  <w:abstractNum w:abstractNumId="2">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82213"/>
    <w:rsid w:val="005C31A7"/>
    <w:rsid w:val="005E39B9"/>
    <w:rsid w:val="00613447"/>
    <w:rsid w:val="0061355C"/>
    <w:rsid w:val="00655A75"/>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7C6483"/>
    <w:rsid w:val="007F7999"/>
    <w:rsid w:val="00802940"/>
    <w:rsid w:val="00803184"/>
    <w:rsid w:val="00824994"/>
    <w:rsid w:val="008313A6"/>
    <w:rsid w:val="00837826"/>
    <w:rsid w:val="00862FD3"/>
    <w:rsid w:val="00866DB4"/>
    <w:rsid w:val="00876E5D"/>
    <w:rsid w:val="00882DC9"/>
    <w:rsid w:val="00897608"/>
    <w:rsid w:val="008B63DC"/>
    <w:rsid w:val="008D3F45"/>
    <w:rsid w:val="00903A9F"/>
    <w:rsid w:val="0092488F"/>
    <w:rsid w:val="00930176"/>
    <w:rsid w:val="00934600"/>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B0B04"/>
    <w:rsid w:val="00EC1E16"/>
    <w:rsid w:val="00EE0F19"/>
    <w:rsid w:val="00EE67CC"/>
    <w:rsid w:val="00EF76C6"/>
    <w:rsid w:val="00F453AA"/>
    <w:rsid w:val="00F73555"/>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557E3AF"/>
    <w:rsid w:val="16DC6EB9"/>
    <w:rsid w:val="1AAA1B31"/>
    <w:rsid w:val="1C083EF7"/>
    <w:rsid w:val="1C2F43C1"/>
    <w:rsid w:val="1C4C4573"/>
    <w:rsid w:val="1C9E4F2C"/>
    <w:rsid w:val="1CB819EA"/>
    <w:rsid w:val="1E872A04"/>
    <w:rsid w:val="1F6502E5"/>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75E63F4"/>
    <w:rsid w:val="37DF4FC9"/>
    <w:rsid w:val="39D42ADE"/>
    <w:rsid w:val="3ABC58A9"/>
    <w:rsid w:val="3B242644"/>
    <w:rsid w:val="3D9C2F15"/>
    <w:rsid w:val="3DA77817"/>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511936BA"/>
    <w:rsid w:val="51C41C1F"/>
    <w:rsid w:val="52D33B0C"/>
    <w:rsid w:val="54545C6D"/>
    <w:rsid w:val="56705C21"/>
    <w:rsid w:val="56C82EC1"/>
    <w:rsid w:val="57D7183B"/>
    <w:rsid w:val="5A8A1733"/>
    <w:rsid w:val="5E4568C1"/>
    <w:rsid w:val="60D45E67"/>
    <w:rsid w:val="614323D0"/>
    <w:rsid w:val="62192366"/>
    <w:rsid w:val="62EF1379"/>
    <w:rsid w:val="65132473"/>
    <w:rsid w:val="666069D1"/>
    <w:rsid w:val="66625EDA"/>
    <w:rsid w:val="670D188E"/>
    <w:rsid w:val="673C358F"/>
    <w:rsid w:val="68645DC9"/>
    <w:rsid w:val="69256CA8"/>
    <w:rsid w:val="69341663"/>
    <w:rsid w:val="6B0A47C6"/>
    <w:rsid w:val="6E571200"/>
    <w:rsid w:val="6F7A489E"/>
    <w:rsid w:val="71620D07"/>
    <w:rsid w:val="716E763B"/>
    <w:rsid w:val="74197F9F"/>
    <w:rsid w:val="74DD45D6"/>
    <w:rsid w:val="7722174E"/>
    <w:rsid w:val="78136760"/>
    <w:rsid w:val="78A079C8"/>
    <w:rsid w:val="79335797"/>
    <w:rsid w:val="79D86A41"/>
    <w:rsid w:val="7AEE5C0B"/>
    <w:rsid w:val="7BA94742"/>
    <w:rsid w:val="7BE17E99"/>
    <w:rsid w:val="7DCD2212"/>
    <w:rsid w:val="7DD90EC2"/>
    <w:rsid w:val="7E1F49BF"/>
    <w:rsid w:val="7E3F5ECA"/>
    <w:rsid w:val="7FA83B12"/>
    <w:rsid w:val="9B4F324A"/>
    <w:rsid w:val="9CFD4806"/>
    <w:rsid w:val="AF2D0190"/>
    <w:rsid w:val="CD7DAAF9"/>
    <w:rsid w:val="DAF7B878"/>
    <w:rsid w:val="DEF550C1"/>
    <w:rsid w:val="F79D651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列出段落1"/>
    <w:basedOn w:val="1"/>
    <w:qFormat/>
    <w:uiPriority w:val="34"/>
    <w:pPr>
      <w:ind w:firstLine="420" w:firstLineChars="200"/>
    </w:pPr>
  </w:style>
  <w:style w:type="character" w:customStyle="1" w:styleId="7">
    <w:name w:val="页脚 字符"/>
    <w:link w:val="2"/>
    <w:semiHidden/>
    <w:qFormat/>
    <w:uiPriority w:val="99"/>
    <w:rPr>
      <w:sz w:val="18"/>
      <w:szCs w:val="18"/>
    </w:rPr>
  </w:style>
  <w:style w:type="character" w:customStyle="1" w:styleId="8">
    <w:name w:val="页眉 字符"/>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166</Words>
  <Characters>952</Characters>
  <Lines>7</Lines>
  <Paragraphs>2</Paragraphs>
  <ScaleCrop>false</ScaleCrop>
  <LinksUpToDate>false</LinksUpToDate>
  <CharactersWithSpaces>1116</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2014-12-04T02:11:00Z</dcterms:created>
  <dc:creator>个人用户</dc:creator>
  <cp:lastModifiedBy>kuozhi</cp:lastModifiedBy>
  <dcterms:modified xsi:type="dcterms:W3CDTF">2019-07-17T13:03:03Z</dcterms:modified>
  <dc:title>                第一篇《会计基础》高分题库</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