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CU29 - Cadastrar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professor cadastrar um novo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professor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professor.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Adicionar Materiais.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disponibiliza um formulário de cadastro.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a turma e o arquivo para o envio.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os parâmetros solicitados.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cadastro é realizado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professor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professor que é necessário preencher os campos necessários.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FE02 - Arquivo não suportado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5, o professor informa um arquivo inválido.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professor que o arquivo não é suportado.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novo material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18000" cy="240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