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2"/>
        </w:rPr>
        <w:t>A Study of Open Document Processing Pipelines</w:t>
      </w:r>
    </w:p>
    <w:p>
      <w:r>
        <w:rPr>
          <w:i/>
          <w:sz w:val="28"/>
        </w:rPr>
        <w:t>Final Report — Subject Area 4</w:t>
      </w:r>
    </w:p>
    <w:p>
      <w:pPr>
        <w:jc w:val="center"/>
      </w:pPr>
      <w:r>
        <w:rPr>
          <w:sz w:val="24"/>
        </w:rPr>
        <w:t>Author Name</w:t>
      </w:r>
    </w:p>
    <w:p>
      <w:r>
        <w:rPr>
          <w:sz w:val="16"/>
        </w:rPr>
      </w:r>
    </w:p>
    <w:p>
      <w:pPr>
        <w:spacing w:before="360"/>
      </w:pPr>
      <w:r>
        <w:rPr>
          <w:b/>
          <w:sz w:val="32"/>
        </w:rPr>
        <w:t>1. Introduction</w:t>
      </w:r>
    </w:p>
    <w:p>
      <w:r>
        <w:t>Manuscripts arrive in widely varying states of formatting. This report describes a deterministic, offline-first pipeline that takes an inconsistent Word document and produces a publication-ready copy while preserving the exact textual content.</w:t>
      </w:r>
    </w:p>
    <w:p>
      <w:r>
        <w:t>The system never rewrites author prose. It only adjusts presentation attributes such as styles, fonts, margins, spacing, alignment and numbering display. Every structural decision it makes is explainable through reason codes and confidence scores.</w:t>
      </w:r>
    </w:p>
    <w:p>
      <w:r>
        <w:rPr>
          <w:b/>
          <w:sz w:val="28"/>
        </w:rPr>
        <w:t>1.1 Background</w:t>
      </w:r>
    </w:p>
    <w:p>
      <w:r>
        <w:t>Existing formatting practice relies on manual repetition in a word processor. Editors therefore spend large amounts of time on mechanical work and also risk unintended changes to the source text.</w:t>
      </w:r>
    </w:p>
    <w:p>
      <w:r>
        <w:rPr>
          <w:b/>
          <w:sz w:val="26"/>
        </w:rPr>
        <w:t>1.1.1 Scope</w:t>
      </w:r>
    </w:p>
    <w:p>
      <w:r>
        <w:t>We scope the pipeline to DOCX manuscripts of up to several hundred pages, including tables, captions and mixed heading hierarchies.</w:t>
      </w:r>
    </w:p>
    <w:p>
      <w:pPr>
        <w:spacing w:before="360"/>
      </w:pPr>
      <w:r>
        <w:rPr>
          <w:b/>
          <w:sz w:val="32"/>
        </w:rPr>
        <w:t>2. Design Principles</w:t>
      </w:r>
    </w:p>
    <w:p>
      <w:r>
        <w:t>The following rules govern every component.</w:t>
      </w:r>
    </w:p>
    <w:p>
      <w:r>
        <w:rPr>
          <w:b/>
          <w:sz w:val="28"/>
        </w:rPr>
        <w:t>2.1 Offline first</w:t>
      </w:r>
    </w:p>
    <w:p>
      <w:r>
        <w:t>No document content may leave the device. All analysis, classification and formatting runs locally with deterministic algorithms.</w:t>
      </w:r>
    </w:p>
    <w:p>
      <w:r>
        <w:rPr>
          <w:b/>
          <w:sz w:val="28"/>
        </w:rPr>
        <w:t>2.2 Content preservation</w:t>
      </w:r>
    </w:p>
    <w:p>
      <w:r>
        <w:t>Paragraph text, table cell text, caption text and reference text are treated as immutable. The pipeline verifies this with integrity fingerprints after formatting.</w:t>
      </w:r>
    </w:p>
    <w:p>
      <w:r>
        <w:rPr>
          <w:b/>
          <w:sz w:val="28"/>
        </w:rPr>
        <w:t>2.3 Explainability</w:t>
      </w:r>
    </w:p>
    <w:p>
      <w:r>
        <w:t>Every element classification includes a confidence value and a set of human-readable reason codes so that an editor can understand and accept or override a decision.</w:t>
      </w:r>
    </w:p>
    <w:p>
      <w:pPr>
        <w:spacing w:before="360"/>
      </w:pPr>
      <w:r>
        <w:rPr>
          <w:b/>
          <w:sz w:val="32"/>
        </w:rPr>
        <w:t>3. Implementation</w:t>
      </w:r>
    </w:p>
    <w:p>
      <w:r>
        <w:t>The engine is written in Python. It opens the DOCX as an OpenXML package, builds a normalized document model and walks the body in order.</w:t>
      </w:r>
    </w:p>
    <w:p>
      <w:pPr>
        <w:spacing w:before="360"/>
      </w:pPr>
      <w:r>
        <w:rPr>
          <w:b/>
          <w:sz w:val="32"/>
        </w:rPr>
        <w:t>4. Evaluation</w:t>
      </w:r>
    </w:p>
    <w:p>
      <w:r>
        <w:t>We evaluate structure accuracy, formatting conformance, processing performance and content integrity on the sample corpus below.</w:t>
      </w:r>
    </w:p>
    <w:p>
      <w:r>
        <w:rPr>
          <w:b/>
          <w:i/>
        </w:rPr>
        <w:t>Table 1: Evaluation corpus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w:t>
            </w:r>
          </w:p>
        </w:tc>
        <w:tc>
          <w:tcPr>
            <w:tcW w:type="dxa" w:w="2160"/>
          </w:tcPr>
          <w:p>
            <w:r>
              <w:t>Pages</w:t>
            </w:r>
          </w:p>
        </w:tc>
        <w:tc>
          <w:tcPr>
            <w:tcW w:type="dxa" w:w="2160"/>
          </w:tcPr>
          <w:p>
            <w:r>
              <w:t>Tables</w:t>
            </w:r>
          </w:p>
        </w:tc>
        <w:tc>
          <w:tcPr>
            <w:tcW w:type="dxa" w:w="2160"/>
          </w:tcPr>
          <w:p>
            <w:r>
              <w:t>Pass</w:t>
            </w:r>
          </w:p>
        </w:tc>
      </w:tr>
      <w:tr>
        <w:tc>
          <w:tcPr>
            <w:tcW w:type="dxa" w:w="2160"/>
          </w:tcPr>
          <w:p>
            <w:r>
              <w:t>Simple manuscript</w:t>
            </w:r>
          </w:p>
        </w:tc>
        <w:tc>
          <w:tcPr>
            <w:tcW w:type="dxa" w:w="2160"/>
          </w:tcPr>
          <w:p>
            <w:r>
              <w:t>4</w:t>
            </w:r>
          </w:p>
        </w:tc>
        <w:tc>
          <w:tcPr>
            <w:tcW w:type="dxa" w:w="2160"/>
          </w:tcPr>
          <w:p>
            <w:r>
              <w:t>1</w:t>
            </w:r>
          </w:p>
        </w:tc>
        <w:tc>
          <w:tcPr>
            <w:tcW w:type="dxa" w:w="2160"/>
          </w:tcPr>
          <w:p>
            <w:r>
              <w:t>true</w:t>
            </w:r>
          </w:p>
        </w:tc>
      </w:tr>
      <w:tr>
        <w:tc>
          <w:tcPr>
            <w:tcW w:type="dxa" w:w="2160"/>
          </w:tcPr>
          <w:p>
            <w:r>
              <w:t>Academic paper</w:t>
            </w:r>
          </w:p>
        </w:tc>
        <w:tc>
          <w:tcPr>
            <w:tcW w:type="dxa" w:w="2160"/>
          </w:tcPr>
          <w:p>
            <w:r>
              <w:t>9</w:t>
            </w:r>
          </w:p>
        </w:tc>
        <w:tc>
          <w:tcPr>
            <w:tcW w:type="dxa" w:w="2160"/>
          </w:tcPr>
          <w:p>
            <w:r>
              <w:t>3</w:t>
            </w:r>
          </w:p>
        </w:tc>
        <w:tc>
          <w:tcPr>
            <w:tcW w:type="dxa" w:w="2160"/>
          </w:tcPr>
          <w:p>
            <w:r>
              <w:t>true</w:t>
            </w:r>
          </w:p>
        </w:tc>
      </w:tr>
      <w:tr>
        <w:tc>
          <w:tcPr>
            <w:tcW w:type="dxa" w:w="2160"/>
          </w:tcPr>
          <w:p>
            <w:r>
              <w:t>Book chapter</w:t>
            </w:r>
          </w:p>
        </w:tc>
        <w:tc>
          <w:tcPr>
            <w:tcW w:type="dxa" w:w="2160"/>
          </w:tcPr>
          <w:p>
            <w:r>
              <w:t>41</w:t>
            </w:r>
          </w:p>
        </w:tc>
        <w:tc>
          <w:tcPr>
            <w:tcW w:type="dxa" w:w="2160"/>
          </w:tcPr>
          <w:p>
            <w:r>
              <w:t>7</w:t>
            </w:r>
          </w:p>
        </w:tc>
        <w:tc>
          <w:tcPr>
            <w:tcW w:type="dxa" w:w="2160"/>
          </w:tcPr>
          <w:p>
            <w:r>
              <w:t>true</w:t>
            </w:r>
          </w:p>
        </w:tc>
      </w:tr>
    </w:tbl>
    <w:p>
      <w:r>
        <w:rPr>
          <w:i/>
        </w:rPr>
        <w:t>Figure 1. Pipeline architecture overview</w:t>
      </w:r>
    </w:p>
    <w:p>
      <w:pPr>
        <w:spacing w:before="360"/>
      </w:pPr>
      <w:r>
        <w:rPr>
          <w:b/>
          <w:sz w:val="32"/>
        </w:rPr>
        <w:t>5. Conclusion</w:t>
      </w:r>
    </w:p>
    <w:p>
      <w:r>
        <w:t>An offline manuscript pipeline is achievable with deterministic document analysis. The result remains fully reproducible and verifiable without any internet connection or generative model.</w:t>
      </w:r>
    </w:p>
    <w:p>
      <w:pPr>
        <w:spacing w:before="360"/>
      </w:pPr>
      <w:r>
        <w:rPr>
          <w:b/>
          <w:sz w:val="32"/>
        </w:rPr>
        <w:t>6. References</w:t>
      </w:r>
    </w:p>
    <w:p>
      <w:r>
        <w:t>1. Open Packaging Conventions, ECMA-376.</w:t>
      </w:r>
    </w:p>
    <w:p>
      <w:r>
        <w:t>2. W3C XML Working Group, XML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