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 Robust Pipeline for Offline Document Structuring</w:t>
      </w:r>
    </w:p>
    <w:p>
      <w:pPr>
        <w:jc w:val="center"/>
      </w:pPr>
      <w:r>
        <w:rPr>
          <w:sz w:val="24"/>
        </w:rPr>
        <w:t>L. Kushwaha, R. Sharma</w:t>
      </w:r>
    </w:p>
    <w:p>
      <w:pPr>
        <w:jc w:val="center"/>
      </w:pPr>
      <w:r>
        <w:rPr>
          <w:sz w:val="22"/>
        </w:rPr>
        <w:t>Department of Computer Science, Demo University</w:t>
      </w:r>
    </w:p>
    <w:p>
      <w:r>
        <w:rPr>
          <w:b/>
          <w:sz w:val="28"/>
        </w:rPr>
        <w:t>Abstract</w:t>
      </w:r>
    </w:p>
    <w:p>
      <w:r>
        <w:t>We present a fully offline pipeline that turns unstructured DOCX manuscripts into publication-ready documents. The system combines deterministic structural classification with explainable confidence scores and a content-integrity fingerprint so that no author text is ever altered during formatting.</w:t>
      </w:r>
    </w:p>
    <w:p>
      <w:r>
        <w:rPr>
          <w:b/>
        </w:rPr>
        <w:t>1. Introduction</w:t>
      </w:r>
    </w:p>
    <w:p>
      <w:r>
        <w:t>Publishers receive manuscripts in inconsistent formats. Manual correction is slow, error-prone and not reproducible. Our goal is a tool that an editor can run locally, offline, with full auditability.</w:t>
      </w:r>
    </w:p>
    <w:p>
      <w:r>
        <w:rPr>
          <w:b/>
        </w:rPr>
        <w:t>2. Method</w:t>
      </w:r>
    </w:p>
    <w:p>
      <w:r>
        <w:t>The pipeline parses the OpenXML package, builds an ordered document model and classifies each body element deterministically. We extract heading levels, captions, tables and reference lists without any network access or machine-learned model.</w:t>
      </w:r>
    </w:p>
    <w:p>
      <w:r>
        <w:rPr>
          <w:b/>
        </w:rPr>
        <w:t>2.1 Structural classification</w:t>
      </w:r>
    </w:p>
    <w:p>
      <w:r>
        <w:t>Signals such as numbering patterns, heading styles, bold, font size and spacing are combined into a confidence score. Every decision records the reason codes that produced it.</w:t>
      </w:r>
    </w:p>
    <w:p>
      <w:r>
        <w:rPr>
          <w:b/>
        </w:rPr>
        <w:t>2.2 Preflight checks</w:t>
      </w:r>
    </w:p>
    <w:p>
      <w:r>
        <w:t>Before formatting, the engine flags hierarchy jumps, duplicated caption numbers and missing headings so an editor can review them.</w:t>
      </w:r>
    </w:p>
    <w:p>
      <w:r>
        <w:rPr>
          <w:b/>
        </w:rPr>
        <w:t>3. Experiments</w:t>
      </w:r>
    </w:p>
    <w:p>
      <w:r>
        <w:rPr>
          <w:i/>
        </w:rPr>
        <w:t>Table 1: Word-level preservation on the corpus</w:t>
      </w:r>
    </w:p>
    <w:tbl>
      <w:tblPr>
        <w:tblStyle w:val="TableGrid"/>
        <w:tblW w:type="auto" w:w="0"/>
        <w:tblLook w:firstColumn="1" w:firstRow="1" w:lastColumn="0" w:lastRow="0" w:noHBand="0" w:noVBand="1" w:val="04A0"/>
      </w:tblPr>
      <w:tblGrid>
        <w:gridCol w:w="2880"/>
        <w:gridCol w:w="2880"/>
        <w:gridCol w:w="2880"/>
      </w:tblGrid>
      <w:tr>
        <w:tc>
          <w:tcPr>
            <w:tcW w:type="dxa" w:w="2880"/>
          </w:tcPr>
          <w:p>
            <w:r>
              <w:t>Sample</w:t>
            </w:r>
          </w:p>
        </w:tc>
        <w:tc>
          <w:tcPr>
            <w:tcW w:type="dxa" w:w="2880"/>
          </w:tcPr>
          <w:p>
            <w:r>
              <w:t>Words kept %</w:t>
            </w:r>
          </w:p>
        </w:tc>
        <w:tc>
          <w:tcPr>
            <w:tcW w:type="dxa" w:w="2880"/>
          </w:tcPr>
          <w:p>
            <w:r>
              <w:t>Chars kept %</w:t>
            </w:r>
          </w:p>
        </w:tc>
      </w:tr>
      <w:tr>
        <w:tc>
          <w:tcPr>
            <w:tcW w:type="dxa" w:w="2880"/>
          </w:tcPr>
          <w:p>
            <w:r>
              <w:t>messy_manuscript</w:t>
            </w:r>
          </w:p>
        </w:tc>
        <w:tc>
          <w:tcPr>
            <w:tcW w:type="dxa" w:w="2880"/>
          </w:tcPr>
          <w:p>
            <w:r>
              <w:t>100.0</w:t>
            </w:r>
          </w:p>
        </w:tc>
        <w:tc>
          <w:tcPr>
            <w:tcW w:type="dxa" w:w="2880"/>
          </w:tcPr>
          <w:p>
            <w:r>
              <w:t>100.0</w:t>
            </w:r>
          </w:p>
        </w:tc>
      </w:tr>
      <w:tr>
        <w:tc>
          <w:tcPr>
            <w:tcW w:type="dxa" w:w="2880"/>
          </w:tcPr>
          <w:p>
            <w:r>
              <w:t>academic_paper</w:t>
            </w:r>
          </w:p>
        </w:tc>
        <w:tc>
          <w:tcPr>
            <w:tcW w:type="dxa" w:w="2880"/>
          </w:tcPr>
          <w:p>
            <w:r>
              <w:t>100.0</w:t>
            </w:r>
          </w:p>
        </w:tc>
        <w:tc>
          <w:tcPr>
            <w:tcW w:type="dxa" w:w="2880"/>
          </w:tcPr>
          <w:p>
            <w:r>
              <w:t>100.0</w:t>
            </w:r>
          </w:p>
        </w:tc>
      </w:tr>
      <w:tr>
        <w:tc>
          <w:tcPr>
            <w:tcW w:type="dxa" w:w="2880"/>
          </w:tcPr>
          <w:p>
            <w:r>
              <w:t>book_style</w:t>
            </w:r>
          </w:p>
        </w:tc>
        <w:tc>
          <w:tcPr>
            <w:tcW w:type="dxa" w:w="2880"/>
          </w:tcPr>
          <w:p>
            <w:r>
              <w:t>100.0</w:t>
            </w:r>
          </w:p>
        </w:tc>
        <w:tc>
          <w:tcPr>
            <w:tcW w:type="dxa" w:w="2880"/>
          </w:tcPr>
          <w:p>
            <w:r>
              <w:t>100.0</w:t>
            </w:r>
          </w:p>
        </w:tc>
      </w:tr>
    </w:tbl>
    <w:p>
      <w:r>
        <w:t>Every formatted file is compared against its source by paragraph count, word count, character count and SHA-256 fingerprints.</w:t>
      </w:r>
    </w:p>
    <w:p>
      <w:r>
        <w:rPr>
          <w:b/>
        </w:rPr>
        <w:t>4. Conclusion</w:t>
      </w:r>
    </w:p>
    <w:p>
      <w:r>
        <w:t>Deterministic, offline formatting is practical and trustworthy. The full audit trail produced for each file makes every formatting decision explainable and verifiable.</w:t>
      </w:r>
    </w:p>
    <w:p>
      <w:r>
        <w:rPr>
          <w:b/>
        </w:rPr>
        <w:t>References</w:t>
      </w:r>
    </w:p>
    <w:p>
      <w:r>
        <w:t>1. ECMA-376, Office Open XML File Formats.</w:t>
      </w:r>
    </w:p>
    <w:p>
      <w:r>
        <w:t>2. W3C, Extensible Markup Language (XML) 1.0.</w:t>
      </w:r>
    </w:p>
    <w:p>
      <w:r>
        <w:t>3. OASIS, OpenDocument Format for Office Applications.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 preprint, for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Journal of Manuscript Automation</w:t>
    </w:r>
  </w:p>
  <w:p>
    <w:r>
      <w:rPr>
        <w:i/>
      </w:rPr>
      <w:t>HackNIMA 2026 · Submission format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