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PROCURAÇÃO PARA VEÍCULO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OUTORGANTE: {{nome_outorgante}}, {{nacionalidade_outorgante}}, {{estado_civil_outorgante}}, {{profissao_outorgante}}, portador(a) do RG nº {{rg_outorgante}} e CPF nº {{cpf_outorgante}}, residente e domiciliado(a) em {{endereco_outorgante}}, {{cidade_outorgante}}/{{uf_outorgante}}.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OUTORGADO(A): {{nome_outorgado}}, {{nacionalidade_outorgado}}, {{estado_civil_outorgado}}, {{profissao_outorgado}}, portador(a) do RG nº {{rg_outorgado}} e CPF nº {{cpf_outorgado}}, residente e domiciliado(a) em {{endereco_outorgado}}, {{cidade_outorgado}}/{{uf_outorgado}}.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PODERES: representar o(a) outorgante perante DETRAN, órgãos de trânsito, seguradoras e demais entidades quanto ao veículo {{marca_modelo}}, placa {{placa}}, RENAVAM {{renavam}}, chassi {{chassi}}, podendo requerer documentos, vistorias, segunda via, regularização, transferência e {{outros_poderes_veiculo}}.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Validade: {{data_validade}}. O recebimento de valores dependerá de autorização expressa: {{autorizacao_receber_valores}}.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{{nome_outorgado}}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Outorgado(a)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