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OCUPAÇÃO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RESPONSÁVEL/DECLARANTE: {{nome_responsavel}}, {{nacionalidade_responsavel}}, {{estado_civil_responsavel}}, {{profissao_responsavel}}, portador(a) do RG nº {{rg_responsavel}} e CPF nº {{cpf_responsavel}}, residente e domiciliado(a) em {{endereco_responsavel}}, {{cidade_responsavel}}/{{uf_responsavel}}.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Declara que {{nome_ocupante}}, CPF nº {{cpf_ocupante}}, ocupa a área rural situada em {{localizacao_area}}, denominada {{nome_imovel}}, com área aproximada de {{area_ocupada}}, desde {{data_inicio_ocupacao}}.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ocupação ocorre na condição de {{condicao_ocupacao}}, para {{finalidade_ocupacao}}, sem transferência automática de propriedade.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Obrigações, limites e condições: {{condicoes_ocupacao}}.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{{nome_responsavel}}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