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CONFRONTAÇÃO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PROPRIETÁRIO/POSSUIDOR: {{nome_responsavel_imovel}}, {{nacionalidade_responsavel_imovel}}, {{estado_civil_responsavel_imovel}}, {{profissao_responsavel_imovel}}, portador(a) do RG nº {{rg_responsavel_imovel}} e CPF nº {{cpf_responsavel_imovel}}, residente e domiciliado(a) em {{endereco_responsavel_imovel}}, {{cidade_responsavel_imovel}}/{{uf_responsavel_imovel}}.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IMÓVEL: {{nome_imovel}}, situado em {{localizacao_imovel}}, área aproximada {{area_imovel}}, matrícula/identificação {{matricula_ou_identificacao}}.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CONFRONTANTE: {{nome_confrontante}}, CPF/CNPJ nº {{cpf_cnpj_confrontante}}, responsável pelo imóvel/área {{identificacao_imovel_confrontante}}.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As partes reconhecem, para a finalidade de {{finalidade}}, que a linha divisória entre as áreas corresponde a: {{descricao_linha_divisoria}}, conforme croqui/planta {{identificacao_croqui}}.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Ressalvas ou divergências: {{ressalvas}}.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{{nome_responsavel_imovel}}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{{nome_confrontante}}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Responsável pelo imóvel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Confrontante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