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RESPONSABILIDADE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RESPONSÁVEL: {{nome_responsavel}}, {{nacionalidade_responsavel}}, {{estado_civil_responsavel}}, {{profissao_responsavel}}, portador(a) do RG nº {{rg_responsavel}} e CPF nº {{cpf_responsavel}}, residente e domiciliado(a) em {{endereco_responsavel}}, {{cidade_responsavel}}/{{uf_responsavel}}.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OBJETO/SITUAÇÃO: {{objeto_responsabilidade}}.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RESPONSÁVEL assume os seguintes deveres: {{deveres_assumidos}}.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Declara ter recebido orientações sobre {{orientacoes_recebidas}} e compromete-se a reparar danos decorrentes de {{hipoteses_responsabilidade}}, observadas as condições {{condicoes}}.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Vigência: {{periodo_vigencia}}.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{{nome_responsavel}}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Responsável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