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Ritwik Bahukhandi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2018-310-116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BTCSE(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00ab44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Submitted to : </w:t>
      </w:r>
      <w:r w:rsidDel="00000000" w:rsidR="00000000" w:rsidRPr="00000000">
        <w:rPr>
          <w:color w:val="00ab44"/>
          <w:sz w:val="20"/>
          <w:szCs w:val="20"/>
          <w:rtl w:val="0"/>
        </w:rPr>
        <w:t xml:space="preserve">MR. PIYUSH KUMAIR SIR</w:t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Crypto Time Series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19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projects aims to bring out some insights and also some predictive analysis to forecast the future price of a particular cryptocurrency in this example I am using ShibaInu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DESCRIPTIVE ANALYSIS (Data Cleaning , EDA and Visualizations)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PREDICRIVE ANALYSIS (Naive , Stats and ML/DL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MODEL EVALUATION (Comparison of models based of stete-of -the-art metrics)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Building an API (Flask)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Teh main specifications are: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Insights in form of dashboard.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Predictive forecasting on the go with API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5"/>
      <w:bookmarkEnd w:id="5"/>
      <w:r w:rsidDel="00000000" w:rsidR="00000000" w:rsidRPr="00000000">
        <w:rPr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Data Collection (Pandas , API)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Data Cleaning (Pandas)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Data Vizualisation / EDA (Pandas , Matplotlib , Seaborn , darts , dash)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Data Preprocessing (darts)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Model Making and Evaluation/Comparison (Matplotlib ,Scikit-Learn, darts , Tensorflow)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API building for Forecasting (Flask , Tensorflow)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