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0454C" w14:textId="22CF6723" w:rsidR="00E54CFA" w:rsidRDefault="00C46B49">
      <w:pPr>
        <w:rPr>
          <w:b/>
          <w:bCs/>
        </w:rPr>
      </w:pPr>
      <w:proofErr w:type="spellStart"/>
      <w:r w:rsidRPr="00C46B49">
        <w:rPr>
          <w:b/>
          <w:bCs/>
        </w:rPr>
        <w:t>PathX</w:t>
      </w:r>
      <w:proofErr w:type="spellEnd"/>
      <w:r w:rsidRPr="00C46B49">
        <w:rPr>
          <w:b/>
          <w:bCs/>
        </w:rPr>
        <w:t>-CNN Architecture</w:t>
      </w:r>
    </w:p>
    <w:p w14:paraId="6BA0C1D8" w14:textId="46A56E2B" w:rsidR="00C46B49" w:rsidRDefault="00C46B49">
      <w:r w:rsidRPr="00C46B49">
        <w:rPr>
          <w:noProof/>
        </w:rPr>
        <w:drawing>
          <wp:inline distT="0" distB="0" distL="0" distR="0" wp14:anchorId="538033AC" wp14:editId="2756C6EE">
            <wp:extent cx="5943600" cy="2050415"/>
            <wp:effectExtent l="19050" t="19050" r="19050" b="26035"/>
            <wp:docPr id="5" name="Picture 4" descr="A bar graph with different colored squares&#10;&#10;Description automatically generated with medium confidence">
              <a:extLst xmlns:a="http://schemas.openxmlformats.org/drawingml/2006/main">
                <a:ext uri="{FF2B5EF4-FFF2-40B4-BE49-F238E27FC236}">
                  <a16:creationId xmlns:a16="http://schemas.microsoft.com/office/drawing/2014/main" id="{970E8BD3-A833-3398-7BB7-68D708FA83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ar graph with different colored squares&#10;&#10;Description automatically generated with medium confidence">
                      <a:extLst>
                        <a:ext uri="{FF2B5EF4-FFF2-40B4-BE49-F238E27FC236}">
                          <a16:creationId xmlns:a16="http://schemas.microsoft.com/office/drawing/2014/main" id="{970E8BD3-A833-3398-7BB7-68D708FA8348}"/>
                        </a:ext>
                      </a:extLst>
                    </pic:cNvPr>
                    <pic:cNvPicPr>
                      <a:picLocks noChangeAspect="1"/>
                    </pic:cNvPicPr>
                  </pic:nvPicPr>
                  <pic:blipFill>
                    <a:blip r:embed="rId5"/>
                    <a:stretch>
                      <a:fillRect/>
                    </a:stretch>
                  </pic:blipFill>
                  <pic:spPr>
                    <a:xfrm>
                      <a:off x="0" y="0"/>
                      <a:ext cx="5943600" cy="2050415"/>
                    </a:xfrm>
                    <a:prstGeom prst="rect">
                      <a:avLst/>
                    </a:prstGeom>
                    <a:noFill/>
                    <a:ln w="19050">
                      <a:solidFill>
                        <a:schemeClr val="tx1"/>
                      </a:solidFill>
                    </a:ln>
                  </pic:spPr>
                </pic:pic>
              </a:graphicData>
            </a:graphic>
          </wp:inline>
        </w:drawing>
      </w:r>
    </w:p>
    <w:p w14:paraId="717164A3" w14:textId="27C6B102" w:rsidR="00C46B49" w:rsidRDefault="00C470DF">
      <w:r>
        <w:t xml:space="preserve">Figure S1. CNN architecture used in </w:t>
      </w:r>
      <w:proofErr w:type="spellStart"/>
      <w:r>
        <w:t>PathX</w:t>
      </w:r>
      <w:proofErr w:type="spellEnd"/>
      <w:r>
        <w:t>-CNN.</w:t>
      </w:r>
    </w:p>
    <w:p w14:paraId="2CD1364A" w14:textId="0D64C4DD" w:rsidR="00C46B49" w:rsidRDefault="00C470DF" w:rsidP="00C46B49">
      <w:pPr>
        <w:ind w:left="-540"/>
        <w:rPr>
          <w:b/>
          <w:bCs/>
        </w:rPr>
      </w:pPr>
      <w:r>
        <w:rPr>
          <w:b/>
          <w:bCs/>
        </w:rPr>
        <w:t xml:space="preserve">Table S1. </w:t>
      </w:r>
      <w:r w:rsidR="00C46B49" w:rsidRPr="00C46B49">
        <w:rPr>
          <w:b/>
          <w:bCs/>
        </w:rPr>
        <w:t>Hyperparameter tuning using Bayesian Optimization</w:t>
      </w:r>
      <w:r w:rsidR="00C46B49">
        <w:rPr>
          <w:b/>
          <w:bCs/>
        </w:rPr>
        <w:t xml:space="preserve"> </w:t>
      </w:r>
    </w:p>
    <w:tbl>
      <w:tblPr>
        <w:tblW w:w="10651" w:type="dxa"/>
        <w:tblInd w:w="-502" w:type="dxa"/>
        <w:tblCellMar>
          <w:left w:w="0" w:type="dxa"/>
          <w:right w:w="0" w:type="dxa"/>
        </w:tblCellMar>
        <w:tblLook w:val="0420" w:firstRow="1" w:lastRow="0" w:firstColumn="0" w:lastColumn="0" w:noHBand="0" w:noVBand="1"/>
      </w:tblPr>
      <w:tblGrid>
        <w:gridCol w:w="786"/>
        <w:gridCol w:w="701"/>
        <w:gridCol w:w="701"/>
        <w:gridCol w:w="701"/>
        <w:gridCol w:w="701"/>
        <w:gridCol w:w="854"/>
        <w:gridCol w:w="749"/>
        <w:gridCol w:w="911"/>
        <w:gridCol w:w="854"/>
        <w:gridCol w:w="922"/>
        <w:gridCol w:w="1346"/>
        <w:gridCol w:w="1425"/>
      </w:tblGrid>
      <w:tr w:rsidR="005D278B" w:rsidRPr="006935C3" w14:paraId="1238590F" w14:textId="77777777" w:rsidTr="00C46B49">
        <w:trPr>
          <w:trHeight w:val="40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AA5A43" w14:textId="77777777" w:rsidR="00C46B49" w:rsidRPr="00B61117" w:rsidRDefault="00C46B49" w:rsidP="003962F9">
            <w:pPr>
              <w:spacing w:after="0" w:line="240" w:lineRule="auto"/>
              <w:jc w:val="center"/>
              <w:rPr>
                <w:rFonts w:ascii="Times New Roman" w:eastAsia="Times New Roman" w:hAnsi="Times New Roman" w:cs="Times New Roman"/>
                <w:b/>
                <w:bCs/>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HP</w:t>
            </w:r>
          </w:p>
        </w:tc>
        <w:tc>
          <w:tcPr>
            <w:tcW w:w="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557776" w14:textId="0F66962D"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Block1 filters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D4A969"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Block2 filters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73D5D1"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Block3 filters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9DEA75C"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Block4 filters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C77EF6"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Dropout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95E9E07"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Dense Unit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E1335B"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Dense activation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7C0878"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Dropout 2</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5DB856"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Optimizer</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75A5CA" w14:textId="2499731B"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L</w:t>
            </w:r>
            <w:r w:rsidR="00C470DF">
              <w:rPr>
                <w:rFonts w:ascii="Times New Roman" w:eastAsia="Times New Roman" w:hAnsi="Times New Roman" w:cs="Times New Roman"/>
                <w:b/>
                <w:bCs/>
                <w:color w:val="000000" w:themeColor="text1"/>
                <w:kern w:val="24"/>
                <w:sz w:val="14"/>
                <w:szCs w:val="14"/>
                <w14:ligatures w14:val="none"/>
              </w:rPr>
              <w:t xml:space="preserve">earning </w:t>
            </w:r>
            <w:r w:rsidRPr="00B61117">
              <w:rPr>
                <w:rFonts w:ascii="Times New Roman" w:eastAsia="Times New Roman" w:hAnsi="Times New Roman" w:cs="Times New Roman"/>
                <w:b/>
                <w:bCs/>
                <w:color w:val="000000" w:themeColor="text1"/>
                <w:kern w:val="24"/>
                <w:sz w:val="14"/>
                <w:szCs w:val="14"/>
                <w14:ligatures w14:val="none"/>
              </w:rPr>
              <w:t>R</w:t>
            </w:r>
            <w:r w:rsidR="00C470DF">
              <w:rPr>
                <w:rFonts w:ascii="Times New Roman" w:eastAsia="Times New Roman" w:hAnsi="Times New Roman" w:cs="Times New Roman"/>
                <w:b/>
                <w:bCs/>
                <w:color w:val="000000" w:themeColor="text1"/>
                <w:kern w:val="24"/>
                <w:sz w:val="14"/>
                <w:szCs w:val="14"/>
                <w14:ligatures w14:val="none"/>
              </w:rPr>
              <w:t>ate</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2661B76"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Decay</w:t>
            </w:r>
          </w:p>
        </w:tc>
      </w:tr>
      <w:tr w:rsidR="005D278B" w:rsidRPr="006935C3" w14:paraId="117E9D09" w14:textId="77777777" w:rsidTr="00C46B49">
        <w:trPr>
          <w:trHeight w:val="706"/>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6BD4A1A" w14:textId="77777777" w:rsidR="00C46B49" w:rsidRPr="00B61117" w:rsidRDefault="00C46B49" w:rsidP="003962F9">
            <w:pPr>
              <w:spacing w:after="0" w:line="240" w:lineRule="auto"/>
              <w:jc w:val="center"/>
              <w:rPr>
                <w:rFonts w:ascii="Times New Roman" w:eastAsia="Times New Roman" w:hAnsi="Times New Roman" w:cs="Times New Roman"/>
                <w:b/>
                <w:bCs/>
                <w:kern w:val="0"/>
                <w:sz w:val="16"/>
                <w:szCs w:val="16"/>
                <w14:ligatures w14:val="none"/>
              </w:rPr>
            </w:pPr>
            <w:r w:rsidRPr="00B61117">
              <w:rPr>
                <w:rFonts w:ascii="Times New Roman" w:eastAsia="Times New Roman" w:hAnsi="Times New Roman" w:cs="Times New Roman"/>
                <w:b/>
                <w:bCs/>
                <w:color w:val="000000" w:themeColor="text1"/>
                <w:kern w:val="24"/>
                <w:sz w:val="16"/>
                <w:szCs w:val="16"/>
                <w14:ligatures w14:val="none"/>
              </w:rPr>
              <w:t>Ranges</w:t>
            </w:r>
          </w:p>
        </w:tc>
        <w:tc>
          <w:tcPr>
            <w:tcW w:w="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D07D04"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16, 32, 64, 128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58FDC9"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32, 64, 128, 256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C0CE142"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64, 128, 256, 512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2A87A1"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128, 256, 512, 1024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BA1FFA3"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Min: 0.0, Max: 0.5 step=0.05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D8C304"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Min: 32 Max: 1024 step=32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BE5022"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w:t>
            </w:r>
            <w:proofErr w:type="spellStart"/>
            <w:r w:rsidRPr="00B61117">
              <w:rPr>
                <w:rFonts w:ascii="Times New Roman" w:eastAsia="Times New Roman" w:hAnsi="Times New Roman" w:cs="Times New Roman"/>
                <w:b/>
                <w:bCs/>
                <w:color w:val="000000" w:themeColor="text1"/>
                <w:kern w:val="24"/>
                <w:sz w:val="14"/>
                <w:szCs w:val="14"/>
                <w14:ligatures w14:val="none"/>
              </w:rPr>
              <w:t>relu</w:t>
            </w:r>
            <w:proofErr w:type="spellEnd"/>
            <w:r w:rsidRPr="00B61117">
              <w:rPr>
                <w:rFonts w:ascii="Times New Roman" w:eastAsia="Times New Roman" w:hAnsi="Times New Roman" w:cs="Times New Roman"/>
                <w:b/>
                <w:bCs/>
                <w:color w:val="000000" w:themeColor="text1"/>
                <w:kern w:val="24"/>
                <w:sz w:val="14"/>
                <w:szCs w:val="14"/>
                <w14:ligatures w14:val="none"/>
              </w:rPr>
              <w:t>", "tanh", "sigmoid"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1526D4"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Min: 0.0, Max: 0.5 step=0.05</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C7F843C"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w:t>
            </w:r>
            <w:proofErr w:type="spellStart"/>
            <w:r w:rsidRPr="00B61117">
              <w:rPr>
                <w:rFonts w:ascii="Times New Roman" w:eastAsia="Times New Roman" w:hAnsi="Times New Roman" w:cs="Times New Roman"/>
                <w:b/>
                <w:bCs/>
                <w:color w:val="000000" w:themeColor="text1"/>
                <w:kern w:val="24"/>
                <w:sz w:val="14"/>
                <w:szCs w:val="14"/>
                <w14:ligatures w14:val="none"/>
              </w:rPr>
              <w:t>adam</w:t>
            </w:r>
            <w:proofErr w:type="spellEnd"/>
            <w:r w:rsidRPr="00B61117">
              <w:rPr>
                <w:rFonts w:ascii="Times New Roman" w:eastAsia="Times New Roman" w:hAnsi="Times New Roman" w:cs="Times New Roman"/>
                <w:b/>
                <w:bCs/>
                <w:color w:val="000000" w:themeColor="text1"/>
                <w:kern w:val="24"/>
                <w:sz w:val="14"/>
                <w:szCs w:val="14"/>
                <w14:ligatures w14:val="none"/>
              </w:rPr>
              <w:t>', '</w:t>
            </w:r>
            <w:proofErr w:type="spellStart"/>
            <w:r w:rsidRPr="00B61117">
              <w:rPr>
                <w:rFonts w:ascii="Times New Roman" w:eastAsia="Times New Roman" w:hAnsi="Times New Roman" w:cs="Times New Roman"/>
                <w:b/>
                <w:bCs/>
                <w:color w:val="000000" w:themeColor="text1"/>
                <w:kern w:val="24"/>
                <w:sz w:val="14"/>
                <w:szCs w:val="14"/>
                <w14:ligatures w14:val="none"/>
              </w:rPr>
              <w:t>rmsprop</w:t>
            </w:r>
            <w:proofErr w:type="spellEnd"/>
            <w:r w:rsidRPr="00B61117">
              <w:rPr>
                <w:rFonts w:ascii="Times New Roman" w:eastAsia="Times New Roman" w:hAnsi="Times New Roman" w:cs="Times New Roman"/>
                <w:b/>
                <w:bCs/>
                <w:color w:val="000000" w:themeColor="text1"/>
                <w:kern w:val="24"/>
                <w:sz w:val="14"/>
                <w:szCs w:val="14"/>
                <w14:ligatures w14:val="none"/>
              </w:rPr>
              <w:t>', '</w:t>
            </w:r>
            <w:proofErr w:type="spellStart"/>
            <w:r w:rsidRPr="00B61117">
              <w:rPr>
                <w:rFonts w:ascii="Times New Roman" w:eastAsia="Times New Roman" w:hAnsi="Times New Roman" w:cs="Times New Roman"/>
                <w:b/>
                <w:bCs/>
                <w:color w:val="000000" w:themeColor="text1"/>
                <w:kern w:val="24"/>
                <w:sz w:val="14"/>
                <w:szCs w:val="14"/>
                <w14:ligatures w14:val="none"/>
              </w:rPr>
              <w:t>sgd</w:t>
            </w:r>
            <w:proofErr w:type="spellEnd"/>
            <w:r w:rsidRPr="00B61117">
              <w:rPr>
                <w:rFonts w:ascii="Times New Roman" w:eastAsia="Times New Roman" w:hAnsi="Times New Roman" w:cs="Times New Roman"/>
                <w:b/>
                <w:bCs/>
                <w:color w:val="000000" w:themeColor="text1"/>
                <w:kern w:val="24"/>
                <w:sz w:val="14"/>
                <w:szCs w:val="14"/>
                <w14:ligatures w14:val="none"/>
              </w:rPr>
              <w:t>', '</w:t>
            </w:r>
            <w:proofErr w:type="spellStart"/>
            <w:r w:rsidRPr="00B61117">
              <w:rPr>
                <w:rFonts w:ascii="Times New Roman" w:eastAsia="Times New Roman" w:hAnsi="Times New Roman" w:cs="Times New Roman"/>
                <w:b/>
                <w:bCs/>
                <w:color w:val="000000" w:themeColor="text1"/>
                <w:kern w:val="24"/>
                <w:sz w:val="14"/>
                <w:szCs w:val="14"/>
                <w14:ligatures w14:val="none"/>
              </w:rPr>
              <w:t>adamw</w:t>
            </w:r>
            <w:proofErr w:type="spellEnd"/>
            <w:r w:rsidRPr="00B61117">
              <w:rPr>
                <w:rFonts w:ascii="Times New Roman" w:eastAsia="Times New Roman" w:hAnsi="Times New Roman" w:cs="Times New Roman"/>
                <w:b/>
                <w:bCs/>
                <w:color w:val="000000" w:themeColor="text1"/>
                <w:kern w:val="24"/>
                <w:sz w:val="14"/>
                <w:szCs w:val="14"/>
                <w14:ligatures w14:val="none"/>
              </w:rPr>
              <w:t>', '</w:t>
            </w:r>
            <w:proofErr w:type="spellStart"/>
            <w:r w:rsidRPr="00B61117">
              <w:rPr>
                <w:rFonts w:ascii="Times New Roman" w:eastAsia="Times New Roman" w:hAnsi="Times New Roman" w:cs="Times New Roman"/>
                <w:b/>
                <w:bCs/>
                <w:color w:val="000000" w:themeColor="text1"/>
                <w:kern w:val="24"/>
                <w:sz w:val="14"/>
                <w:szCs w:val="14"/>
                <w14:ligatures w14:val="none"/>
              </w:rPr>
              <w:t>adadelta</w:t>
            </w:r>
            <w:proofErr w:type="spellEnd"/>
            <w:r w:rsidRPr="00B61117">
              <w:rPr>
                <w:rFonts w:ascii="Times New Roman" w:eastAsia="Times New Roman" w:hAnsi="Times New Roman" w:cs="Times New Roman"/>
                <w:b/>
                <w:bCs/>
                <w:color w:val="000000" w:themeColor="text1"/>
                <w:kern w:val="24"/>
                <w:sz w:val="14"/>
                <w:szCs w:val="14"/>
                <w14:ligatures w14:val="none"/>
              </w:rPr>
              <w:t>'</w:t>
            </w:r>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00B6F5" w14:textId="77777777" w:rsidR="00C46B49" w:rsidRPr="00B61117" w:rsidRDefault="00C46B49" w:rsidP="003962F9">
            <w:pPr>
              <w:spacing w:after="0" w:line="240" w:lineRule="auto"/>
              <w:jc w:val="center"/>
              <w:rPr>
                <w:rFonts w:ascii="Times New Roman" w:eastAsia="Times New Roman" w:hAnsi="Times New Roman" w:cs="Times New Roman"/>
                <w:kern w:val="0"/>
                <w:sz w:val="14"/>
                <w:szCs w:val="14"/>
                <w:lang w:val="de-DE"/>
                <w14:ligatures w14:val="none"/>
              </w:rPr>
            </w:pPr>
            <w:r w:rsidRPr="00B61117">
              <w:rPr>
                <w:rFonts w:ascii="Times New Roman" w:eastAsia="Times New Roman" w:hAnsi="Times New Roman" w:cs="Times New Roman"/>
                <w:b/>
                <w:bCs/>
                <w:color w:val="000000" w:themeColor="text1"/>
                <w:kern w:val="24"/>
                <w:sz w:val="14"/>
                <w:szCs w:val="14"/>
                <w14:ligatures w14:val="none"/>
              </w:rPr>
              <w:t xml:space="preserve"> </w:t>
            </w:r>
            <w:r w:rsidRPr="00B61117">
              <w:rPr>
                <w:rFonts w:ascii="Times New Roman" w:eastAsia="Times New Roman" w:hAnsi="Times New Roman" w:cs="Times New Roman"/>
                <w:b/>
                <w:bCs/>
                <w:color w:val="000000" w:themeColor="text1"/>
                <w:kern w:val="24"/>
                <w:sz w:val="14"/>
                <w:szCs w:val="14"/>
                <w:lang w:val="de-DE"/>
                <w14:ligatures w14:val="none"/>
              </w:rPr>
              <w:t>min:</w:t>
            </w:r>
            <w:r w:rsidRPr="00B61117">
              <w:rPr>
                <w:rFonts w:ascii="Times New Roman" w:eastAsia="Times New Roman" w:hAnsi="Times New Roman" w:cs="Times New Roman"/>
                <w:b/>
                <w:bCs/>
                <w:color w:val="000000" w:themeColor="text1"/>
                <w:kern w:val="24"/>
                <w:sz w:val="14"/>
                <w:szCs w:val="14"/>
                <w:lang w:val="de-DE"/>
                <w14:ligatures w14:val="none"/>
              </w:rPr>
              <w:br/>
              <w:t>1e-4 max:</w:t>
            </w:r>
            <w:r w:rsidRPr="00B61117">
              <w:rPr>
                <w:rFonts w:ascii="Times New Roman" w:eastAsia="Times New Roman" w:hAnsi="Times New Roman" w:cs="Times New Roman"/>
                <w:b/>
                <w:bCs/>
                <w:color w:val="000000" w:themeColor="text1"/>
                <w:kern w:val="24"/>
                <w:sz w:val="14"/>
                <w:szCs w:val="14"/>
                <w:lang w:val="de-DE"/>
                <w14:ligatures w14:val="none"/>
              </w:rPr>
              <w:br/>
              <w:t>1e-2 sampling:"LOG"</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78CF84" w14:textId="77777777" w:rsidR="00451714" w:rsidRDefault="00C46B49" w:rsidP="003962F9">
            <w:pPr>
              <w:spacing w:after="0" w:line="240" w:lineRule="auto"/>
              <w:jc w:val="center"/>
              <w:rPr>
                <w:rFonts w:ascii="Times New Roman" w:eastAsia="Times New Roman" w:hAnsi="Times New Roman" w:cs="Times New Roman"/>
                <w:b/>
                <w:bCs/>
                <w:color w:val="000000" w:themeColor="text1"/>
                <w:kern w:val="24"/>
                <w:sz w:val="14"/>
                <w:szCs w:val="14"/>
                <w14:ligatures w14:val="none"/>
              </w:rPr>
            </w:pPr>
            <w:r w:rsidRPr="00B61117">
              <w:rPr>
                <w:rFonts w:ascii="Times New Roman" w:eastAsia="Times New Roman" w:hAnsi="Times New Roman" w:cs="Times New Roman"/>
                <w:b/>
                <w:bCs/>
                <w:color w:val="000000" w:themeColor="text1"/>
                <w:kern w:val="24"/>
                <w:sz w:val="14"/>
                <w:szCs w:val="14"/>
                <w14:ligatures w14:val="none"/>
              </w:rPr>
              <w:t>min:0.001 max:0.1</w:t>
            </w:r>
          </w:p>
          <w:p w14:paraId="1D77A195" w14:textId="2F2B76C9" w:rsidR="00C46B49" w:rsidRPr="00B61117" w:rsidRDefault="00C46B49" w:rsidP="003962F9">
            <w:pPr>
              <w:spacing w:after="0" w:line="240" w:lineRule="auto"/>
              <w:jc w:val="center"/>
              <w:rPr>
                <w:rFonts w:ascii="Times New Roman" w:eastAsia="Times New Roman" w:hAnsi="Times New Roman" w:cs="Times New Roman"/>
                <w:kern w:val="0"/>
                <w:sz w:val="14"/>
                <w:szCs w:val="14"/>
                <w14:ligatures w14:val="none"/>
              </w:rPr>
            </w:pPr>
            <w:proofErr w:type="spellStart"/>
            <w:r w:rsidRPr="00B61117">
              <w:rPr>
                <w:rFonts w:ascii="Times New Roman" w:eastAsia="Times New Roman" w:hAnsi="Times New Roman" w:cs="Times New Roman"/>
                <w:b/>
                <w:bCs/>
                <w:color w:val="000000" w:themeColor="text1"/>
                <w:kern w:val="24"/>
                <w:sz w:val="14"/>
                <w:szCs w:val="14"/>
                <w14:ligatures w14:val="none"/>
              </w:rPr>
              <w:t>sampling:"LOG</w:t>
            </w:r>
            <w:proofErr w:type="spellEnd"/>
            <w:r w:rsidRPr="00B61117">
              <w:rPr>
                <w:rFonts w:ascii="Times New Roman" w:eastAsia="Times New Roman" w:hAnsi="Times New Roman" w:cs="Times New Roman"/>
                <w:b/>
                <w:bCs/>
                <w:color w:val="000000" w:themeColor="text1"/>
                <w:kern w:val="24"/>
                <w:sz w:val="14"/>
                <w:szCs w:val="14"/>
                <w14:ligatures w14:val="none"/>
              </w:rPr>
              <w:t>"</w:t>
            </w:r>
          </w:p>
        </w:tc>
      </w:tr>
      <w:tr w:rsidR="005D278B" w:rsidRPr="006935C3" w14:paraId="2B70450C" w14:textId="77777777" w:rsidTr="00C46B49">
        <w:trPr>
          <w:trHeight w:val="429"/>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15B15D2" w14:textId="0CB6EB46" w:rsidR="00C46B49" w:rsidRPr="00B61117" w:rsidRDefault="00C46B49" w:rsidP="003962F9">
            <w:pPr>
              <w:spacing w:after="0" w:line="240" w:lineRule="auto"/>
              <w:jc w:val="center"/>
              <w:rPr>
                <w:rFonts w:ascii="Times New Roman" w:eastAsia="Times New Roman" w:hAnsi="Times New Roman" w:cs="Times New Roman"/>
                <w:b/>
                <w:bCs/>
                <w:kern w:val="0"/>
                <w:sz w:val="16"/>
                <w:szCs w:val="16"/>
                <w14:ligatures w14:val="none"/>
              </w:rPr>
            </w:pPr>
            <w:r w:rsidRPr="00B61117">
              <w:rPr>
                <w:rFonts w:ascii="Times New Roman" w:eastAsia="Times New Roman" w:hAnsi="Times New Roman" w:cs="Times New Roman"/>
                <w:b/>
                <w:bCs/>
                <w:color w:val="000000" w:themeColor="text1"/>
                <w:kern w:val="24"/>
                <w:sz w:val="16"/>
                <w:szCs w:val="16"/>
                <w14:ligatures w14:val="none"/>
              </w:rPr>
              <w:t>Best HP: Fold 1</w:t>
            </w:r>
          </w:p>
        </w:tc>
        <w:tc>
          <w:tcPr>
            <w:tcW w:w="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E60F1ED" w14:textId="41E78CC9"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82E0CBB" w14:textId="01387CC9"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9AB3089" w14:textId="55E403D1"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771C001" w14:textId="1B520EFB"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1DF9DBC" w14:textId="0C6B097A" w:rsidR="00C46B49" w:rsidRPr="00B61117" w:rsidRDefault="00345916" w:rsidP="005D278B">
            <w:pPr>
              <w:spacing w:after="0" w:line="240" w:lineRule="auto"/>
              <w:jc w:val="center"/>
              <w:rPr>
                <w:rFonts w:ascii="Times New Roman" w:eastAsia="Times New Roman" w:hAnsi="Times New Roman" w:cs="Times New Roman"/>
                <w:b/>
                <w:bCs/>
                <w:kern w:val="0"/>
                <w:sz w:val="18"/>
                <w:szCs w:val="18"/>
                <w14:ligatures w14:val="none"/>
              </w:rPr>
            </w:pPr>
            <w:r w:rsidRPr="00345916">
              <w:rPr>
                <w:rFonts w:ascii="Times New Roman" w:eastAsia="Times New Roman" w:hAnsi="Times New Roman" w:cs="Times New Roman"/>
                <w:b/>
                <w:bCs/>
                <w:kern w:val="0"/>
                <w:sz w:val="18"/>
                <w:szCs w:val="18"/>
                <w14:ligatures w14:val="none"/>
              </w:rPr>
              <w:t>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AB3180E" w14:textId="2BCBF39A"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720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3AE9400" w14:textId="0E8FB407"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tanh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B707F58" w14:textId="39FA2525"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r w:rsidRPr="00B61117">
              <w:rPr>
                <w:rFonts w:ascii="Times New Roman" w:eastAsia="Times New Roman" w:hAnsi="Times New Roman" w:cs="Times New Roman"/>
                <w:b/>
                <w:bCs/>
                <w:kern w:val="0"/>
                <w:sz w:val="18"/>
                <w:szCs w:val="18"/>
                <w14:ligatures w14:val="none"/>
              </w:rPr>
              <w:t>0</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5D2276A" w14:textId="78965863" w:rsidR="00C46B49" w:rsidRPr="00B61117" w:rsidRDefault="00345916" w:rsidP="003962F9">
            <w:pPr>
              <w:spacing w:after="0" w:line="240" w:lineRule="auto"/>
              <w:jc w:val="center"/>
              <w:rPr>
                <w:rFonts w:ascii="Times New Roman" w:eastAsia="Times New Roman" w:hAnsi="Times New Roman" w:cs="Times New Roman"/>
                <w:b/>
                <w:bCs/>
                <w:kern w:val="0"/>
                <w:sz w:val="18"/>
                <w:szCs w:val="18"/>
                <w14:ligatures w14:val="none"/>
              </w:rPr>
            </w:pPr>
            <w:proofErr w:type="spellStart"/>
            <w:r w:rsidRPr="00B61117">
              <w:rPr>
                <w:rFonts w:ascii="Times New Roman" w:eastAsia="Times New Roman" w:hAnsi="Times New Roman" w:cs="Times New Roman"/>
                <w:b/>
                <w:bCs/>
                <w:kern w:val="0"/>
                <w:sz w:val="18"/>
                <w:szCs w:val="18"/>
                <w14:ligatures w14:val="none"/>
              </w:rPr>
              <w:t>adam</w:t>
            </w:r>
            <w:proofErr w:type="spellEnd"/>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A3EDC2F" w14:textId="4E70DCAF" w:rsidR="00C46B49" w:rsidRPr="00B61117" w:rsidRDefault="00345916" w:rsidP="00345916">
            <w:pPr>
              <w:spacing w:after="0" w:line="240" w:lineRule="auto"/>
              <w:jc w:val="center"/>
              <w:rPr>
                <w:rFonts w:ascii="Times New Roman" w:eastAsia="Times New Roman" w:hAnsi="Times New Roman" w:cs="Times New Roman"/>
                <w:b/>
                <w:bCs/>
                <w:kern w:val="0"/>
                <w:sz w:val="18"/>
                <w:szCs w:val="18"/>
                <w14:ligatures w14:val="none"/>
              </w:rPr>
            </w:pPr>
            <w:r w:rsidRPr="00345916">
              <w:rPr>
                <w:rFonts w:ascii="Times New Roman" w:eastAsia="Times New Roman" w:hAnsi="Times New Roman" w:cs="Times New Roman"/>
                <w:b/>
                <w:bCs/>
                <w:kern w:val="0"/>
                <w:sz w:val="18"/>
                <w:szCs w:val="18"/>
                <w14:ligatures w14:val="none"/>
              </w:rPr>
              <w:t>0.0003069</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891C647" w14:textId="61709AA6" w:rsidR="00C46B49" w:rsidRPr="00B61117" w:rsidRDefault="00345916" w:rsidP="00345916">
            <w:pPr>
              <w:spacing w:after="0" w:line="240" w:lineRule="auto"/>
              <w:jc w:val="center"/>
              <w:rPr>
                <w:rFonts w:ascii="Times New Roman" w:eastAsia="Times New Roman" w:hAnsi="Times New Roman" w:cs="Times New Roman"/>
                <w:b/>
                <w:bCs/>
                <w:kern w:val="0"/>
                <w:sz w:val="18"/>
                <w:szCs w:val="18"/>
                <w14:ligatures w14:val="none"/>
              </w:rPr>
            </w:pPr>
            <w:r w:rsidRPr="00345916">
              <w:rPr>
                <w:rFonts w:ascii="Times New Roman" w:eastAsia="Times New Roman" w:hAnsi="Times New Roman" w:cs="Times New Roman"/>
                <w:b/>
                <w:bCs/>
                <w:kern w:val="0"/>
                <w:sz w:val="18"/>
                <w:szCs w:val="18"/>
                <w14:ligatures w14:val="none"/>
              </w:rPr>
              <w:t>0.0905127</w:t>
            </w:r>
          </w:p>
        </w:tc>
      </w:tr>
      <w:tr w:rsidR="00B61117" w:rsidRPr="006935C3" w14:paraId="7066CF2E" w14:textId="77777777" w:rsidTr="00C46B49">
        <w:trPr>
          <w:trHeight w:val="429"/>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8C34C02" w14:textId="65523312" w:rsidR="00C46B49" w:rsidRPr="00B61117" w:rsidRDefault="00C46B49" w:rsidP="003962F9">
            <w:pPr>
              <w:spacing w:after="0" w:line="240" w:lineRule="auto"/>
              <w:jc w:val="center"/>
              <w:rPr>
                <w:rFonts w:ascii="Times New Roman" w:eastAsia="Times New Roman" w:hAnsi="Times New Roman" w:cs="Times New Roman"/>
                <w:b/>
                <w:bCs/>
                <w:color w:val="000000" w:themeColor="text1"/>
                <w:kern w:val="24"/>
                <w:sz w:val="16"/>
                <w:szCs w:val="16"/>
                <w14:ligatures w14:val="none"/>
              </w:rPr>
            </w:pPr>
            <w:r w:rsidRPr="00B61117">
              <w:rPr>
                <w:rFonts w:ascii="Times New Roman" w:eastAsia="Times New Roman" w:hAnsi="Times New Roman" w:cs="Times New Roman"/>
                <w:b/>
                <w:bCs/>
                <w:color w:val="000000" w:themeColor="text1"/>
                <w:kern w:val="24"/>
                <w:sz w:val="16"/>
                <w:szCs w:val="16"/>
                <w14:ligatures w14:val="none"/>
              </w:rPr>
              <w:t>Best HP: Fold 2</w:t>
            </w:r>
          </w:p>
        </w:tc>
        <w:tc>
          <w:tcPr>
            <w:tcW w:w="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747B48F" w14:textId="42FEA555"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4E67E88" w14:textId="377C3FF5"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991042C" w14:textId="21770FF9"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B59BA84" w14:textId="0EA3BAB0"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C552C13" w14:textId="3C2C5516"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A88B1BD" w14:textId="3737D2BB"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592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9177B85" w14:textId="172B818F"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tanh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4EA91AF" w14:textId="6868735C"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0.6</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5E39D80" w14:textId="23F1E88D" w:rsidR="00C46B49" w:rsidRPr="00B61117" w:rsidRDefault="005D278B" w:rsidP="003962F9">
            <w:pPr>
              <w:spacing w:after="0" w:line="240" w:lineRule="auto"/>
              <w:jc w:val="center"/>
              <w:rPr>
                <w:rFonts w:ascii="Times New Roman" w:eastAsia="Times New Roman" w:hAnsi="Times New Roman" w:cs="Times New Roman"/>
                <w:b/>
                <w:bCs/>
                <w:color w:val="000000" w:themeColor="text1"/>
                <w:kern w:val="24"/>
                <w:sz w:val="18"/>
                <w:szCs w:val="18"/>
                <w14:ligatures w14:val="none"/>
              </w:rPr>
            </w:pPr>
            <w:proofErr w:type="spellStart"/>
            <w:r w:rsidRPr="00B61117">
              <w:rPr>
                <w:rFonts w:ascii="Times New Roman" w:eastAsia="Times New Roman" w:hAnsi="Times New Roman" w:cs="Times New Roman"/>
                <w:b/>
                <w:bCs/>
                <w:color w:val="000000" w:themeColor="text1"/>
                <w:kern w:val="24"/>
                <w:sz w:val="18"/>
                <w:szCs w:val="18"/>
                <w14:ligatures w14:val="none"/>
              </w:rPr>
              <w:t>adam</w:t>
            </w:r>
            <w:proofErr w:type="spellEnd"/>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81DF073" w14:textId="30C865C6" w:rsidR="00C46B49"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5D278B">
              <w:rPr>
                <w:rFonts w:ascii="Times New Roman" w:eastAsia="Times New Roman" w:hAnsi="Times New Roman" w:cs="Times New Roman"/>
                <w:b/>
                <w:bCs/>
                <w:color w:val="000000" w:themeColor="text1"/>
                <w:kern w:val="24"/>
                <w:sz w:val="18"/>
                <w:szCs w:val="18"/>
                <w14:ligatures w14:val="none"/>
              </w:rPr>
              <w:t>0.00013317</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F9E210C" w14:textId="11CF4868" w:rsidR="00C46B49"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5D278B">
              <w:rPr>
                <w:rFonts w:ascii="Times New Roman" w:eastAsia="Times New Roman" w:hAnsi="Times New Roman" w:cs="Times New Roman"/>
                <w:b/>
                <w:bCs/>
                <w:color w:val="000000" w:themeColor="text1"/>
                <w:kern w:val="24"/>
                <w:sz w:val="18"/>
                <w:szCs w:val="18"/>
                <w14:ligatures w14:val="none"/>
              </w:rPr>
              <w:t>0.0019706</w:t>
            </w:r>
          </w:p>
        </w:tc>
      </w:tr>
      <w:tr w:rsidR="00B61117" w:rsidRPr="006935C3" w14:paraId="562E32F0" w14:textId="77777777" w:rsidTr="00C46B49">
        <w:trPr>
          <w:trHeight w:val="429"/>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64C9B5C" w14:textId="0B2725FB"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6"/>
                <w:szCs w:val="16"/>
                <w14:ligatures w14:val="none"/>
              </w:rPr>
            </w:pPr>
            <w:r w:rsidRPr="00B61117">
              <w:rPr>
                <w:rFonts w:ascii="Times New Roman" w:eastAsia="Times New Roman" w:hAnsi="Times New Roman" w:cs="Times New Roman"/>
                <w:b/>
                <w:bCs/>
                <w:color w:val="000000" w:themeColor="text1"/>
                <w:kern w:val="24"/>
                <w:sz w:val="16"/>
                <w:szCs w:val="16"/>
                <w14:ligatures w14:val="none"/>
              </w:rPr>
              <w:t>Best HP: Fold 3</w:t>
            </w:r>
          </w:p>
        </w:tc>
        <w:tc>
          <w:tcPr>
            <w:tcW w:w="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3F0E1DA" w14:textId="12FBED4E"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B154256" w14:textId="65CB9011"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99EA46D" w14:textId="4D62C7FF"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616B281" w14:textId="619F6A16"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FCACE95" w14:textId="3BB5AFC6"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2643486" w14:textId="44251A58"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592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93FBF09" w14:textId="5E706C85"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tanh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D90AB9E" w14:textId="2152F228"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0.6</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2147CE0" w14:textId="0620B0EA"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proofErr w:type="spellStart"/>
            <w:r w:rsidRPr="00B61117">
              <w:rPr>
                <w:rFonts w:ascii="Times New Roman" w:eastAsia="Times New Roman" w:hAnsi="Times New Roman" w:cs="Times New Roman"/>
                <w:b/>
                <w:bCs/>
                <w:color w:val="000000" w:themeColor="text1"/>
                <w:kern w:val="24"/>
                <w:sz w:val="18"/>
                <w:szCs w:val="18"/>
                <w14:ligatures w14:val="none"/>
              </w:rPr>
              <w:t>adam</w:t>
            </w:r>
            <w:proofErr w:type="spellEnd"/>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7078B38" w14:textId="2F2FC651"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5D278B">
              <w:rPr>
                <w:rFonts w:ascii="Times New Roman" w:eastAsia="Times New Roman" w:hAnsi="Times New Roman" w:cs="Times New Roman"/>
                <w:b/>
                <w:bCs/>
                <w:color w:val="000000" w:themeColor="text1"/>
                <w:kern w:val="24"/>
                <w:sz w:val="18"/>
                <w:szCs w:val="18"/>
                <w14:ligatures w14:val="none"/>
              </w:rPr>
              <w:t>0.00013317</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774C81F" w14:textId="56D7EBF0"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5D278B">
              <w:rPr>
                <w:rFonts w:ascii="Times New Roman" w:eastAsia="Times New Roman" w:hAnsi="Times New Roman" w:cs="Times New Roman"/>
                <w:b/>
                <w:bCs/>
                <w:color w:val="000000" w:themeColor="text1"/>
                <w:kern w:val="24"/>
                <w:sz w:val="18"/>
                <w:szCs w:val="18"/>
                <w14:ligatures w14:val="none"/>
              </w:rPr>
              <w:t>0.0019706</w:t>
            </w:r>
          </w:p>
        </w:tc>
      </w:tr>
      <w:tr w:rsidR="00B61117" w:rsidRPr="006935C3" w14:paraId="7B2A160F" w14:textId="77777777" w:rsidTr="00C46B49">
        <w:trPr>
          <w:trHeight w:val="429"/>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F524D76" w14:textId="361E104B"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6"/>
                <w:szCs w:val="16"/>
                <w14:ligatures w14:val="none"/>
              </w:rPr>
            </w:pPr>
            <w:r w:rsidRPr="00B61117">
              <w:rPr>
                <w:rFonts w:ascii="Times New Roman" w:eastAsia="Times New Roman" w:hAnsi="Times New Roman" w:cs="Times New Roman"/>
                <w:b/>
                <w:bCs/>
                <w:color w:val="000000" w:themeColor="text1"/>
                <w:kern w:val="24"/>
                <w:sz w:val="16"/>
                <w:szCs w:val="16"/>
                <w14:ligatures w14:val="none"/>
              </w:rPr>
              <w:t>Best HP: Fold 4</w:t>
            </w:r>
          </w:p>
        </w:tc>
        <w:tc>
          <w:tcPr>
            <w:tcW w:w="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3726E3A" w14:textId="67D40908"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7FB700D" w14:textId="4C6B55CA"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406796B" w14:textId="4CC71713"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76CB76A" w14:textId="0CCD14F0"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0C54A88" w14:textId="32A8F748"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BC901E6" w14:textId="1723528F"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592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95A9AC3" w14:textId="412303C7"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tanh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3F017C1" w14:textId="7754BC3C"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color w:val="000000" w:themeColor="text1"/>
                <w:kern w:val="24"/>
                <w:sz w:val="18"/>
                <w:szCs w:val="18"/>
                <w14:ligatures w14:val="none"/>
              </w:rPr>
              <w:t>0.6</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CCBE7EF" w14:textId="08C64CED"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proofErr w:type="spellStart"/>
            <w:r w:rsidRPr="00B61117">
              <w:rPr>
                <w:rFonts w:ascii="Times New Roman" w:eastAsia="Times New Roman" w:hAnsi="Times New Roman" w:cs="Times New Roman"/>
                <w:b/>
                <w:bCs/>
                <w:color w:val="000000" w:themeColor="text1"/>
                <w:kern w:val="24"/>
                <w:sz w:val="18"/>
                <w:szCs w:val="18"/>
                <w14:ligatures w14:val="none"/>
              </w:rPr>
              <w:t>adam</w:t>
            </w:r>
            <w:proofErr w:type="spellEnd"/>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58D84BB" w14:textId="3A81CEC7"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5D278B">
              <w:rPr>
                <w:rFonts w:ascii="Times New Roman" w:eastAsia="Times New Roman" w:hAnsi="Times New Roman" w:cs="Times New Roman"/>
                <w:b/>
                <w:bCs/>
                <w:color w:val="000000" w:themeColor="text1"/>
                <w:kern w:val="24"/>
                <w:sz w:val="18"/>
                <w:szCs w:val="18"/>
                <w14:ligatures w14:val="none"/>
              </w:rPr>
              <w:t>0.00013317</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129C9A8" w14:textId="20E6885A"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5D278B">
              <w:rPr>
                <w:rFonts w:ascii="Times New Roman" w:eastAsia="Times New Roman" w:hAnsi="Times New Roman" w:cs="Times New Roman"/>
                <w:b/>
                <w:bCs/>
                <w:color w:val="000000" w:themeColor="text1"/>
                <w:kern w:val="24"/>
                <w:sz w:val="18"/>
                <w:szCs w:val="18"/>
                <w14:ligatures w14:val="none"/>
              </w:rPr>
              <w:t>0.0019706</w:t>
            </w:r>
          </w:p>
        </w:tc>
      </w:tr>
      <w:tr w:rsidR="00B61117" w:rsidRPr="006935C3" w14:paraId="307666E4" w14:textId="77777777" w:rsidTr="00C46B49">
        <w:trPr>
          <w:trHeight w:val="429"/>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56E9EFCA" w14:textId="24859599"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6"/>
                <w:szCs w:val="16"/>
                <w14:ligatures w14:val="none"/>
              </w:rPr>
            </w:pPr>
            <w:r w:rsidRPr="00B61117">
              <w:rPr>
                <w:rFonts w:ascii="Times New Roman" w:eastAsia="Times New Roman" w:hAnsi="Times New Roman" w:cs="Times New Roman"/>
                <w:b/>
                <w:bCs/>
                <w:color w:val="000000" w:themeColor="text1"/>
                <w:kern w:val="24"/>
                <w:sz w:val="16"/>
                <w:szCs w:val="16"/>
                <w14:ligatures w14:val="none"/>
              </w:rPr>
              <w:t>Best HP: Fold 5</w:t>
            </w:r>
          </w:p>
        </w:tc>
        <w:tc>
          <w:tcPr>
            <w:tcW w:w="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7A0F1D9" w14:textId="78DF9F81"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46AFE08" w14:textId="35F706FC"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7A03779" w14:textId="60D3B368"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87CEA23" w14:textId="34969006"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128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B2EF7A4" w14:textId="4F2CC32D" w:rsidR="005D278B" w:rsidRPr="00B61117" w:rsidRDefault="005D278B" w:rsidP="005D278B">
            <w:pPr>
              <w:spacing w:after="0" w:line="240" w:lineRule="auto"/>
              <w:jc w:val="center"/>
              <w:rPr>
                <w:rFonts w:ascii="Times New Roman" w:eastAsia="Times New Roman" w:hAnsi="Times New Roman" w:cs="Times New Roman"/>
                <w:b/>
                <w:bCs/>
                <w:kern w:val="0"/>
                <w:sz w:val="18"/>
                <w:szCs w:val="18"/>
                <w14:ligatures w14:val="none"/>
              </w:rPr>
            </w:pPr>
            <w:r w:rsidRPr="00345916">
              <w:rPr>
                <w:rFonts w:ascii="Times New Roman" w:eastAsia="Times New Roman" w:hAnsi="Times New Roman" w:cs="Times New Roman"/>
                <w:b/>
                <w:bCs/>
                <w:kern w:val="0"/>
                <w:sz w:val="18"/>
                <w:szCs w:val="18"/>
                <w14:ligatures w14:val="none"/>
              </w:rPr>
              <w:t>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23DF0787" w14:textId="46BF3585"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720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3E307B51" w14:textId="30750F73"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tanh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4F7B1E2" w14:textId="15DE8A58"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B61117">
              <w:rPr>
                <w:rFonts w:ascii="Times New Roman" w:eastAsia="Times New Roman" w:hAnsi="Times New Roman" w:cs="Times New Roman"/>
                <w:b/>
                <w:bCs/>
                <w:kern w:val="0"/>
                <w:sz w:val="18"/>
                <w:szCs w:val="18"/>
                <w14:ligatures w14:val="none"/>
              </w:rPr>
              <w:t>0</w:t>
            </w:r>
          </w:p>
        </w:tc>
        <w:tc>
          <w:tcPr>
            <w:tcW w:w="8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0D7014AE" w14:textId="156E0419"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proofErr w:type="spellStart"/>
            <w:r w:rsidRPr="00B61117">
              <w:rPr>
                <w:rFonts w:ascii="Times New Roman" w:eastAsia="Times New Roman" w:hAnsi="Times New Roman" w:cs="Times New Roman"/>
                <w:b/>
                <w:bCs/>
                <w:kern w:val="0"/>
                <w:sz w:val="18"/>
                <w:szCs w:val="18"/>
                <w14:ligatures w14:val="none"/>
              </w:rPr>
              <w:t>adam</w:t>
            </w:r>
            <w:proofErr w:type="spellEnd"/>
          </w:p>
        </w:tc>
        <w:tc>
          <w:tcPr>
            <w:tcW w:w="12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FD60811" w14:textId="389FFA6A"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345916">
              <w:rPr>
                <w:rFonts w:ascii="Times New Roman" w:eastAsia="Times New Roman" w:hAnsi="Times New Roman" w:cs="Times New Roman"/>
                <w:b/>
                <w:bCs/>
                <w:kern w:val="0"/>
                <w:sz w:val="18"/>
                <w:szCs w:val="18"/>
                <w14:ligatures w14:val="none"/>
              </w:rPr>
              <w:t>0.0003069</w:t>
            </w:r>
          </w:p>
        </w:tc>
        <w:tc>
          <w:tcPr>
            <w:tcW w:w="16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71003822" w14:textId="6C568B59" w:rsidR="005D278B" w:rsidRPr="00B61117" w:rsidRDefault="005D278B" w:rsidP="005D278B">
            <w:pPr>
              <w:spacing w:after="0" w:line="240" w:lineRule="auto"/>
              <w:jc w:val="center"/>
              <w:rPr>
                <w:rFonts w:ascii="Times New Roman" w:eastAsia="Times New Roman" w:hAnsi="Times New Roman" w:cs="Times New Roman"/>
                <w:b/>
                <w:bCs/>
                <w:color w:val="000000" w:themeColor="text1"/>
                <w:kern w:val="24"/>
                <w:sz w:val="18"/>
                <w:szCs w:val="18"/>
                <w14:ligatures w14:val="none"/>
              </w:rPr>
            </w:pPr>
            <w:r w:rsidRPr="00345916">
              <w:rPr>
                <w:rFonts w:ascii="Times New Roman" w:eastAsia="Times New Roman" w:hAnsi="Times New Roman" w:cs="Times New Roman"/>
                <w:b/>
                <w:bCs/>
                <w:kern w:val="0"/>
                <w:sz w:val="18"/>
                <w:szCs w:val="18"/>
                <w14:ligatures w14:val="none"/>
              </w:rPr>
              <w:t>0.0905127</w:t>
            </w:r>
          </w:p>
        </w:tc>
      </w:tr>
    </w:tbl>
    <w:p w14:paraId="007C13ED" w14:textId="77777777" w:rsidR="00C46B49" w:rsidRDefault="00C46B49">
      <w:pPr>
        <w:rPr>
          <w:b/>
          <w:bCs/>
        </w:rPr>
      </w:pPr>
    </w:p>
    <w:p w14:paraId="15ABC43E" w14:textId="3B049C3E" w:rsidR="005B19D9" w:rsidRDefault="005B19D9">
      <w:pPr>
        <w:rPr>
          <w:b/>
          <w:bCs/>
        </w:rPr>
      </w:pPr>
      <w:r>
        <w:rPr>
          <w:b/>
          <w:bCs/>
        </w:rPr>
        <w:t>Data Description (Details of section 2.10)</w:t>
      </w:r>
    </w:p>
    <w:p w14:paraId="72F83AB7" w14:textId="78F30B25" w:rsidR="005B19D9" w:rsidRPr="005B19D9" w:rsidRDefault="005B19D9" w:rsidP="005B19D9">
      <w:pPr>
        <w:spacing w:after="120" w:line="240" w:lineRule="auto"/>
        <w:jc w:val="both"/>
        <w:rPr>
          <w:rFonts w:ascii="Times New Roman" w:eastAsia="Times New Roman" w:hAnsi="Times New Roman" w:cs="Times New Roman"/>
          <w:kern w:val="0"/>
          <w:sz w:val="20"/>
          <w:szCs w:val="20"/>
          <w14:ligatures w14:val="none"/>
        </w:rPr>
      </w:pPr>
      <w:r w:rsidRPr="005B19D9">
        <w:rPr>
          <w:rFonts w:ascii="Times New Roman" w:eastAsia="Times New Roman" w:hAnsi="Times New Roman" w:cs="Times New Roman"/>
          <w:kern w:val="0"/>
          <w:sz w:val="20"/>
          <w:szCs w:val="20"/>
          <w14:ligatures w14:val="none"/>
        </w:rPr>
        <w:t xml:space="preserve">The gene-level copy number variation (CNV) was estimated using GISTIC2 </w:t>
      </w:r>
      <w:r w:rsidRPr="005B19D9">
        <w:rPr>
          <w:rFonts w:ascii="Times New Roman" w:eastAsia="Times New Roman" w:hAnsi="Times New Roman" w:cs="Times New Roman"/>
          <w:kern w:val="0"/>
          <w:sz w:val="20"/>
          <w:szCs w:val="20"/>
          <w14:ligatures w14:val="none"/>
        </w:rPr>
        <w:fldChar w:fldCharType="begin" w:fldLock="1"/>
      </w:r>
      <w:r>
        <w:rPr>
          <w:rFonts w:ascii="Times New Roman" w:eastAsia="Times New Roman" w:hAnsi="Times New Roman" w:cs="Times New Roman"/>
          <w:kern w:val="0"/>
          <w:sz w:val="20"/>
          <w:szCs w:val="20"/>
          <w14:ligatures w14:val="none"/>
        </w:rPr>
        <w:instrText>ADDIN CSL_CITATION {"citationItems":[{"id":"ITEM-1","itemData":{"DOI":"10.1186/GB-2011-12-4-R41/FIGURES/7","ISSN":"14747596","PMID":"21527027","abstract":"We describe methods with enhanced power and specificity to identify genes targeted by somatic copy-number alterations (SCNAs) that drive cancer growth. By separating SCNA profiles into underlying arm-level and focal alterations, we improve the estimation of background rates for each category. We additionally describe a probabilistic method for defining the boundaries of selected-for SCNA regions with user-defined confidence. Here we detail this revised computational approach, GISTIC2.0, and validate its performance in real and simulated datasets. © 2011 Mermel et al.; licensee BioMed Central Ltd.","author":[{"dropping-particle":"","family":"Mermel","given":"Craig H.","non-dropping-particle":"","parse-names":false,"suffix":""},{"dropping-particle":"","family":"Schumacher","given":"Steven E.","non-dropping-particle":"","parse-names":false,"suffix":""},{"dropping-particle":"","family":"Hill","given":"Barbara","non-dropping-particle":"","parse-names":false,"suffix":""},{"dropping-particle":"","family":"Meyerson","given":"Matthew L.","non-dropping-particle":"","parse-names":false,"suffix":""},{"dropping-particle":"","family":"Beroukhim","given":"Rameen","non-dropping-particle":"","parse-names":false,"suffix":""},{"dropping-particle":"","family":"Getz","given":"Gad","non-dropping-particle":"","parse-names":false,"suffix":""}],"container-title":"Genome Biology","id":"ITEM-1","issue":"4","issued":{"date-parts":[["2011","4","28"]]},"page":"1-14","publisher":"BioMed Central","title":"GISTIC2.0 facilitates sensitive and confident localization of the targets of focal somatic copy-number alteration in human cancers","type":"article-journal","volume":"12"},"uris":["http://www.mendeley.com/documents/?uuid=04a4e16d-94f0-3eff-9bb1-442566689f53"]}],"mendeley":{"formattedCitation":"[1]","plainTextFormattedCitation":"[1]","previouslyFormattedCitation":"[1]"},"properties":{"noteIndex":0},"schema":"https://github.com/citation-style-language/schema/raw/master/csl-citation.json"}</w:instrText>
      </w:r>
      <w:r w:rsidRPr="005B19D9">
        <w:rPr>
          <w:rFonts w:ascii="Times New Roman" w:eastAsia="Times New Roman" w:hAnsi="Times New Roman" w:cs="Times New Roman"/>
          <w:kern w:val="0"/>
          <w:sz w:val="20"/>
          <w:szCs w:val="20"/>
          <w14:ligatures w14:val="none"/>
        </w:rPr>
        <w:fldChar w:fldCharType="separate"/>
      </w:r>
      <w:r w:rsidRPr="005B19D9">
        <w:rPr>
          <w:rFonts w:ascii="Times New Roman" w:eastAsia="Times New Roman" w:hAnsi="Times New Roman" w:cs="Times New Roman"/>
          <w:noProof/>
          <w:kern w:val="0"/>
          <w:sz w:val="20"/>
          <w:szCs w:val="20"/>
          <w14:ligatures w14:val="none"/>
        </w:rPr>
        <w:t>[1]</w:t>
      </w:r>
      <w:r w:rsidRPr="005B19D9">
        <w:rPr>
          <w:rFonts w:ascii="Times New Roman" w:eastAsia="Times New Roman" w:hAnsi="Times New Roman" w:cs="Times New Roman"/>
          <w:kern w:val="0"/>
          <w:sz w:val="20"/>
          <w:szCs w:val="20"/>
          <w14:ligatures w14:val="none"/>
        </w:rPr>
        <w:fldChar w:fldCharType="end"/>
      </w:r>
      <w:r w:rsidRPr="005B19D9">
        <w:rPr>
          <w:rFonts w:ascii="Times New Roman" w:eastAsia="Times New Roman" w:hAnsi="Times New Roman" w:cs="Times New Roman"/>
          <w:kern w:val="0"/>
          <w:sz w:val="20"/>
          <w:szCs w:val="20"/>
          <w14:ligatures w14:val="none"/>
        </w:rPr>
        <w:t xml:space="preserve"> method for KIRC, LGG, LUAD and LUSC data. The copy number profile was experimentally measured using whole genome microarray at a TCGA genome characterization center. The TCGA FIREHOSE pipeline then employed GISTIC2 method to generate segmented CNV data, which was subsequently mapped to genes to provide gene-level estimates. The mapping of genes to human genome coordinates was performed using the UCSC Xena HUGO </w:t>
      </w:r>
      <w:proofErr w:type="spellStart"/>
      <w:r w:rsidRPr="005B19D9">
        <w:rPr>
          <w:rFonts w:ascii="Times New Roman" w:eastAsia="Times New Roman" w:hAnsi="Times New Roman" w:cs="Times New Roman"/>
          <w:kern w:val="0"/>
          <w:sz w:val="20"/>
          <w:szCs w:val="20"/>
          <w14:ligatures w14:val="none"/>
        </w:rPr>
        <w:t>probeMap</w:t>
      </w:r>
      <w:proofErr w:type="spellEnd"/>
      <w:r w:rsidRPr="005B19D9">
        <w:rPr>
          <w:rFonts w:ascii="Times New Roman" w:eastAsia="Times New Roman" w:hAnsi="Times New Roman" w:cs="Times New Roman"/>
          <w:kern w:val="0"/>
          <w:sz w:val="20"/>
          <w:szCs w:val="20"/>
          <w14:ligatures w14:val="none"/>
        </w:rPr>
        <w:t xml:space="preserve">. Before preprocessing, the CNV datasets for KIRC, LGG, LUAD, and LUSC consists of 528, 513, 516, and 501 samples, respectively. Each of these samples has 24,776 features, representing the copy number variations across the genome. </w:t>
      </w:r>
    </w:p>
    <w:p w14:paraId="37F17FF5" w14:textId="77777777" w:rsidR="005B19D9" w:rsidRPr="005B19D9" w:rsidRDefault="005B19D9" w:rsidP="005B19D9">
      <w:pPr>
        <w:spacing w:after="120" w:line="240" w:lineRule="auto"/>
        <w:jc w:val="both"/>
        <w:rPr>
          <w:rFonts w:ascii="Times New Roman" w:eastAsia="Times New Roman" w:hAnsi="Times New Roman" w:cs="Times New Roman"/>
          <w:kern w:val="0"/>
          <w:sz w:val="20"/>
          <w:szCs w:val="20"/>
          <w14:ligatures w14:val="none"/>
        </w:rPr>
      </w:pPr>
      <w:r w:rsidRPr="005B19D9">
        <w:rPr>
          <w:rFonts w:ascii="Times New Roman" w:eastAsia="Times New Roman" w:hAnsi="Times New Roman" w:cs="Times New Roman"/>
          <w:kern w:val="0"/>
          <w:sz w:val="20"/>
          <w:szCs w:val="20"/>
          <w14:ligatures w14:val="none"/>
        </w:rPr>
        <w:lastRenderedPageBreak/>
        <w:t xml:space="preserve">"MC3" gene-level mutation data for KIRC, LGG, LUAD and LUSC were downloaded from </w:t>
      </w:r>
      <w:proofErr w:type="spellStart"/>
      <w:r w:rsidRPr="005B19D9">
        <w:rPr>
          <w:rFonts w:ascii="Times New Roman" w:eastAsia="Times New Roman" w:hAnsi="Times New Roman" w:cs="Times New Roman"/>
          <w:kern w:val="0"/>
          <w:sz w:val="20"/>
          <w:szCs w:val="20"/>
          <w14:ligatures w14:val="none"/>
        </w:rPr>
        <w:t>Xenabrowser</w:t>
      </w:r>
      <w:proofErr w:type="spellEnd"/>
      <w:r w:rsidRPr="005B19D9">
        <w:rPr>
          <w:rFonts w:ascii="Times New Roman" w:eastAsia="Times New Roman" w:hAnsi="Times New Roman" w:cs="Times New Roman"/>
          <w:kern w:val="0"/>
          <w:sz w:val="20"/>
          <w:szCs w:val="20"/>
          <w14:ligatures w14:val="none"/>
        </w:rPr>
        <w:t xml:space="preserve"> where the data type is binary (1: non-silent mutation &amp; 0: wild type). Mutation (MUT) data initially comprised of 40,543 features across 368, 511, 513 and 480 samples for KIRC, LGG, LUAD and LUSC, respectively. </w:t>
      </w:r>
    </w:p>
    <w:p w14:paraId="46C6AF0C" w14:textId="77777777" w:rsidR="005B19D9" w:rsidRPr="005B19D9" w:rsidRDefault="005B19D9" w:rsidP="005B19D9">
      <w:pPr>
        <w:spacing w:after="120" w:line="240" w:lineRule="auto"/>
        <w:jc w:val="both"/>
        <w:rPr>
          <w:rFonts w:ascii="Times New Roman" w:eastAsia="Times New Roman" w:hAnsi="Times New Roman" w:cs="Times New Roman"/>
          <w:kern w:val="0"/>
          <w:sz w:val="20"/>
          <w:szCs w:val="20"/>
          <w14:ligatures w14:val="none"/>
        </w:rPr>
      </w:pPr>
      <w:r w:rsidRPr="005B19D9">
        <w:rPr>
          <w:rFonts w:ascii="Times New Roman" w:eastAsia="Times New Roman" w:hAnsi="Times New Roman" w:cs="Times New Roman"/>
          <w:kern w:val="0"/>
          <w:sz w:val="20"/>
          <w:szCs w:val="20"/>
          <w14:ligatures w14:val="none"/>
        </w:rPr>
        <w:t>In KIRC, LUAD, and LUSC, the DNA methylation (MET) data was sourced from two platforms: Human Methylation 27k (27k) and Human Methylation 450k (450k). LGG has only Human Methylation 450k (450k) data. Initially, the KIRC, LUAD, and LUSC methylation data consists of 418, 151, and 160 samples with 27,578 features and 480, 492, and 415 samples with 485,577 features respectively. Intermediate processing, combining both datasets by retaining the common probes, resulted in 892, 631 and 575 samples with 25,978 features in KIRC, LUAD, and LUSC cancer respectively. LGG contains 530 samples with 485,577 features from Human Methylation 450k platform.</w:t>
      </w:r>
    </w:p>
    <w:p w14:paraId="4F363F6B" w14:textId="194F220A" w:rsidR="005B19D9" w:rsidRPr="005B19D9" w:rsidRDefault="005B19D9" w:rsidP="005B19D9">
      <w:pPr>
        <w:spacing w:after="120" w:line="240" w:lineRule="auto"/>
        <w:jc w:val="both"/>
        <w:rPr>
          <w:rFonts w:ascii="Times New Roman" w:eastAsia="Times New Roman" w:hAnsi="Times New Roman" w:cs="Times New Roman"/>
          <w:kern w:val="0"/>
          <w:sz w:val="20"/>
          <w:szCs w:val="20"/>
          <w14:ligatures w14:val="none"/>
        </w:rPr>
      </w:pPr>
      <w:r w:rsidRPr="005B19D9">
        <w:rPr>
          <w:rFonts w:ascii="Times New Roman" w:eastAsia="Times New Roman" w:hAnsi="Times New Roman" w:cs="Times New Roman"/>
          <w:kern w:val="0"/>
          <w:sz w:val="20"/>
          <w:szCs w:val="20"/>
          <w14:ligatures w14:val="none"/>
        </w:rPr>
        <w:t xml:space="preserve">The KIRC, LGG, LUAD and LUSC datasets consist of 606, 530, 576 and 553 samples, respectively, with 20,530 </w:t>
      </w:r>
      <w:r w:rsidR="00EB45E9">
        <w:rPr>
          <w:rFonts w:ascii="Times New Roman" w:eastAsia="Times New Roman" w:hAnsi="Times New Roman" w:cs="Times New Roman"/>
          <w:kern w:val="0"/>
          <w:sz w:val="20"/>
          <w:szCs w:val="20"/>
          <w14:ligatures w14:val="none"/>
        </w:rPr>
        <w:t xml:space="preserve">mRNA expression (EXP) </w:t>
      </w:r>
      <w:r w:rsidRPr="005B19D9">
        <w:rPr>
          <w:rFonts w:ascii="Times New Roman" w:eastAsia="Times New Roman" w:hAnsi="Times New Roman" w:cs="Times New Roman"/>
          <w:kern w:val="0"/>
          <w:sz w:val="20"/>
          <w:szCs w:val="20"/>
          <w14:ligatures w14:val="none"/>
        </w:rPr>
        <w:t>features.</w:t>
      </w:r>
    </w:p>
    <w:p w14:paraId="5BA78435" w14:textId="044E3A8A" w:rsidR="005B19D9" w:rsidRDefault="005B19D9" w:rsidP="005B19D9">
      <w:pPr>
        <w:spacing w:after="120" w:line="240" w:lineRule="auto"/>
        <w:rPr>
          <w:rFonts w:ascii="Times New Roman" w:eastAsia="Times New Roman" w:hAnsi="Times New Roman" w:cs="Times New Roman"/>
          <w:kern w:val="0"/>
          <w:sz w:val="20"/>
          <w:szCs w:val="20"/>
          <w14:ligatures w14:val="none"/>
        </w:rPr>
      </w:pPr>
      <w:r w:rsidRPr="005B19D9">
        <w:rPr>
          <w:rFonts w:ascii="Times New Roman" w:eastAsia="Times New Roman" w:hAnsi="Times New Roman" w:cs="Times New Roman"/>
          <w:b/>
          <w:bCs/>
          <w:kern w:val="0"/>
          <w:sz w:val="20"/>
          <w:szCs w:val="20"/>
          <w14:ligatures w14:val="none"/>
        </w:rPr>
        <w:t xml:space="preserve">Processed Data: </w:t>
      </w:r>
      <w:r w:rsidRPr="005B19D9">
        <w:rPr>
          <w:rFonts w:ascii="Times New Roman" w:eastAsia="Times New Roman" w:hAnsi="Times New Roman" w:cs="Times New Roman"/>
          <w:kern w:val="0"/>
          <w:sz w:val="20"/>
          <w:szCs w:val="20"/>
          <w14:ligatures w14:val="none"/>
        </w:rPr>
        <w:t>The processed datasets, common between multi-omics data, for KIRC, LGG, LUAD and LUSC consist of 360, 508, 498 and 473 samples, respectively, with 10,591 features. For patients’ survival classification, long-term survival (LTS) was defined as survival &gt; 3 years after diagnosis, while non-LTS was defined as survival of ≤ 3 years. Individuals whose last follow-up was ≤ 3 years were excluded from further analysis. Finally, the LTS group consists of 188, 153, 121, and 134 cases, while the non-LTS group had 61, 75, 123 and 140 cases for KIRC, LGG, LUAD and LUSC, respectively.</w:t>
      </w:r>
    </w:p>
    <w:p w14:paraId="1FFED788" w14:textId="77777777" w:rsidR="004432D2" w:rsidRDefault="004432D2" w:rsidP="005B19D9">
      <w:pPr>
        <w:spacing w:after="120" w:line="240" w:lineRule="auto"/>
        <w:rPr>
          <w:rFonts w:ascii="Times New Roman" w:eastAsia="Times New Roman" w:hAnsi="Times New Roman" w:cs="Times New Roman"/>
          <w:kern w:val="0"/>
          <w:sz w:val="20"/>
          <w:szCs w:val="20"/>
          <w14:ligatures w14:val="none"/>
        </w:rPr>
      </w:pPr>
    </w:p>
    <w:p w14:paraId="0EA8E3FF" w14:textId="6F706B14" w:rsidR="004432D2" w:rsidRDefault="004432D2" w:rsidP="005B19D9">
      <w:pPr>
        <w:spacing w:after="120"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Global Interpretation of Features:</w:t>
      </w:r>
    </w:p>
    <w:p w14:paraId="0A4EB9DE" w14:textId="25A39B9F" w:rsidR="003E1F15" w:rsidRDefault="00F870F7" w:rsidP="005B19D9">
      <w:pPr>
        <w:spacing w:after="120" w:line="240" w:lineRule="auto"/>
        <w:rPr>
          <w:rFonts w:ascii="Times New Roman" w:eastAsia="Times New Roman" w:hAnsi="Times New Roman" w:cs="Times New Roman"/>
          <w:kern w:val="0"/>
          <w:sz w:val="20"/>
          <w:szCs w:val="20"/>
          <w14:ligatures w14:val="none"/>
        </w:rPr>
      </w:pPr>
      <w:r>
        <w:rPr>
          <w:noProof/>
        </w:rPr>
        <w:drawing>
          <wp:inline distT="0" distB="0" distL="0" distR="0" wp14:anchorId="001E27B7" wp14:editId="031149C3">
            <wp:extent cx="5943600" cy="2416175"/>
            <wp:effectExtent l="19050" t="19050" r="19050" b="22225"/>
            <wp:docPr id="880918716" name="Picture 2"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18716" name="Picture 2" descr="A graph with blue and orange ba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16175"/>
                    </a:xfrm>
                    <a:prstGeom prst="rect">
                      <a:avLst/>
                    </a:prstGeom>
                    <a:noFill/>
                    <a:ln>
                      <a:solidFill>
                        <a:schemeClr val="accent1"/>
                      </a:solidFill>
                    </a:ln>
                  </pic:spPr>
                </pic:pic>
              </a:graphicData>
            </a:graphic>
          </wp:inline>
        </w:drawing>
      </w:r>
    </w:p>
    <w:p w14:paraId="02EE0C84" w14:textId="77777777" w:rsidR="009C5377" w:rsidRDefault="009C5377" w:rsidP="005B19D9">
      <w:pPr>
        <w:spacing w:after="120" w:line="240" w:lineRule="auto"/>
        <w:rPr>
          <w:rFonts w:ascii="Times New Roman" w:eastAsia="Times New Roman" w:hAnsi="Times New Roman" w:cs="Times New Roman"/>
          <w:kern w:val="0"/>
          <w:sz w:val="20"/>
          <w:szCs w:val="20"/>
          <w14:ligatures w14:val="none"/>
        </w:rPr>
      </w:pPr>
    </w:p>
    <w:p w14:paraId="4939F9C3" w14:textId="1A7F3237" w:rsidR="009C5377" w:rsidRDefault="00125B84" w:rsidP="005B19D9">
      <w:pPr>
        <w:spacing w:after="120" w:line="240" w:lineRule="auto"/>
        <w:rPr>
          <w:rFonts w:ascii="Times New Roman" w:eastAsia="Times New Roman" w:hAnsi="Times New Roman" w:cs="Times New Roman"/>
          <w:kern w:val="0"/>
          <w:sz w:val="20"/>
          <w:szCs w:val="20"/>
          <w14:ligatures w14:val="none"/>
        </w:rPr>
      </w:pPr>
      <w:r>
        <w:rPr>
          <w:noProof/>
        </w:rPr>
        <w:lastRenderedPageBreak/>
        <w:drawing>
          <wp:inline distT="0" distB="0" distL="0" distR="0" wp14:anchorId="2170CBA7" wp14:editId="4A76B8FB">
            <wp:extent cx="5943600" cy="2585720"/>
            <wp:effectExtent l="19050" t="19050" r="19050" b="24130"/>
            <wp:docPr id="1163930678" name="Picture 5" descr="A graph with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30678" name="Picture 5" descr="A graph with blue and white bar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85720"/>
                    </a:xfrm>
                    <a:prstGeom prst="rect">
                      <a:avLst/>
                    </a:prstGeom>
                    <a:noFill/>
                    <a:ln>
                      <a:solidFill>
                        <a:schemeClr val="accent1"/>
                      </a:solidFill>
                    </a:ln>
                  </pic:spPr>
                </pic:pic>
              </a:graphicData>
            </a:graphic>
          </wp:inline>
        </w:drawing>
      </w:r>
    </w:p>
    <w:p w14:paraId="785F4383" w14:textId="4B5E0E75" w:rsidR="009C5377" w:rsidRDefault="00125B84" w:rsidP="005B19D9">
      <w:pPr>
        <w:spacing w:after="120" w:line="240" w:lineRule="auto"/>
        <w:rPr>
          <w:rFonts w:ascii="Times New Roman" w:eastAsia="Times New Roman" w:hAnsi="Times New Roman" w:cs="Times New Roman"/>
          <w:kern w:val="0"/>
          <w:sz w:val="20"/>
          <w:szCs w:val="20"/>
          <w14:ligatures w14:val="none"/>
        </w:rPr>
      </w:pPr>
      <w:r>
        <w:rPr>
          <w:noProof/>
        </w:rPr>
        <w:drawing>
          <wp:inline distT="0" distB="0" distL="0" distR="0" wp14:anchorId="616EF0DE" wp14:editId="53D917E6">
            <wp:extent cx="5943600" cy="2614295"/>
            <wp:effectExtent l="19050" t="19050" r="19050" b="14605"/>
            <wp:docPr id="1403446823" name="Picture 4" descr="A graph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46823" name="Picture 4" descr="A graph of numbers and lette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14295"/>
                    </a:xfrm>
                    <a:prstGeom prst="rect">
                      <a:avLst/>
                    </a:prstGeom>
                    <a:noFill/>
                    <a:ln>
                      <a:solidFill>
                        <a:schemeClr val="accent1"/>
                      </a:solidFill>
                    </a:ln>
                  </pic:spPr>
                </pic:pic>
              </a:graphicData>
            </a:graphic>
          </wp:inline>
        </w:drawing>
      </w:r>
    </w:p>
    <w:p w14:paraId="48B34517" w14:textId="77777777" w:rsidR="009C5377" w:rsidRDefault="009C5377" w:rsidP="005B19D9">
      <w:pPr>
        <w:spacing w:after="120" w:line="240" w:lineRule="auto"/>
        <w:rPr>
          <w:rFonts w:ascii="Times New Roman" w:eastAsia="Times New Roman" w:hAnsi="Times New Roman" w:cs="Times New Roman"/>
          <w:kern w:val="0"/>
          <w:sz w:val="20"/>
          <w:szCs w:val="20"/>
          <w14:ligatures w14:val="none"/>
        </w:rPr>
      </w:pPr>
    </w:p>
    <w:p w14:paraId="44E319DF" w14:textId="77777777" w:rsidR="009C5377" w:rsidRDefault="009C5377" w:rsidP="005B19D9">
      <w:pPr>
        <w:spacing w:after="120" w:line="240" w:lineRule="auto"/>
        <w:rPr>
          <w:rFonts w:ascii="Times New Roman" w:eastAsia="Times New Roman" w:hAnsi="Times New Roman" w:cs="Times New Roman"/>
          <w:kern w:val="0"/>
          <w:sz w:val="20"/>
          <w:szCs w:val="20"/>
          <w14:ligatures w14:val="none"/>
        </w:rPr>
      </w:pPr>
    </w:p>
    <w:p w14:paraId="494B98B7" w14:textId="540D1E89" w:rsidR="002B7E01" w:rsidRDefault="00E26A43" w:rsidP="005B19D9">
      <w:pPr>
        <w:spacing w:after="120" w:line="240" w:lineRule="auto"/>
        <w:rPr>
          <w:rFonts w:ascii="Times New Roman" w:eastAsia="Times New Roman" w:hAnsi="Times New Roman" w:cs="Times New Roman"/>
          <w:b/>
          <w:bCs/>
          <w:kern w:val="0"/>
          <w:sz w:val="20"/>
          <w:szCs w:val="20"/>
          <w14:ligatures w14:val="none"/>
        </w:rPr>
      </w:pPr>
      <w:r w:rsidRPr="00E26A43">
        <w:rPr>
          <w:rFonts w:ascii="Times" w:eastAsia="Times New Roman" w:hAnsi="Times" w:cs="Times New Roman"/>
          <w:noProof/>
          <w:kern w:val="0"/>
          <w:sz w:val="20"/>
          <w:szCs w:val="24"/>
          <w14:ligatures w14:val="none"/>
        </w:rPr>
        <mc:AlternateContent>
          <mc:Choice Requires="wps">
            <w:drawing>
              <wp:anchor distT="45720" distB="45720" distL="114300" distR="114300" simplePos="0" relativeHeight="251659264" behindDoc="0" locked="0" layoutInCell="1" allowOverlap="1" wp14:anchorId="2D4A52CC" wp14:editId="7DD0AE3A">
                <wp:simplePos x="0" y="0"/>
                <wp:positionH relativeFrom="column">
                  <wp:posOffset>45720</wp:posOffset>
                </wp:positionH>
                <wp:positionV relativeFrom="paragraph">
                  <wp:posOffset>200660</wp:posOffset>
                </wp:positionV>
                <wp:extent cx="4907280" cy="2032000"/>
                <wp:effectExtent l="0" t="0" r="26670" b="25400"/>
                <wp:wrapSquare wrapText="bothSides"/>
                <wp:docPr id="1577218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2032000"/>
                        </a:xfrm>
                        <a:prstGeom prst="rect">
                          <a:avLst/>
                        </a:prstGeom>
                        <a:solidFill>
                          <a:srgbClr val="FFFFFF"/>
                        </a:solidFill>
                        <a:ln w="9525">
                          <a:solidFill>
                            <a:srgbClr val="000000"/>
                          </a:solidFill>
                          <a:miter lim="800000"/>
                          <a:headEnd/>
                          <a:tailEnd/>
                        </a:ln>
                      </wps:spPr>
                      <wps:txbx>
                        <w:txbxContent>
                          <w:p w14:paraId="189BF177" w14:textId="77777777" w:rsidR="00E26A43" w:rsidRDefault="00E26A43" w:rsidP="00E26A43">
                            <w:pPr>
                              <w:spacing w:line="240" w:lineRule="auto"/>
                              <w:jc w:val="center"/>
                            </w:pPr>
                            <w:r w:rsidRPr="0094128C">
                              <w:rPr>
                                <w:noProof/>
                              </w:rPr>
                              <w:drawing>
                                <wp:inline distT="0" distB="0" distL="0" distR="0" wp14:anchorId="27658B85" wp14:editId="6EDFE2AE">
                                  <wp:extent cx="4460062" cy="1508760"/>
                                  <wp:effectExtent l="0" t="0" r="0" b="0"/>
                                  <wp:docPr id="61427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167" cy="1513870"/>
                                          </a:xfrm>
                                          <a:prstGeom prst="rect">
                                            <a:avLst/>
                                          </a:prstGeom>
                                          <a:noFill/>
                                          <a:ln>
                                            <a:noFill/>
                                          </a:ln>
                                        </pic:spPr>
                                      </pic:pic>
                                    </a:graphicData>
                                  </a:graphic>
                                </wp:inline>
                              </w:drawing>
                            </w:r>
                          </w:p>
                          <w:p w14:paraId="318B30C2" w14:textId="76E70BAC" w:rsidR="00E26A43" w:rsidRPr="00A337CF" w:rsidRDefault="00E26A43" w:rsidP="00E26A43">
                            <w:pPr>
                              <w:pStyle w:val="FigureCaption"/>
                              <w:spacing w:before="0" w:after="360"/>
                              <w:rPr>
                                <w:sz w:val="13"/>
                                <w:szCs w:val="13"/>
                              </w:rPr>
                            </w:pPr>
                            <w:r w:rsidRPr="00BE5EE2">
                              <w:rPr>
                                <w:b/>
                                <w:bCs/>
                                <w:sz w:val="13"/>
                                <w:szCs w:val="13"/>
                              </w:rPr>
                              <w:t>Fig</w:t>
                            </w:r>
                            <w:r>
                              <w:rPr>
                                <w:b/>
                                <w:bCs/>
                                <w:sz w:val="13"/>
                                <w:szCs w:val="13"/>
                              </w:rPr>
                              <w:t>ure:</w:t>
                            </w:r>
                            <w:r w:rsidRPr="00BE5EE2">
                              <w:rPr>
                                <w:b/>
                                <w:bCs/>
                                <w:sz w:val="13"/>
                                <w:szCs w:val="13"/>
                              </w:rPr>
                              <w:t> </w:t>
                            </w:r>
                            <w:r w:rsidRPr="00A337CF">
                              <w:t xml:space="preserve"> </w:t>
                            </w:r>
                            <w:r w:rsidRPr="00A337CF">
                              <w:rPr>
                                <w:b/>
                                <w:bCs/>
                                <w:sz w:val="13"/>
                                <w:szCs w:val="13"/>
                              </w:rPr>
                              <w:t>Significant Genes in Common Pathways Across LTS and Non-LTS Groups</w:t>
                            </w:r>
                            <w:r>
                              <w:rPr>
                                <w:b/>
                                <w:bCs/>
                                <w:sz w:val="13"/>
                                <w:szCs w:val="13"/>
                              </w:rPr>
                              <w:t xml:space="preserve"> of GBM</w:t>
                            </w:r>
                            <w:r w:rsidRPr="00A337CF">
                              <w:rPr>
                                <w:b/>
                                <w:bCs/>
                                <w:sz w:val="13"/>
                                <w:szCs w:val="13"/>
                              </w:rPr>
                              <w:t xml:space="preserve">. </w:t>
                            </w:r>
                            <w:r w:rsidRPr="00A337CF">
                              <w:rPr>
                                <w:sz w:val="13"/>
                                <w:szCs w:val="13"/>
                              </w:rPr>
                              <w:t xml:space="preserve">The significant genes were identified using the </w:t>
                            </w:r>
                            <w:proofErr w:type="spellStart"/>
                            <w:r w:rsidRPr="00A337CF">
                              <w:rPr>
                                <w:sz w:val="13"/>
                                <w:szCs w:val="13"/>
                              </w:rPr>
                              <w:t>CoxPH</w:t>
                            </w:r>
                            <w:proofErr w:type="spellEnd"/>
                            <w:r w:rsidRPr="00A337CF">
                              <w:rPr>
                                <w:sz w:val="13"/>
                                <w:szCs w:val="13"/>
                              </w:rPr>
                              <w:t xml:space="preserve"> model, with a significance threshold of p-value &lt; 0.01.</w:t>
                            </w:r>
                          </w:p>
                          <w:p w14:paraId="43DA43BD" w14:textId="77777777" w:rsidR="00E26A43" w:rsidRDefault="00E26A43" w:rsidP="00E26A43">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4A52CC" id="_x0000_t202" coordsize="21600,21600" o:spt="202" path="m,l,21600r21600,l21600,xe">
                <v:stroke joinstyle="miter"/>
                <v:path gradientshapeok="t" o:connecttype="rect"/>
              </v:shapetype>
              <v:shape id="Text Box 2" o:spid="_x0000_s1026" type="#_x0000_t202" style="position:absolute;margin-left:3.6pt;margin-top:15.8pt;width:386.4pt;height:16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">
                <v:textbox>
                  <w:txbxContent>
                    <w:p w14:paraId="189BF177" w14:textId="77777777" w:rsidR="00E26A43" w:rsidRDefault="00E26A43" w:rsidP="00E26A43">
                      <w:pPr>
                        <w:spacing w:line="240" w:lineRule="auto"/>
                        <w:jc w:val="center"/>
                      </w:pPr>
                      <w:r w:rsidRPr="0094128C">
                        <w:rPr>
                          <w:noProof/>
                        </w:rPr>
                        <w:drawing>
                          <wp:inline distT="0" distB="0" distL="0" distR="0" wp14:anchorId="27658B85" wp14:editId="6EDFE2AE">
                            <wp:extent cx="4460062" cy="1508760"/>
                            <wp:effectExtent l="0" t="0" r="0" b="0"/>
                            <wp:docPr id="61427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167" cy="1513870"/>
                                    </a:xfrm>
                                    <a:prstGeom prst="rect">
                                      <a:avLst/>
                                    </a:prstGeom>
                                    <a:noFill/>
                                    <a:ln>
                                      <a:noFill/>
                                    </a:ln>
                                  </pic:spPr>
                                </pic:pic>
                              </a:graphicData>
                            </a:graphic>
                          </wp:inline>
                        </w:drawing>
                      </w:r>
                    </w:p>
                    <w:p w14:paraId="318B30C2" w14:textId="76E70BAC" w:rsidR="00E26A43" w:rsidRPr="00A337CF" w:rsidRDefault="00E26A43" w:rsidP="00E26A43">
                      <w:pPr>
                        <w:pStyle w:val="FigureCaption"/>
                        <w:spacing w:before="0" w:after="360"/>
                        <w:rPr>
                          <w:sz w:val="13"/>
                          <w:szCs w:val="13"/>
                        </w:rPr>
                      </w:pPr>
                      <w:r w:rsidRPr="00BE5EE2">
                        <w:rPr>
                          <w:b/>
                          <w:bCs/>
                          <w:sz w:val="13"/>
                          <w:szCs w:val="13"/>
                        </w:rPr>
                        <w:t>Fig</w:t>
                      </w:r>
                      <w:r>
                        <w:rPr>
                          <w:b/>
                          <w:bCs/>
                          <w:sz w:val="13"/>
                          <w:szCs w:val="13"/>
                        </w:rPr>
                        <w:t>ure:</w:t>
                      </w:r>
                      <w:r w:rsidRPr="00BE5EE2">
                        <w:rPr>
                          <w:b/>
                          <w:bCs/>
                          <w:sz w:val="13"/>
                          <w:szCs w:val="13"/>
                        </w:rPr>
                        <w:t> </w:t>
                      </w:r>
                      <w:r w:rsidRPr="00A337CF">
                        <w:t xml:space="preserve"> </w:t>
                      </w:r>
                      <w:r w:rsidRPr="00A337CF">
                        <w:rPr>
                          <w:b/>
                          <w:bCs/>
                          <w:sz w:val="13"/>
                          <w:szCs w:val="13"/>
                        </w:rPr>
                        <w:t>Significant Genes in Common Pathways Across LTS and Non-LTS Groups</w:t>
                      </w:r>
                      <w:r>
                        <w:rPr>
                          <w:b/>
                          <w:bCs/>
                          <w:sz w:val="13"/>
                          <w:szCs w:val="13"/>
                        </w:rPr>
                        <w:t xml:space="preserve"> of GBM</w:t>
                      </w:r>
                      <w:r w:rsidRPr="00A337CF">
                        <w:rPr>
                          <w:b/>
                          <w:bCs/>
                          <w:sz w:val="13"/>
                          <w:szCs w:val="13"/>
                        </w:rPr>
                        <w:t xml:space="preserve">. </w:t>
                      </w:r>
                      <w:r w:rsidRPr="00A337CF">
                        <w:rPr>
                          <w:sz w:val="13"/>
                          <w:szCs w:val="13"/>
                        </w:rPr>
                        <w:t xml:space="preserve">The significant genes were identified using the </w:t>
                      </w:r>
                      <w:proofErr w:type="spellStart"/>
                      <w:r w:rsidRPr="00A337CF">
                        <w:rPr>
                          <w:sz w:val="13"/>
                          <w:szCs w:val="13"/>
                        </w:rPr>
                        <w:t>CoxPH</w:t>
                      </w:r>
                      <w:proofErr w:type="spellEnd"/>
                      <w:r w:rsidRPr="00A337CF">
                        <w:rPr>
                          <w:sz w:val="13"/>
                          <w:szCs w:val="13"/>
                        </w:rPr>
                        <w:t xml:space="preserve"> model, with a significance threshold of p-value &lt; 0.01.</w:t>
                      </w:r>
                    </w:p>
                    <w:p w14:paraId="43DA43BD" w14:textId="77777777" w:rsidR="00E26A43" w:rsidRDefault="00E26A43" w:rsidP="00E26A43">
                      <w:pPr>
                        <w:spacing w:line="240" w:lineRule="auto"/>
                        <w:jc w:val="center"/>
                      </w:pPr>
                    </w:p>
                  </w:txbxContent>
                </v:textbox>
                <w10:wrap type="square"/>
              </v:shape>
            </w:pict>
          </mc:Fallback>
        </mc:AlternateContent>
      </w:r>
      <w:r>
        <w:rPr>
          <w:rFonts w:ascii="Times New Roman" w:eastAsia="Times New Roman" w:hAnsi="Times New Roman" w:cs="Times New Roman"/>
          <w:b/>
          <w:bCs/>
          <w:kern w:val="0"/>
          <w:sz w:val="20"/>
          <w:szCs w:val="20"/>
          <w14:ligatures w14:val="none"/>
        </w:rPr>
        <w:t>Significant Genes in the Significant Pathways (Section 3.6)</w:t>
      </w:r>
    </w:p>
    <w:p w14:paraId="24B784B9" w14:textId="4C78DEEE" w:rsidR="00E26A43" w:rsidRPr="00E26A43" w:rsidRDefault="00E26A43" w:rsidP="005B19D9">
      <w:pPr>
        <w:spacing w:after="120" w:line="240" w:lineRule="auto"/>
        <w:rPr>
          <w:rFonts w:ascii="Times New Roman" w:eastAsia="Times New Roman" w:hAnsi="Times New Roman" w:cs="Times New Roman"/>
          <w:kern w:val="0"/>
          <w:sz w:val="20"/>
          <w:szCs w:val="20"/>
          <w14:ligatures w14:val="none"/>
        </w:rPr>
      </w:pPr>
    </w:p>
    <w:p w14:paraId="4993EF00" w14:textId="77777777" w:rsidR="005B19D9" w:rsidRDefault="005B19D9" w:rsidP="005B19D9">
      <w:pPr>
        <w:spacing w:after="120" w:line="240" w:lineRule="auto"/>
        <w:rPr>
          <w:rFonts w:ascii="Times New Roman" w:eastAsia="Times New Roman" w:hAnsi="Times New Roman" w:cs="Times New Roman"/>
          <w:kern w:val="0"/>
          <w:sz w:val="20"/>
          <w:szCs w:val="20"/>
          <w14:ligatures w14:val="none"/>
        </w:rPr>
      </w:pPr>
    </w:p>
    <w:p w14:paraId="246B287F" w14:textId="77777777" w:rsidR="005B19D9" w:rsidRDefault="005B19D9" w:rsidP="005B19D9">
      <w:pPr>
        <w:spacing w:after="120" w:line="240" w:lineRule="auto"/>
        <w:rPr>
          <w:rFonts w:ascii="Times New Roman" w:eastAsia="Times New Roman" w:hAnsi="Times New Roman" w:cs="Times New Roman"/>
          <w:kern w:val="0"/>
          <w:sz w:val="20"/>
          <w:szCs w:val="20"/>
          <w14:ligatures w14:val="none"/>
        </w:rPr>
      </w:pPr>
    </w:p>
    <w:p w14:paraId="397EFF8B" w14:textId="77777777" w:rsidR="005B19D9" w:rsidRDefault="005B19D9" w:rsidP="005B19D9">
      <w:pPr>
        <w:spacing w:after="120" w:line="240" w:lineRule="auto"/>
        <w:rPr>
          <w:rFonts w:ascii="Times New Roman" w:eastAsia="Times New Roman" w:hAnsi="Times New Roman" w:cs="Times New Roman"/>
          <w:kern w:val="0"/>
          <w:sz w:val="20"/>
          <w:szCs w:val="20"/>
          <w14:ligatures w14:val="none"/>
        </w:rPr>
      </w:pPr>
    </w:p>
    <w:p w14:paraId="7BA9AB7E" w14:textId="77777777" w:rsidR="00E26A43" w:rsidRDefault="00E26A43" w:rsidP="005B19D9">
      <w:pPr>
        <w:spacing w:after="120" w:line="240" w:lineRule="auto"/>
        <w:rPr>
          <w:rFonts w:ascii="Times New Roman" w:eastAsia="Times New Roman" w:hAnsi="Times New Roman" w:cs="Times New Roman"/>
          <w:kern w:val="0"/>
          <w:sz w:val="20"/>
          <w:szCs w:val="20"/>
          <w14:ligatures w14:val="none"/>
        </w:rPr>
      </w:pPr>
    </w:p>
    <w:p w14:paraId="2294BDB5" w14:textId="77777777" w:rsidR="00E26A43" w:rsidRDefault="00E26A43" w:rsidP="005B19D9">
      <w:pPr>
        <w:spacing w:after="120" w:line="240" w:lineRule="auto"/>
        <w:rPr>
          <w:rFonts w:ascii="Times New Roman" w:eastAsia="Times New Roman" w:hAnsi="Times New Roman" w:cs="Times New Roman"/>
          <w:kern w:val="0"/>
          <w:sz w:val="20"/>
          <w:szCs w:val="20"/>
          <w14:ligatures w14:val="none"/>
        </w:rPr>
      </w:pPr>
    </w:p>
    <w:p w14:paraId="5C084B68" w14:textId="77777777" w:rsidR="00E26A43" w:rsidRDefault="00E26A43" w:rsidP="005B19D9">
      <w:pPr>
        <w:spacing w:after="120" w:line="240" w:lineRule="auto"/>
        <w:rPr>
          <w:rFonts w:ascii="Times New Roman" w:eastAsia="Times New Roman" w:hAnsi="Times New Roman" w:cs="Times New Roman"/>
          <w:kern w:val="0"/>
          <w:sz w:val="20"/>
          <w:szCs w:val="20"/>
          <w14:ligatures w14:val="none"/>
        </w:rPr>
      </w:pPr>
    </w:p>
    <w:p w14:paraId="365C3FF4" w14:textId="77777777" w:rsidR="00A147CC" w:rsidRDefault="00A147CC" w:rsidP="00E26A43">
      <w:pPr>
        <w:spacing w:after="120" w:line="240" w:lineRule="auto"/>
        <w:jc w:val="both"/>
        <w:rPr>
          <w:rFonts w:ascii="Times New Roman" w:eastAsia="Times New Roman" w:hAnsi="Times New Roman" w:cs="Times New Roman"/>
          <w:kern w:val="0"/>
          <w:sz w:val="20"/>
          <w:szCs w:val="20"/>
          <w14:ligatures w14:val="none"/>
        </w:rPr>
      </w:pPr>
    </w:p>
    <w:p w14:paraId="179A8914" w14:textId="77777777" w:rsidR="00A147CC" w:rsidRDefault="00A147CC" w:rsidP="00E26A43">
      <w:pPr>
        <w:spacing w:after="120" w:line="240" w:lineRule="auto"/>
        <w:jc w:val="both"/>
        <w:rPr>
          <w:rFonts w:ascii="Times New Roman" w:eastAsia="Times New Roman" w:hAnsi="Times New Roman" w:cs="Times New Roman"/>
          <w:kern w:val="0"/>
          <w:sz w:val="20"/>
          <w:szCs w:val="20"/>
          <w14:ligatures w14:val="none"/>
        </w:rPr>
      </w:pPr>
    </w:p>
    <w:p w14:paraId="1E5E3C2F" w14:textId="77777777" w:rsidR="00A147CC" w:rsidRDefault="00A147CC" w:rsidP="00E26A43">
      <w:pPr>
        <w:spacing w:after="120" w:line="240" w:lineRule="auto"/>
        <w:jc w:val="both"/>
        <w:rPr>
          <w:rFonts w:ascii="Times New Roman" w:eastAsia="Times New Roman" w:hAnsi="Times New Roman" w:cs="Times New Roman"/>
          <w:kern w:val="0"/>
          <w:sz w:val="20"/>
          <w:szCs w:val="20"/>
          <w14:ligatures w14:val="none"/>
        </w:rPr>
      </w:pPr>
    </w:p>
    <w:p w14:paraId="03703FF7" w14:textId="1E898FCC"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r w:rsidRPr="00E26A43">
        <w:rPr>
          <w:rFonts w:ascii="Times New Roman" w:eastAsia="Times New Roman" w:hAnsi="Times New Roman" w:cs="Times New Roman"/>
          <w:kern w:val="0"/>
          <w:sz w:val="20"/>
          <w:szCs w:val="20"/>
          <w14:ligatures w14:val="none"/>
        </w:rPr>
        <w:t>This Figure presents the significant genes identified in biological pathways common to both Long-Term Survival (LTS) and Non-Long-Term Survival (non-LTS) groups of Glioblastoma Multiforme (GBM). The analysis was performed using the Cox Proportional Hazards (</w:t>
      </w:r>
      <w:proofErr w:type="spellStart"/>
      <w:r w:rsidRPr="00E26A43">
        <w:rPr>
          <w:rFonts w:ascii="Times New Roman" w:eastAsia="Times New Roman" w:hAnsi="Times New Roman" w:cs="Times New Roman"/>
          <w:kern w:val="0"/>
          <w:sz w:val="20"/>
          <w:szCs w:val="20"/>
          <w14:ligatures w14:val="none"/>
        </w:rPr>
        <w:t>CoxPH</w:t>
      </w:r>
      <w:proofErr w:type="spellEnd"/>
      <w:r w:rsidRPr="00E26A43">
        <w:rPr>
          <w:rFonts w:ascii="Times New Roman" w:eastAsia="Times New Roman" w:hAnsi="Times New Roman" w:cs="Times New Roman"/>
          <w:kern w:val="0"/>
          <w:sz w:val="20"/>
          <w:szCs w:val="20"/>
          <w14:ligatures w14:val="none"/>
        </w:rPr>
        <w:t>) model. To determine significance, a threshold of p-value &lt; 0.01 was applied. The table is structured into four columns: (1) Common Pathways, which lists pathways shared between LTS and non-LTS groups, (2) Significant Genes, showing the genes identified as significant predictors of survival within each pathway, (3) # Significant Genes, representing the count of statistically significant genes in each pathway, and (4) Total # Genes in the Pathway, which provides the total number of genes annotated to the respective pathway. The MAPK signaling pathway contains the highest number of significant genes, followed by the Calcium signaling pathway, Oocyte meiosis, B cell receptor signaling, and JAK-STAT signaling pathways, with 45, 8, 7, 3, and 1 significant gene, respectively.</w:t>
      </w:r>
    </w:p>
    <w:p w14:paraId="0E199847" w14:textId="59B4E271"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Forest Plot for these Significant genes with Hazard ratio and 95% Confidence Interval is shown in following figures:</w:t>
      </w:r>
    </w:p>
    <w:p w14:paraId="7A4DA274" w14:textId="2DC9CF3A"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14:ligatures w14:val="none"/>
        </w:rPr>
        <w:drawing>
          <wp:inline distT="0" distB="0" distL="0" distR="0" wp14:anchorId="70D2B5EC" wp14:editId="4DA9611F">
            <wp:extent cx="5793105" cy="1391716"/>
            <wp:effectExtent l="19050" t="19050" r="17145" b="18415"/>
            <wp:docPr id="182308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4234" cy="1399194"/>
                    </a:xfrm>
                    <a:prstGeom prst="rect">
                      <a:avLst/>
                    </a:prstGeom>
                    <a:noFill/>
                    <a:ln>
                      <a:solidFill>
                        <a:schemeClr val="accent1"/>
                      </a:solidFill>
                    </a:ln>
                  </pic:spPr>
                </pic:pic>
              </a:graphicData>
            </a:graphic>
          </wp:inline>
        </w:drawing>
      </w:r>
    </w:p>
    <w:p w14:paraId="6D2836E7" w14:textId="77777777"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p>
    <w:p w14:paraId="37F52908" w14:textId="6CB37848"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14:ligatures w14:val="none"/>
        </w:rPr>
        <w:drawing>
          <wp:inline distT="0" distB="0" distL="0" distR="0" wp14:anchorId="71FC2A7D" wp14:editId="3D4B5448">
            <wp:extent cx="5762055" cy="2722880"/>
            <wp:effectExtent l="19050" t="19050" r="10160" b="20320"/>
            <wp:docPr id="169785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2228" cy="2732413"/>
                    </a:xfrm>
                    <a:prstGeom prst="rect">
                      <a:avLst/>
                    </a:prstGeom>
                    <a:noFill/>
                    <a:ln>
                      <a:solidFill>
                        <a:schemeClr val="accent1"/>
                      </a:solidFill>
                    </a:ln>
                  </pic:spPr>
                </pic:pic>
              </a:graphicData>
            </a:graphic>
          </wp:inline>
        </w:drawing>
      </w:r>
    </w:p>
    <w:p w14:paraId="0D4EA488" w14:textId="77777777"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p>
    <w:p w14:paraId="5EA58D7D" w14:textId="4C84ECC9"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14:ligatures w14:val="none"/>
        </w:rPr>
        <w:drawing>
          <wp:inline distT="0" distB="0" distL="0" distR="0" wp14:anchorId="548847A4" wp14:editId="578CE448">
            <wp:extent cx="5854065" cy="916288"/>
            <wp:effectExtent l="19050" t="19050" r="13335" b="17780"/>
            <wp:docPr id="1593423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3513" cy="919332"/>
                    </a:xfrm>
                    <a:prstGeom prst="rect">
                      <a:avLst/>
                    </a:prstGeom>
                    <a:noFill/>
                    <a:ln>
                      <a:solidFill>
                        <a:schemeClr val="accent1"/>
                      </a:solidFill>
                    </a:ln>
                  </pic:spPr>
                </pic:pic>
              </a:graphicData>
            </a:graphic>
          </wp:inline>
        </w:drawing>
      </w:r>
    </w:p>
    <w:p w14:paraId="56919968" w14:textId="77777777"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p>
    <w:p w14:paraId="5D0A2231" w14:textId="3F197310" w:rsidR="00E26A43" w:rsidRDefault="00E26A43" w:rsidP="00E26A43">
      <w:pPr>
        <w:spacing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14:ligatures w14:val="none"/>
        </w:rPr>
        <w:lastRenderedPageBreak/>
        <w:drawing>
          <wp:inline distT="0" distB="0" distL="0" distR="0" wp14:anchorId="095C744F" wp14:editId="6B81016E">
            <wp:extent cx="5878070" cy="8827770"/>
            <wp:effectExtent l="19050" t="19050" r="27940" b="11430"/>
            <wp:docPr id="8407495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0274" cy="8891152"/>
                    </a:xfrm>
                    <a:prstGeom prst="rect">
                      <a:avLst/>
                    </a:prstGeom>
                    <a:noFill/>
                    <a:ln>
                      <a:solidFill>
                        <a:schemeClr val="accent1"/>
                      </a:solidFill>
                    </a:ln>
                  </pic:spPr>
                </pic:pic>
              </a:graphicData>
            </a:graphic>
          </wp:inline>
        </w:drawing>
      </w:r>
    </w:p>
    <w:p w14:paraId="3A9C8D8E" w14:textId="2DB888D8" w:rsidR="00E26A43" w:rsidRPr="00E26A43" w:rsidRDefault="00E26A43" w:rsidP="00E26A43">
      <w:pPr>
        <w:spacing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14:ligatures w14:val="none"/>
        </w:rPr>
        <w:lastRenderedPageBreak/>
        <w:drawing>
          <wp:inline distT="0" distB="0" distL="0" distR="0" wp14:anchorId="1E5F6B93" wp14:editId="1FAD3DE7">
            <wp:extent cx="5914207" cy="2475230"/>
            <wp:effectExtent l="19050" t="19050" r="10795" b="20320"/>
            <wp:docPr id="12673156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548" cy="2484162"/>
                    </a:xfrm>
                    <a:prstGeom prst="rect">
                      <a:avLst/>
                    </a:prstGeom>
                    <a:noFill/>
                    <a:ln>
                      <a:solidFill>
                        <a:schemeClr val="accent1"/>
                      </a:solidFill>
                    </a:ln>
                  </pic:spPr>
                </pic:pic>
              </a:graphicData>
            </a:graphic>
          </wp:inline>
        </w:drawing>
      </w:r>
    </w:p>
    <w:p w14:paraId="30026E31" w14:textId="77777777" w:rsidR="00E26A43" w:rsidRDefault="00E26A43" w:rsidP="005B19D9">
      <w:pPr>
        <w:spacing w:after="120" w:line="240" w:lineRule="auto"/>
        <w:rPr>
          <w:rFonts w:ascii="Times New Roman" w:eastAsia="Times New Roman" w:hAnsi="Times New Roman" w:cs="Times New Roman"/>
          <w:kern w:val="0"/>
          <w:sz w:val="20"/>
          <w:szCs w:val="20"/>
          <w14:ligatures w14:val="none"/>
        </w:rPr>
      </w:pPr>
    </w:p>
    <w:p w14:paraId="1B9C5F04" w14:textId="4541ABFF" w:rsidR="005B19D9" w:rsidRDefault="005B19D9" w:rsidP="005B19D9">
      <w:pPr>
        <w:spacing w:after="12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References</w:t>
      </w:r>
    </w:p>
    <w:p w14:paraId="70D44444" w14:textId="2E04EFCB" w:rsidR="005B19D9" w:rsidRPr="005B19D9" w:rsidRDefault="005B19D9" w:rsidP="005B19D9">
      <w:pPr>
        <w:widowControl w:val="0"/>
        <w:autoSpaceDE w:val="0"/>
        <w:autoSpaceDN w:val="0"/>
        <w:adjustRightInd w:val="0"/>
        <w:spacing w:after="120" w:line="240" w:lineRule="auto"/>
        <w:ind w:left="640" w:hanging="640"/>
        <w:rPr>
          <w:rFonts w:ascii="Times New Roman" w:hAnsi="Times New Roman" w:cs="Times New Roman"/>
          <w:noProof/>
          <w:sz w:val="20"/>
        </w:rPr>
      </w:pPr>
      <w:r>
        <w:rPr>
          <w:rFonts w:ascii="Times New Roman" w:hAnsi="Times New Roman" w:cs="Times New Roman"/>
          <w:b/>
          <w:bCs/>
          <w:sz w:val="20"/>
          <w:szCs w:val="20"/>
        </w:rPr>
        <w:fldChar w:fldCharType="begin" w:fldLock="1"/>
      </w:r>
      <w:r>
        <w:rPr>
          <w:rFonts w:ascii="Times New Roman" w:hAnsi="Times New Roman" w:cs="Times New Roman"/>
          <w:b/>
          <w:bCs/>
          <w:sz w:val="20"/>
          <w:szCs w:val="20"/>
        </w:rPr>
        <w:instrText xml:space="preserve">ADDIN Mendeley Bibliography CSL_BIBLIOGRAPHY </w:instrText>
      </w:r>
      <w:r>
        <w:rPr>
          <w:rFonts w:ascii="Times New Roman" w:hAnsi="Times New Roman" w:cs="Times New Roman"/>
          <w:b/>
          <w:bCs/>
          <w:sz w:val="20"/>
          <w:szCs w:val="20"/>
        </w:rPr>
        <w:fldChar w:fldCharType="separate"/>
      </w:r>
      <w:r w:rsidRPr="005B19D9">
        <w:rPr>
          <w:rFonts w:ascii="Times New Roman" w:hAnsi="Times New Roman" w:cs="Times New Roman"/>
          <w:noProof/>
          <w:kern w:val="0"/>
          <w:sz w:val="20"/>
        </w:rPr>
        <w:t>[1]</w:t>
      </w:r>
      <w:r w:rsidRPr="005B19D9">
        <w:rPr>
          <w:rFonts w:ascii="Times New Roman" w:hAnsi="Times New Roman" w:cs="Times New Roman"/>
          <w:noProof/>
          <w:kern w:val="0"/>
          <w:sz w:val="20"/>
        </w:rPr>
        <w:tab/>
        <w:t xml:space="preserve">C. H. Mermel, S. E. Schumacher, B. Hill, M. L. Meyerson, R. Beroukhim, and G. Getz, “GISTIC2.0 facilitates sensitive and confident localization of the targets of focal somatic copy-number alteration in human cancers,” </w:t>
      </w:r>
      <w:r w:rsidRPr="005B19D9">
        <w:rPr>
          <w:rFonts w:ascii="Times New Roman" w:hAnsi="Times New Roman" w:cs="Times New Roman"/>
          <w:i/>
          <w:iCs/>
          <w:noProof/>
          <w:kern w:val="0"/>
          <w:sz w:val="20"/>
        </w:rPr>
        <w:t>Genome Biol.</w:t>
      </w:r>
      <w:r w:rsidRPr="005B19D9">
        <w:rPr>
          <w:rFonts w:ascii="Times New Roman" w:hAnsi="Times New Roman" w:cs="Times New Roman"/>
          <w:noProof/>
          <w:kern w:val="0"/>
          <w:sz w:val="20"/>
        </w:rPr>
        <w:t>, vol. 12, no. 4, pp. 1–14, Apr. 2011.</w:t>
      </w:r>
    </w:p>
    <w:p w14:paraId="0608A574" w14:textId="1DCF1FD5" w:rsidR="005B19D9" w:rsidRPr="005B19D9" w:rsidRDefault="005B19D9" w:rsidP="005B19D9">
      <w:pPr>
        <w:spacing w:after="120" w:line="240" w:lineRule="auto"/>
        <w:rPr>
          <w:rFonts w:ascii="Times New Roman" w:hAnsi="Times New Roman" w:cs="Times New Roman"/>
          <w:b/>
          <w:bCs/>
          <w:sz w:val="20"/>
          <w:szCs w:val="20"/>
        </w:rPr>
      </w:pPr>
      <w:r>
        <w:rPr>
          <w:rFonts w:ascii="Times New Roman" w:hAnsi="Times New Roman" w:cs="Times New Roman"/>
          <w:b/>
          <w:bCs/>
          <w:sz w:val="20"/>
          <w:szCs w:val="20"/>
        </w:rPr>
        <w:fldChar w:fldCharType="end"/>
      </w:r>
    </w:p>
    <w:p w14:paraId="184877DF" w14:textId="77777777" w:rsidR="00451714" w:rsidRPr="00C46B49" w:rsidRDefault="00451714">
      <w:pPr>
        <w:rPr>
          <w:b/>
          <w:bCs/>
        </w:rPr>
      </w:pPr>
    </w:p>
    <w:sectPr w:rsidR="00451714" w:rsidRPr="00C4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E3"/>
    <w:rsid w:val="00125B84"/>
    <w:rsid w:val="00155370"/>
    <w:rsid w:val="001D122B"/>
    <w:rsid w:val="001D558D"/>
    <w:rsid w:val="002B7E01"/>
    <w:rsid w:val="00337E0A"/>
    <w:rsid w:val="00345916"/>
    <w:rsid w:val="0039379A"/>
    <w:rsid w:val="003E1F15"/>
    <w:rsid w:val="004432D2"/>
    <w:rsid w:val="00451289"/>
    <w:rsid w:val="00451714"/>
    <w:rsid w:val="004E6DE3"/>
    <w:rsid w:val="005B19D9"/>
    <w:rsid w:val="005D278B"/>
    <w:rsid w:val="007947CC"/>
    <w:rsid w:val="009C5377"/>
    <w:rsid w:val="00A147CC"/>
    <w:rsid w:val="00B61117"/>
    <w:rsid w:val="00C46B49"/>
    <w:rsid w:val="00C470DF"/>
    <w:rsid w:val="00CF27E0"/>
    <w:rsid w:val="00E26A43"/>
    <w:rsid w:val="00E54CFA"/>
    <w:rsid w:val="00EB45E9"/>
    <w:rsid w:val="00F87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D404"/>
  <w15:chartTrackingRefBased/>
  <w15:docId w15:val="{1EEF96D9-C5B8-4019-B82A-5D1A3FAA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D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D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D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D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D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D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DE3"/>
    <w:rPr>
      <w:rFonts w:eastAsiaTheme="majorEastAsia" w:cstheme="majorBidi"/>
      <w:color w:val="272727" w:themeColor="text1" w:themeTint="D8"/>
    </w:rPr>
  </w:style>
  <w:style w:type="paragraph" w:styleId="Title">
    <w:name w:val="Title"/>
    <w:basedOn w:val="Normal"/>
    <w:next w:val="Normal"/>
    <w:link w:val="TitleChar"/>
    <w:uiPriority w:val="10"/>
    <w:qFormat/>
    <w:rsid w:val="004E6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DE3"/>
    <w:pPr>
      <w:spacing w:before="160"/>
      <w:jc w:val="center"/>
    </w:pPr>
    <w:rPr>
      <w:i/>
      <w:iCs/>
      <w:color w:val="404040" w:themeColor="text1" w:themeTint="BF"/>
    </w:rPr>
  </w:style>
  <w:style w:type="character" w:customStyle="1" w:styleId="QuoteChar">
    <w:name w:val="Quote Char"/>
    <w:basedOn w:val="DefaultParagraphFont"/>
    <w:link w:val="Quote"/>
    <w:uiPriority w:val="29"/>
    <w:rsid w:val="004E6DE3"/>
    <w:rPr>
      <w:i/>
      <w:iCs/>
      <w:color w:val="404040" w:themeColor="text1" w:themeTint="BF"/>
    </w:rPr>
  </w:style>
  <w:style w:type="paragraph" w:styleId="ListParagraph">
    <w:name w:val="List Paragraph"/>
    <w:basedOn w:val="Normal"/>
    <w:uiPriority w:val="34"/>
    <w:qFormat/>
    <w:rsid w:val="004E6DE3"/>
    <w:pPr>
      <w:ind w:left="720"/>
      <w:contextualSpacing/>
    </w:pPr>
  </w:style>
  <w:style w:type="character" w:styleId="IntenseEmphasis">
    <w:name w:val="Intense Emphasis"/>
    <w:basedOn w:val="DefaultParagraphFont"/>
    <w:uiPriority w:val="21"/>
    <w:qFormat/>
    <w:rsid w:val="004E6DE3"/>
    <w:rPr>
      <w:i/>
      <w:iCs/>
      <w:color w:val="0F4761" w:themeColor="accent1" w:themeShade="BF"/>
    </w:rPr>
  </w:style>
  <w:style w:type="paragraph" w:styleId="IntenseQuote">
    <w:name w:val="Intense Quote"/>
    <w:basedOn w:val="Normal"/>
    <w:next w:val="Normal"/>
    <w:link w:val="IntenseQuoteChar"/>
    <w:uiPriority w:val="30"/>
    <w:qFormat/>
    <w:rsid w:val="004E6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DE3"/>
    <w:rPr>
      <w:i/>
      <w:iCs/>
      <w:color w:val="0F4761" w:themeColor="accent1" w:themeShade="BF"/>
    </w:rPr>
  </w:style>
  <w:style w:type="character" w:styleId="IntenseReference">
    <w:name w:val="Intense Reference"/>
    <w:basedOn w:val="DefaultParagraphFont"/>
    <w:uiPriority w:val="32"/>
    <w:qFormat/>
    <w:rsid w:val="004E6DE3"/>
    <w:rPr>
      <w:b/>
      <w:bCs/>
      <w:smallCaps/>
      <w:color w:val="0F4761" w:themeColor="accent1" w:themeShade="BF"/>
      <w:spacing w:val="5"/>
    </w:rPr>
  </w:style>
  <w:style w:type="paragraph" w:customStyle="1" w:styleId="FigureCaption">
    <w:name w:val="Figure Caption"/>
    <w:rsid w:val="00E26A43"/>
    <w:pPr>
      <w:spacing w:before="290" w:after="240" w:line="200" w:lineRule="exact"/>
      <w:jc w:val="both"/>
    </w:pPr>
    <w:rPr>
      <w:rFonts w:ascii="Times New Roman" w:eastAsia="Times New Roman" w:hAnsi="Times New Roman" w:cs="Times New Roman"/>
      <w:kern w:val="0"/>
      <w:sz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9004">
      <w:bodyDiv w:val="1"/>
      <w:marLeft w:val="0"/>
      <w:marRight w:val="0"/>
      <w:marTop w:val="0"/>
      <w:marBottom w:val="0"/>
      <w:divBdr>
        <w:top w:val="none" w:sz="0" w:space="0" w:color="auto"/>
        <w:left w:val="none" w:sz="0" w:space="0" w:color="auto"/>
        <w:bottom w:val="none" w:sz="0" w:space="0" w:color="auto"/>
        <w:right w:val="none" w:sz="0" w:space="0" w:color="auto"/>
      </w:divBdr>
    </w:div>
    <w:div w:id="146748486">
      <w:bodyDiv w:val="1"/>
      <w:marLeft w:val="0"/>
      <w:marRight w:val="0"/>
      <w:marTop w:val="0"/>
      <w:marBottom w:val="0"/>
      <w:divBdr>
        <w:top w:val="none" w:sz="0" w:space="0" w:color="auto"/>
        <w:left w:val="none" w:sz="0" w:space="0" w:color="auto"/>
        <w:bottom w:val="none" w:sz="0" w:space="0" w:color="auto"/>
        <w:right w:val="none" w:sz="0" w:space="0" w:color="auto"/>
      </w:divBdr>
    </w:div>
    <w:div w:id="620578248">
      <w:bodyDiv w:val="1"/>
      <w:marLeft w:val="0"/>
      <w:marRight w:val="0"/>
      <w:marTop w:val="0"/>
      <w:marBottom w:val="0"/>
      <w:divBdr>
        <w:top w:val="none" w:sz="0" w:space="0" w:color="auto"/>
        <w:left w:val="none" w:sz="0" w:space="0" w:color="auto"/>
        <w:bottom w:val="none" w:sz="0" w:space="0" w:color="auto"/>
        <w:right w:val="none" w:sz="0" w:space="0" w:color="auto"/>
      </w:divBdr>
    </w:div>
    <w:div w:id="1253127025">
      <w:bodyDiv w:val="1"/>
      <w:marLeft w:val="0"/>
      <w:marRight w:val="0"/>
      <w:marTop w:val="0"/>
      <w:marBottom w:val="0"/>
      <w:divBdr>
        <w:top w:val="none" w:sz="0" w:space="0" w:color="auto"/>
        <w:left w:val="none" w:sz="0" w:space="0" w:color="auto"/>
        <w:bottom w:val="none" w:sz="0" w:space="0" w:color="auto"/>
        <w:right w:val="none" w:sz="0" w:space="0" w:color="auto"/>
      </w:divBdr>
    </w:div>
    <w:div w:id="1274900493">
      <w:bodyDiv w:val="1"/>
      <w:marLeft w:val="0"/>
      <w:marRight w:val="0"/>
      <w:marTop w:val="0"/>
      <w:marBottom w:val="0"/>
      <w:divBdr>
        <w:top w:val="none" w:sz="0" w:space="0" w:color="auto"/>
        <w:left w:val="none" w:sz="0" w:space="0" w:color="auto"/>
        <w:bottom w:val="none" w:sz="0" w:space="0" w:color="auto"/>
        <w:right w:val="none" w:sz="0" w:space="0" w:color="auto"/>
      </w:divBdr>
    </w:div>
    <w:div w:id="1471285163">
      <w:bodyDiv w:val="1"/>
      <w:marLeft w:val="0"/>
      <w:marRight w:val="0"/>
      <w:marTop w:val="0"/>
      <w:marBottom w:val="0"/>
      <w:divBdr>
        <w:top w:val="none" w:sz="0" w:space="0" w:color="auto"/>
        <w:left w:val="none" w:sz="0" w:space="0" w:color="auto"/>
        <w:bottom w:val="none" w:sz="0" w:space="0" w:color="auto"/>
        <w:right w:val="none" w:sz="0" w:space="0" w:color="auto"/>
      </w:divBdr>
    </w:div>
    <w:div w:id="1667126242">
      <w:bodyDiv w:val="1"/>
      <w:marLeft w:val="0"/>
      <w:marRight w:val="0"/>
      <w:marTop w:val="0"/>
      <w:marBottom w:val="0"/>
      <w:divBdr>
        <w:top w:val="none" w:sz="0" w:space="0" w:color="auto"/>
        <w:left w:val="none" w:sz="0" w:space="0" w:color="auto"/>
        <w:bottom w:val="none" w:sz="0" w:space="0" w:color="auto"/>
        <w:right w:val="none" w:sz="0" w:space="0" w:color="auto"/>
      </w:divBdr>
    </w:div>
    <w:div w:id="1929534421">
      <w:bodyDiv w:val="1"/>
      <w:marLeft w:val="0"/>
      <w:marRight w:val="0"/>
      <w:marTop w:val="0"/>
      <w:marBottom w:val="0"/>
      <w:divBdr>
        <w:top w:val="none" w:sz="0" w:space="0" w:color="auto"/>
        <w:left w:val="none" w:sz="0" w:space="0" w:color="auto"/>
        <w:bottom w:val="none" w:sz="0" w:space="0" w:color="auto"/>
        <w:right w:val="none" w:sz="0" w:space="0" w:color="auto"/>
      </w:divBdr>
    </w:div>
    <w:div w:id="1945309777">
      <w:bodyDiv w:val="1"/>
      <w:marLeft w:val="0"/>
      <w:marRight w:val="0"/>
      <w:marTop w:val="0"/>
      <w:marBottom w:val="0"/>
      <w:divBdr>
        <w:top w:val="none" w:sz="0" w:space="0" w:color="auto"/>
        <w:left w:val="none" w:sz="0" w:space="0" w:color="auto"/>
        <w:bottom w:val="none" w:sz="0" w:space="0" w:color="auto"/>
        <w:right w:val="none" w:sz="0" w:space="0" w:color="auto"/>
      </w:divBdr>
    </w:div>
    <w:div w:id="199564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C70E2-F2B3-4393-B81B-09E5291E9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Masrur Sobhan</dc:creator>
  <cp:keywords/>
  <dc:description/>
  <cp:lastModifiedBy>Masrur Sobhan</cp:lastModifiedBy>
  <cp:revision>17</cp:revision>
  <dcterms:created xsi:type="dcterms:W3CDTF">2025-01-01T22:20:00Z</dcterms:created>
  <dcterms:modified xsi:type="dcterms:W3CDTF">2025-01-21T06:54:00Z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7fa0ad1f-bf7b-3315-970f-8dd9bce89759</vt:lpwstr>
  </property>
  <property fmtid="{D5CDD505-2E9C-101B-9397-08002B2CF9AE}" pid="4" name="Mendeley Citation Style_1">
    <vt:lpwstr>https://csl.mendeley.com/styles/596573831/ieee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https://csl.mendeley.com/styles/596573831/ieee</vt:lpwstr>
  </property>
  <property fmtid="{D5CDD505-2E9C-101B-9397-08002B2CF9AE}" pid="18" name="Mendeley Recent Style Name 6_1">
    <vt:lpwstr>IEEE - No DOI</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