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Adjacent Domain Reference</w:t>
      </w:r>
    </w:p>
    <w:p>
      <w:pPr>
        <w:pStyle w:val="Heading2"/>
      </w:pPr>
      <w:r>
        <w:t>Payment Reconciliation Chain</w:t>
      </w:r>
    </w:p>
    <w:p>
      <w:r>
        <w:t>Application APP-330012 supports the Payment Reconciliation business service.</w:t>
      </w:r>
    </w:p>
    <w:p>
      <w:r>
        <w:t>The Payment Reconciliation business service is governed by Obligation O-32.</w:t>
      </w:r>
    </w:p>
    <w:p>
      <w:r>
        <w:t>Obligation O-32 is satisfied by Control C-77.</w:t>
      </w:r>
    </w:p>
    <w:p>
      <w:r>
        <w:t>Control C-77 is implemented through Procedure P-301.</w:t>
      </w:r>
    </w:p>
    <w:p>
      <w:r>
        <w:t>Procedure P-301 is the current operating procedure for reconciliation.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