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Portfolio</w:t>
      </w:r>
    </w:p>
    <w:p>
      <w:pPr>
        <w:pStyle w:val="Heading2"/>
      </w:pPr>
      <w:r>
        <w:t>Registered Applications</w:t>
      </w:r>
    </w:p>
    <w:p>
      <w:r>
        <w:t>Application APP-224499 supports the Payment Settlement business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