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Portfolio</w:t>
      </w:r>
    </w:p>
    <w:p>
      <w:pPr>
        <w:pStyle w:val="Heading2"/>
      </w:pPr>
      <w:r>
        <w:t>Registered Applications</w:t>
      </w:r>
    </w:p>
    <w:p>
      <w:r>
        <w:t>Application APP-224510 supports the Payment Settlement business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