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Obligation Register</w:t>
      </w:r>
    </w:p>
    <w:p>
      <w:pPr>
        <w:pStyle w:val="Heading2"/>
      </w:pPr>
      <w:r>
        <w:t>Obligation Coverage</w:t>
      </w:r>
    </w:p>
    <w:p>
      <w:r>
        <w:t>Obligation O-31 is satisfied by Control C-88a.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er-lab-ingestion-bench</dc:creator>
  <cp:keywords/>
  <dc:description/>
  <cp:lastModifiedBy>er-lab-ingestion-bench</cp:lastModifiedBy>
  <cp:revision>1</cp:revision>
  <dcterms:created xsi:type="dcterms:W3CDTF">2026-01-01T00:00:00Z</dcterms:created>
  <dcterms:modified xsi:type="dcterms:W3CDTF">2026-01-01T00:00:00Z</dcterms:modified>
  <cp:category/>
</cp:coreProperties>
</file>