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Service Catalogue</w:t>
      </w:r>
    </w:p>
    <w:p>
      <w:pPr>
        <w:pStyle w:val="Heading2"/>
      </w:pPr>
      <w:r>
        <w:t>Governed Services</w:t>
      </w:r>
    </w:p>
    <w:p>
      <w:r>
        <w:t>The Payment Settlement business service is governed by Obligation O-31.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er-lab-ingestion-bench</dc:creator>
  <cp:keywords/>
  <dc:description/>
  <cp:lastModifiedBy>er-lab-ingestion-bench</cp:lastModifiedBy>
  <cp:revision>1</cp:revision>
  <dcterms:created xsi:type="dcterms:W3CDTF">2026-01-01T00:00:00Z</dcterms:created>
  <dcterms:modified xsi:type="dcterms:W3CDTF">2026-01-01T00:00:00Z</dcterms:modified>
  <cp:category/>
</cp:coreProperties>
</file>