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Retention Policy — Customer Records</w:t>
      </w:r>
    </w:p>
    <w:p>
      <w:r>
        <w:t>This policy governs the retention period for customer account records maintained by the organization.</w:t>
      </w:r>
    </w:p>
    <w:p>
      <w:pPr>
        <w:pStyle w:val="Heading2"/>
      </w:pPr>
      <w:r>
        <w:t>Retention Requirement</w:t>
      </w:r>
    </w:p>
    <w:p>
      <w:r>
        <w:t>Customer account records must be retained for a period of 8 years from the date of account closure, after which they must be securely destroyed in accordance with the organization's data disposal procedures.</w:t>
      </w:r>
    </w:p>
    <w:p>
      <w:pPr>
        <w:pStyle w:val="Heading2"/>
      </w:pPr>
      <w:r>
        <w:t>Scope</w:t>
      </w:r>
    </w:p>
    <w:p>
      <w:r>
        <w:t>This policy applies to all customer-facing business units and any third-party data processors acting on the organization's behalf.</w:t>
      </w:r>
    </w:p>
    <w:p>
      <w:pPr>
        <w:pStyle w:val="Heading2"/>
      </w:pPr>
      <w:r>
        <w:t>Review</w:t>
      </w:r>
    </w:p>
    <w:p>
      <w:r>
        <w:t>This policy is reviewed periodically by the governance committee to ensure continued alignment with applicable regulatory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er-lab-ingestion-bench</dc:creator>
  <cp:keywords/>
  <dc:description/>
  <cp:lastModifiedBy>er-lab-ingestion-bench</cp:lastModifiedBy>
  <cp:revision>1</cp:revision>
  <dcterms:created xsi:type="dcterms:W3CDTF">2026-01-01T00:00:00Z</dcterms:created>
  <dcterms:modified xsi:type="dcterms:W3CDTF">2026-01-01T00:00:00Z</dcterms:modified>
  <cp:category/>
</cp:coreProperties>
</file>