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공공 HWPX 편집·검수 요구사항</w:t>
      </w:r>
    </w:p>
    <w:p>
      <w:pPr>
        <w:pStyle w:val="Subtitle"/>
      </w:pPr>
      <w:r>
        <w:t xml:space="preserve">복합 첨부자료 기반 API 자동화 평가용 요구조건 명세서</w:t>
      </w:r>
    </w:p>
    <w:p>
      <w:pPr>
        <w:spacing w:after="80"/>
      </w:pPr>
      <w:r>
        <w:rPr>
          <w:b/>
          <w:bCs/>
        </w:rPr>
        <w:t xml:space="preserve">수신: </w:t>
      </w:r>
      <w:r>
        <w:t xml:space="preserve">문서자동화 사업 수행팀</w:t>
      </w:r>
    </w:p>
    <w:p>
      <w:pPr>
        <w:spacing w:after="80"/>
      </w:pPr>
      <w:r>
        <w:rPr>
          <w:b/>
          <w:bCs/>
        </w:rPr>
        <w:t xml:space="preserve">기준일: </w:t>
      </w:r>
      <w:r>
        <w:t xml:space="preserve">2026-06-30</w:t>
      </w:r>
    </w:p>
    <w:p>
      <w:pPr>
        <w:spacing w:after="280"/>
      </w:pPr>
      <w:r>
        <w:rPr>
          <w:b/>
          <w:bCs/>
        </w:rPr>
        <w:t xml:space="preserve">결정요청: </w:t>
      </w:r>
      <w:r>
        <w:t xml:space="preserve">다중 파일 근거를 HWPX에 반영하는 과정에서 원본 서식·객체·패키지 무결성을 보장할 것</w:t>
      </w:r>
    </w:p>
    <w:p>
      <w:pPr>
        <w:pStyle w:val="Heading1"/>
      </w:pPr>
      <w:r>
        <w:t xml:space="preserve">1. 목적과 적용 범위</w:t>
      </w:r>
    </w:p>
    <w:p>
      <w:r>
        <w:t xml:space="preserve">이 명세서는 HWPX 원본, PDF 대조본, XLSX·CSV 수치자료, DOCX 요구사항, TXT 회의결정 및 이미지 증빙을 함께 사용하여 공공기관 보고서를 수정하거나 신규 작성할 때 적용한다. 단순 텍스트 일치만으로 합격 처리하지 않으며, 저장 후 재열기와 실제 페이지 렌더를 모두 요구한다.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쓰기 명령은 현재 리비전과 사전 조회된 정확한 대상을 사용한다.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수치·날짜·위험등급은 첨부 간 기준일 차이를 해결한 뒤 반영한다.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요청하지 않은 표, 그림, 머리말, 꼬리말, 페이지 설정은 보존한다.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개인정보와 보안상 민감한 값은 결과 문서로 전사하지 않는다.</w:t>
      </w:r>
    </w:p>
    <w:p>
      <w:pPr>
        <w:pStyle w:val="Heading1"/>
      </w:pPr>
      <w:r>
        <w:t xml:space="preserve">2.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960"/>
        <w:gridCol w:w="1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요구사항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영역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R-01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HWPX의 쪽수·표·그림 개수를 저장 전후 비교하고 삭제 또는 이동을 탐지한다.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R-02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본문·표 셀 수정은 정확한 대상 위치를 먼저 조회한 뒤 현재 리비전에서만 수행한다.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R-03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저장물은 다시 열어 대상 텍스트와 패키지 관계 파일이 유효한지 확인한다.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재열기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R-04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첫쪽·중간쪽·마지막쪽을 원본과 렌더 비교하며 비어 있는 페이지를 허용하지 않는다.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R-05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개인식별정보는 결과 HWPX에 기록하지 않고 마스킹 건수만 검증 메모에 남긴다.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R-06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금액은 원 단위 근거값과 백만원 단위 표시값을 모두 추적할 수 있어야 한다.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정확성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R-07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번호 체계와 표 셀 스타일은 원본 정의를 복제하며 임의 문자 서식을 최소화한다.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권고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서식</w:t>
            </w:r>
          </w:p>
        </w:tc>
      </w:tr>
      <w:tr>
        <w:tc>
          <w:tcPr>
            <w:tcW w:type="dxa" w:w="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R-08</w:t>
            </w:r>
          </w:p>
        </w:tc>
        <w:tc>
          <w:tcPr>
            <w:tcW w:type="dxa" w:w="59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실패한 배치는 앞선 명령까지 포함하여 전부 롤백하고 리비전을 증가시키지 않는다.</w:t>
            </w:r>
          </w:p>
        </w:tc>
        <w:tc>
          <w:tcPr>
            <w:tcW w:type="dxa" w:w="1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원자성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위험 판정 및 조치</w:t>
      </w:r>
    </w:p>
    <w:p>
      <w:r>
        <w:t xml:space="preserve">각 시나리오는 아래 위험을 독립적으로 판정한다. 동일 문서에서 복수 위험이 발생하면 가장 높은 통제수준을 적용하고, 결과 보고서에는 실패 단계와 재현 가능한 근거를 함께 기록한다.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560"/>
        <w:gridCol w:w="14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필수 조치</w:t>
            </w:r>
          </w:p>
        </w:tc>
      </w:tr>
      <w:tr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 노출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통계의 전화번호·전자우편이 본문으로 전사됨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차단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마스킹 후 재검수</w:t>
            </w:r>
          </w:p>
        </w:tc>
      </w:tr>
      <w:tr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 불일치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CSV·XLSX의 기준일 또는 집계 범위가 다름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재확인 필요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근거값과 차이를 병기</w:t>
            </w:r>
          </w:p>
        </w:tc>
      </w:tr>
      <w:tr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레이아웃 밀림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장문 삽입으로 표·그림이 다음 쪽으로 이동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1쪽 이내 조건부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fit 또는 문장 축약</w:t>
            </w:r>
          </w:p>
        </w:tc>
      </w:tr>
      <w:tr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객체 손실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교체 시 관계·콘텐츠 형식 항목이 누락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허용 불가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 관계 재검증</w:t>
            </w:r>
          </w:p>
        </w:tc>
      </w:tr>
      <w:tr>
        <w:tc>
          <w:tcPr>
            <w:tcW w:type="dxa" w:w="1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부분 저장</w:t>
            </w:r>
          </w:p>
        </w:tc>
        <w:tc>
          <w:tcPr>
            <w:tcW w:type="dxa" w:w="35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 후반 오류인데 앞선 셀만 변경됨</w:t>
            </w:r>
          </w:p>
        </w:tc>
        <w:tc>
          <w:tcPr>
            <w:tcW w:type="dxa" w:w="14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허용 불가</w:t>
            </w:r>
          </w:p>
        </w:tc>
        <w:tc>
          <w:tcPr>
            <w:tcW w:type="dxa" w:w="28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원자 트랜잭션 강제</w:t>
            </w:r>
          </w:p>
        </w:tc>
      </w:tr>
    </w:tbl>
    <w:p>
      <w:pPr>
        <w:pStyle w:val="Heading2"/>
      </w:pPr>
      <w:r>
        <w:t xml:space="preserve">3.1 수치 교차검증 규칙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집행률 = 집행액 ÷ 본예산으로 계산하며 60% 미만이면 위험으로 분류한다.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지연건수 5건 이상이면 조치계획과 14일 이내 기한을 본문에 명시한다.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금액 표시는 백만원 단위 반올림값을 쓰되 정답데이터에는 원 단위 값을 보존한다.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합계가 맞지 않으면 임의로 맞추지 않고 “재확인 필요”와 차액을 표시한다.</w:t>
      </w:r>
    </w:p>
    <w:p>
      <w:pPr>
        <w:pStyle w:val="Heading2"/>
      </w:pPr>
      <w:r>
        <w:t xml:space="preserve">3.2 개인정보 통제 규칙</w:t>
      </w:r>
    </w:p>
    <w:p>
      <w:r>
        <w:t xml:space="preserve">첨부파일에 존재하는 직접 식별자는 읽기 단계에서 검출하되 결과 HWPX에는 기록하지 않는다. 품질보고서에는 검출·마스킹 건수와 원본 파일 ID만 기록하고 실제 값은 남기지 않는다.</w:t>
      </w:r>
    </w:p>
    <w:p>
      <w:r>
        <w:br w:type="page"/>
      </w:r>
    </w:p>
    <w:p>
      <w:pPr>
        <w:pStyle w:val="Heading1"/>
      </w:pPr>
      <w:r>
        <w:t xml:space="preserve">4. 최종 인수 기준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HWPX 패키지를 다시 열 수 있고 XML·관계·미디어 항목이 모두 해석된다.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지정된 대상 텍스트와 표 셀 값이 정답데이터와 정확히 일치한다.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대비 표·그림·이미지 개수의 비의도 변화가 없다.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첫쪽·중간쪽·마지막쪽 렌더가 비어 있지 않고 클리핑·중첩·누락이 없다.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 배치는 부분 변경 없이 원래 리비전과 원문으로 롤백된다.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최종 산출물의 SHA-256과 평가 결과 JSON이 함께 보관된다.</w:t>
      </w:r>
    </w:p>
    <w:p>
      <w:pPr>
        <w:pStyle w:val="Heading2"/>
      </w:pPr>
      <w:r>
        <w:t xml:space="preserve">4.1 점수 하한</w:t>
      </w:r>
    </w:p>
    <w:p>
      <w:r>
        <w:t xml:space="preserve">내용 정확성 35점, 레이아웃 20점, 서식 일관성 15점, 객체 보존 10점, 패키지 무결성 10점, 재열기·API 사용성 10점으로 평가한다. 패키지 재열기 실패, 개인정보 노출, 부분 저장은 총점과 무관하게 즉시 불합격이다.</w:t>
      </w:r>
    </w:p>
    <w:p>
      <w:pPr>
        <w:pStyle w:val="Heading2"/>
      </w:pPr>
      <w:r>
        <w:t xml:space="preserve">4.2 검수 증적</w:t>
      </w:r>
    </w:p>
    <w:p>
      <w:r>
        <w:t xml:space="preserve">각 시나리오는 입력 파일 해시, API 호출 단계, 적용 명령, 저장 파일 해시, 구조검사 결과, 원본·수정 렌더 페이지 해시 및 실패 사유를 남긴다. 실행하지 않은 검사는 통과로 기록하지 않는다.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86069"/>
        <w:sz w:val="18"/>
        <w:szCs w:val="18"/>
      </w:rPr>
      <w:t xml:space="preserve">공공문서 편집 검증 요구사항 | 내부 검토용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11111"/>
        <w:sz w:val="22"/>
        <w:szCs w:val="22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</w:pPr>
    <w:rPr>
      <w:rFonts w:ascii="Malgun Gothic" w:cs="Malgun Gothic" w:eastAsia="Malgun Gothic" w:hAnsi="Malgun Gothic"/>
      <w:b/>
      <w:bCs/>
      <w:color w:val="1F4D78"/>
      <w:sz w:val="46"/>
      <w:szCs w:val="46"/>
    </w:rPr>
  </w:style>
  <w:style w:type="paragraph" w:styleId="Subtitle">
    <w:name w:val="Subtitle"/>
    <w:basedOn w:val="Normal"/>
    <w:pPr>
      <w:spacing w:after="320" w:before="0"/>
    </w:pPr>
    <w:rPr>
      <w:rFonts w:ascii="Malgun Gothic" w:cs="Malgun Gothic" w:eastAsia="Malgun Gothic" w:hAnsi="Malgun Gothic"/>
      <w:color w:val="58606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Malgun Gothic" w:cs="Malgun Gothic" w:eastAsia="Malgun Gothic" w:hAnsi="Malgun Gothic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2026-07-27T05:26:09.969Z</dcterms:created>
  <dcterms:modified xsi:type="dcterms:W3CDTF">2026-07-27T05:26:10.091Z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