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48A" w:rsidRDefault="000F648A">
      <w:pPr>
        <w:rPr>
          <w:b/>
          <w:lang w:val="en-GB"/>
        </w:rPr>
      </w:pPr>
      <w:r w:rsidRPr="00C41980">
        <w:rPr>
          <w:b/>
          <w:lang w:val="en-GB"/>
        </w:rPr>
        <w:t>IBC 2013 EBU demo</w:t>
      </w:r>
    </w:p>
    <w:p w:rsidR="00164E1C" w:rsidRPr="00164E1C" w:rsidRDefault="00164E1C">
      <w:pPr>
        <w:rPr>
          <w:lang w:val="en-GB"/>
        </w:rPr>
      </w:pPr>
      <w:r w:rsidRPr="00164E1C">
        <w:rPr>
          <w:lang w:val="en-GB"/>
        </w:rPr>
        <w:t>Version 04 July 2013</w:t>
      </w:r>
    </w:p>
    <w:p w:rsidR="00232C44" w:rsidRPr="000F648A" w:rsidRDefault="000F648A">
      <w:pPr>
        <w:rPr>
          <w:lang w:val="en-GB"/>
        </w:rPr>
      </w:pPr>
      <w:r w:rsidRPr="00C41980">
        <w:rPr>
          <w:b/>
          <w:lang w:val="en-GB"/>
        </w:rPr>
        <w:t>Title</w:t>
      </w:r>
      <w:r>
        <w:rPr>
          <w:lang w:val="en-GB"/>
        </w:rPr>
        <w:t xml:space="preserve">: </w:t>
      </w:r>
      <w:r w:rsidRPr="000F648A">
        <w:rPr>
          <w:lang w:val="en-GB"/>
        </w:rPr>
        <w:t>EBU</w:t>
      </w:r>
      <w:r>
        <w:rPr>
          <w:lang w:val="en-GB"/>
        </w:rPr>
        <w:t xml:space="preserve"> </w:t>
      </w:r>
      <w:r w:rsidRPr="000F648A">
        <w:rPr>
          <w:lang w:val="en-GB"/>
        </w:rPr>
        <w:t>Media Cloud</w:t>
      </w:r>
      <w:r w:rsidR="00F85457">
        <w:rPr>
          <w:lang w:val="en-GB"/>
        </w:rPr>
        <w:t xml:space="preserve"> </w:t>
      </w:r>
      <w:r w:rsidR="00C41980">
        <w:rPr>
          <w:lang w:val="en-GB"/>
        </w:rPr>
        <w:t>Orchestrating</w:t>
      </w:r>
    </w:p>
    <w:p w:rsidR="000F648A" w:rsidRDefault="000F648A">
      <w:pPr>
        <w:rPr>
          <w:lang w:val="en-GB"/>
        </w:rPr>
      </w:pPr>
      <w:r w:rsidRPr="00C41980">
        <w:rPr>
          <w:b/>
          <w:lang w:val="en-GB"/>
        </w:rPr>
        <w:t>Subtitle</w:t>
      </w:r>
      <w:r>
        <w:rPr>
          <w:lang w:val="en-GB"/>
        </w:rPr>
        <w:t xml:space="preserve">: </w:t>
      </w:r>
      <w:r w:rsidRPr="000F648A">
        <w:rPr>
          <w:lang w:val="en-GB"/>
        </w:rPr>
        <w:t>Open Source Cloud Infrastructure for E</w:t>
      </w:r>
      <w:r>
        <w:rPr>
          <w:lang w:val="en-GB"/>
        </w:rPr>
        <w:t>ncoding and Distribution</w:t>
      </w:r>
      <w:r w:rsidR="00C41980">
        <w:rPr>
          <w:lang w:val="en-GB"/>
        </w:rPr>
        <w:t xml:space="preserve"> (OSCIED)</w:t>
      </w:r>
    </w:p>
    <w:p w:rsidR="003A36D5" w:rsidRDefault="003A36D5">
      <w:pPr>
        <w:rPr>
          <w:lang w:val="en-GB"/>
        </w:rPr>
      </w:pPr>
      <w:proofErr w:type="spellStart"/>
      <w:r w:rsidRPr="003A36D5">
        <w:rPr>
          <w:b/>
          <w:lang w:val="en-GB"/>
        </w:rPr>
        <w:t>Github</w:t>
      </w:r>
      <w:proofErr w:type="spellEnd"/>
      <w:r>
        <w:rPr>
          <w:lang w:val="en-GB"/>
        </w:rPr>
        <w:t>: From the opening of the IBC the OSCIED softwar</w:t>
      </w:r>
      <w:r w:rsidR="008F2DBF">
        <w:rPr>
          <w:lang w:val="en-GB"/>
        </w:rPr>
        <w:t xml:space="preserve">e is available on the EBU </w:t>
      </w:r>
      <w:proofErr w:type="spellStart"/>
      <w:r w:rsidR="008F2DBF">
        <w:rPr>
          <w:lang w:val="en-GB"/>
        </w:rPr>
        <w:t>GitHub</w:t>
      </w:r>
      <w:proofErr w:type="spellEnd"/>
      <w:r>
        <w:rPr>
          <w:lang w:val="en-GB"/>
        </w:rPr>
        <w:t xml:space="preserve"> repository.</w:t>
      </w:r>
    </w:p>
    <w:p w:rsidR="00763B1E" w:rsidRDefault="00C41980" w:rsidP="00C55880">
      <w:pPr>
        <w:rPr>
          <w:lang w:val="en-GB"/>
        </w:rPr>
      </w:pPr>
      <w:r w:rsidRPr="00C41980">
        <w:rPr>
          <w:b/>
          <w:lang w:val="en-GB"/>
        </w:rPr>
        <w:t>Description</w:t>
      </w:r>
      <w:r>
        <w:rPr>
          <w:lang w:val="en-GB"/>
        </w:rPr>
        <w:t xml:space="preserve">: </w:t>
      </w:r>
      <w:r w:rsidR="006E4CD1">
        <w:rPr>
          <w:lang w:val="en-GB"/>
        </w:rPr>
        <w:t>The d</w:t>
      </w:r>
      <w:r w:rsidR="000F648A">
        <w:rPr>
          <w:lang w:val="en-GB"/>
        </w:rPr>
        <w:t xml:space="preserve">emo will show </w:t>
      </w:r>
      <w:r w:rsidR="00CB3297">
        <w:rPr>
          <w:lang w:val="en-GB"/>
        </w:rPr>
        <w:t>elastic</w:t>
      </w:r>
      <w:r w:rsidR="000F648A">
        <w:rPr>
          <w:lang w:val="en-GB"/>
        </w:rPr>
        <w:t xml:space="preserve"> scaling of virtualised </w:t>
      </w:r>
      <w:r w:rsidR="0042407C">
        <w:rPr>
          <w:lang w:val="en-GB"/>
        </w:rPr>
        <w:t xml:space="preserve">encoding and distribution </w:t>
      </w:r>
      <w:r w:rsidR="000F648A">
        <w:rPr>
          <w:lang w:val="en-GB"/>
        </w:rPr>
        <w:t xml:space="preserve">services in a hybrid cloud. </w:t>
      </w:r>
      <w:r w:rsidR="006E4CD1">
        <w:rPr>
          <w:lang w:val="en-GB"/>
        </w:rPr>
        <w:t>A broadcaster is envisaged</w:t>
      </w:r>
      <w:r w:rsidR="0042407C">
        <w:rPr>
          <w:lang w:val="en-GB"/>
        </w:rPr>
        <w:t xml:space="preserve"> </w:t>
      </w:r>
      <w:r w:rsidR="00763B1E">
        <w:rPr>
          <w:lang w:val="en-GB"/>
        </w:rPr>
        <w:t>that needs to efficient allocate recourses to 3 main content flows related to online delivery:</w:t>
      </w:r>
    </w:p>
    <w:p w:rsidR="00763B1E" w:rsidRDefault="00763B1E" w:rsidP="00763B1E">
      <w:pPr>
        <w:pStyle w:val="ListParagraph"/>
        <w:numPr>
          <w:ilvl w:val="0"/>
          <w:numId w:val="3"/>
        </w:numPr>
        <w:rPr>
          <w:lang w:val="en-GB"/>
        </w:rPr>
      </w:pPr>
      <w:r>
        <w:rPr>
          <w:lang w:val="en-GB"/>
        </w:rPr>
        <w:t xml:space="preserve">Encoding of a constants content flow of live </w:t>
      </w:r>
      <w:r w:rsidR="00FD4588">
        <w:rPr>
          <w:lang w:val="en-GB"/>
        </w:rPr>
        <w:t xml:space="preserve">and </w:t>
      </w:r>
      <w:r>
        <w:rPr>
          <w:lang w:val="en-GB"/>
        </w:rPr>
        <w:t>on-demand files</w:t>
      </w:r>
    </w:p>
    <w:p w:rsidR="00763B1E" w:rsidRDefault="00763B1E" w:rsidP="00763B1E">
      <w:pPr>
        <w:pStyle w:val="ListParagraph"/>
        <w:numPr>
          <w:ilvl w:val="0"/>
          <w:numId w:val="3"/>
        </w:numPr>
        <w:rPr>
          <w:lang w:val="en-GB"/>
        </w:rPr>
      </w:pPr>
      <w:r>
        <w:rPr>
          <w:lang w:val="en-GB"/>
        </w:rPr>
        <w:t>A variable amount concurrent users during the day</w:t>
      </w:r>
      <w:r w:rsidR="00CB3297">
        <w:rPr>
          <w:lang w:val="en-GB"/>
        </w:rPr>
        <w:t xml:space="preserve"> </w:t>
      </w:r>
    </w:p>
    <w:p w:rsidR="00763B1E" w:rsidRDefault="00763B1E" w:rsidP="00763B1E">
      <w:pPr>
        <w:pStyle w:val="ListParagraph"/>
        <w:numPr>
          <w:ilvl w:val="0"/>
          <w:numId w:val="3"/>
        </w:numPr>
        <w:rPr>
          <w:lang w:val="en-GB"/>
        </w:rPr>
      </w:pPr>
      <w:proofErr w:type="spellStart"/>
      <w:r>
        <w:rPr>
          <w:lang w:val="en-GB"/>
        </w:rPr>
        <w:t>Transcoding</w:t>
      </w:r>
      <w:proofErr w:type="spellEnd"/>
      <w:r>
        <w:rPr>
          <w:lang w:val="en-GB"/>
        </w:rPr>
        <w:t xml:space="preserve"> of a</w:t>
      </w:r>
      <w:r w:rsidR="00CB3297">
        <w:rPr>
          <w:lang w:val="en-GB"/>
        </w:rPr>
        <w:t>n</w:t>
      </w:r>
      <w:r>
        <w:rPr>
          <w:lang w:val="en-GB"/>
        </w:rPr>
        <w:t xml:space="preserve"> archive library for on-demand services</w:t>
      </w:r>
    </w:p>
    <w:p w:rsidR="00763B1E" w:rsidRDefault="00763B1E" w:rsidP="00763B1E">
      <w:pPr>
        <w:pStyle w:val="ListParagraph"/>
        <w:rPr>
          <w:lang w:val="en-GB"/>
        </w:rPr>
      </w:pPr>
    </w:p>
    <w:p w:rsidR="00CB3297" w:rsidRDefault="00CB3297" w:rsidP="00763B1E">
      <w:pPr>
        <w:pStyle w:val="ListParagraph"/>
        <w:ind w:left="0"/>
        <w:rPr>
          <w:lang w:val="en-GB"/>
        </w:rPr>
      </w:pPr>
      <w:r>
        <w:rPr>
          <w:lang w:val="en-GB"/>
        </w:rPr>
        <w:t xml:space="preserve">The first operation requires a constant capacity, the second typically peaks in the evening hour while the third one is not a daily routine but more an onetime effort with a separate allocated budget. </w:t>
      </w:r>
      <w:r w:rsidR="009A1AEB">
        <w:rPr>
          <w:lang w:val="en-GB"/>
        </w:rPr>
        <w:t xml:space="preserve">Even though one can efficiently allocate recourses to a constant process, this is not the case when one has to </w:t>
      </w:r>
      <w:r w:rsidR="006E4CD1">
        <w:rPr>
          <w:lang w:val="en-GB"/>
        </w:rPr>
        <w:t>permanently install</w:t>
      </w:r>
      <w:r w:rsidR="009A1AEB">
        <w:rPr>
          <w:lang w:val="en-GB"/>
        </w:rPr>
        <w:t xml:space="preserve"> servers for a one time action or </w:t>
      </w:r>
      <w:r w:rsidR="006E4CD1">
        <w:rPr>
          <w:lang w:val="en-GB"/>
        </w:rPr>
        <w:t xml:space="preserve">to handle a short traffic peak. </w:t>
      </w:r>
      <w:r w:rsidR="009A1AEB">
        <w:rPr>
          <w:lang w:val="en-GB"/>
        </w:rPr>
        <w:t xml:space="preserve"> </w:t>
      </w:r>
    </w:p>
    <w:p w:rsidR="009A1AEB" w:rsidRDefault="009A1AEB" w:rsidP="00763B1E">
      <w:pPr>
        <w:pStyle w:val="ListParagraph"/>
        <w:ind w:left="0"/>
        <w:rPr>
          <w:lang w:val="en-GB"/>
        </w:rPr>
      </w:pPr>
    </w:p>
    <w:p w:rsidR="007E4848" w:rsidRDefault="00CB3297" w:rsidP="00763B1E">
      <w:pPr>
        <w:pStyle w:val="ListParagraph"/>
        <w:ind w:left="0"/>
        <w:rPr>
          <w:lang w:val="en-GB"/>
        </w:rPr>
      </w:pPr>
      <w:r>
        <w:rPr>
          <w:lang w:val="en-GB"/>
        </w:rPr>
        <w:t>V</w:t>
      </w:r>
      <w:r w:rsidR="00763B1E">
        <w:rPr>
          <w:lang w:val="en-GB"/>
        </w:rPr>
        <w:t xml:space="preserve">irtualisation of services using a hybrid cloud setup will optimise recourses and minimise operational costs by </w:t>
      </w:r>
      <w:r w:rsidR="009A1AEB">
        <w:rPr>
          <w:lang w:val="en-GB"/>
        </w:rPr>
        <w:t xml:space="preserve">elastically </w:t>
      </w:r>
      <w:r w:rsidR="00763B1E">
        <w:rPr>
          <w:lang w:val="en-GB"/>
        </w:rPr>
        <w:t xml:space="preserve">changing the amount of encoding or distribution nodes in a private and public cloud. </w:t>
      </w:r>
      <w:r w:rsidR="009A1AEB">
        <w:rPr>
          <w:lang w:val="en-GB"/>
        </w:rPr>
        <w:t xml:space="preserve">The system </w:t>
      </w:r>
      <w:r w:rsidR="00F4289D">
        <w:rPr>
          <w:lang w:val="en-GB"/>
        </w:rPr>
        <w:t>is</w:t>
      </w:r>
      <w:r w:rsidR="009A1AEB">
        <w:rPr>
          <w:lang w:val="en-GB"/>
        </w:rPr>
        <w:t xml:space="preserve"> hybrid as there is a payoff between temporally rented </w:t>
      </w:r>
      <w:r w:rsidR="007E4848">
        <w:rPr>
          <w:lang w:val="en-GB"/>
        </w:rPr>
        <w:t>and structural allocated capacity. The flexibility of the cloud approach also allows to adapt sudden growth of popularity of a service as one can temporally upscale the capacity.</w:t>
      </w:r>
    </w:p>
    <w:p w:rsidR="00972508" w:rsidRDefault="00972508" w:rsidP="00763B1E">
      <w:pPr>
        <w:pStyle w:val="ListParagraph"/>
        <w:ind w:left="0"/>
        <w:rPr>
          <w:lang w:val="en-GB"/>
        </w:rPr>
      </w:pPr>
    </w:p>
    <w:p w:rsidR="00972508" w:rsidRDefault="00972508" w:rsidP="00763B1E">
      <w:pPr>
        <w:pStyle w:val="ListParagraph"/>
        <w:ind w:left="0"/>
        <w:rPr>
          <w:lang w:val="en-GB"/>
        </w:rPr>
      </w:pPr>
      <w:r w:rsidRPr="00972508">
        <w:rPr>
          <w:noProof/>
          <w:lang w:eastAsia="fr-CH"/>
        </w:rPr>
        <w:drawing>
          <wp:inline distT="0" distB="0" distL="0" distR="0">
            <wp:extent cx="4844144" cy="2911928"/>
            <wp:effectExtent l="19050" t="0" r="13606" b="2722"/>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72508" w:rsidRPr="006E4CD1" w:rsidRDefault="00972508" w:rsidP="007E4848">
      <w:pPr>
        <w:rPr>
          <w:i/>
          <w:lang w:val="en-GB"/>
        </w:rPr>
      </w:pPr>
      <w:r w:rsidRPr="006E4CD1">
        <w:rPr>
          <w:i/>
          <w:lang w:val="en-GB"/>
        </w:rPr>
        <w:t>Illustration 1: While the capacity of the local cloud can be accessed constantly the public cloud can be used to offload the peaks.</w:t>
      </w:r>
    </w:p>
    <w:p w:rsidR="007E4848" w:rsidRPr="007E4848" w:rsidRDefault="007E4848" w:rsidP="007E4848">
      <w:pPr>
        <w:rPr>
          <w:b/>
          <w:lang w:val="en-GB"/>
        </w:rPr>
      </w:pPr>
      <w:r>
        <w:rPr>
          <w:b/>
          <w:lang w:val="en-GB"/>
        </w:rPr>
        <w:lastRenderedPageBreak/>
        <w:t>E</w:t>
      </w:r>
      <w:r w:rsidRPr="007E4848">
        <w:rPr>
          <w:b/>
          <w:lang w:val="en-GB"/>
        </w:rPr>
        <w:t>xample:</w:t>
      </w:r>
    </w:p>
    <w:p w:rsidR="007E4848" w:rsidRDefault="007E4848" w:rsidP="007E4848">
      <w:pPr>
        <w:rPr>
          <w:lang w:val="en-GB"/>
        </w:rPr>
      </w:pPr>
      <w:r>
        <w:rPr>
          <w:lang w:val="en-GB"/>
        </w:rPr>
        <w:t>Let's say a broadcaster operates a private cloud of 10 machines supporting 160 encoding or distribution nodes</w:t>
      </w:r>
      <w:r w:rsidR="00B70FB4">
        <w:rPr>
          <w:lang w:val="en-GB"/>
        </w:rPr>
        <w:t xml:space="preserve"> as visualised in the illustrations</w:t>
      </w:r>
      <w:r>
        <w:rPr>
          <w:lang w:val="en-GB"/>
        </w:rPr>
        <w:t xml:space="preserve">. This rack </w:t>
      </w:r>
      <w:r w:rsidR="00B70FB4">
        <w:rPr>
          <w:lang w:val="en-GB"/>
        </w:rPr>
        <w:t>should be</w:t>
      </w:r>
      <w:r>
        <w:rPr>
          <w:lang w:val="en-GB"/>
        </w:rPr>
        <w:t xml:space="preserve"> located </w:t>
      </w:r>
      <w:r w:rsidRPr="00763B1E">
        <w:rPr>
          <w:lang w:val="en-GB"/>
        </w:rPr>
        <w:t>close to the master control room</w:t>
      </w:r>
      <w:r>
        <w:rPr>
          <w:lang w:val="en-GB"/>
        </w:rPr>
        <w:t xml:space="preserve"> in order to </w:t>
      </w:r>
      <w:r w:rsidR="006E4CD1">
        <w:rPr>
          <w:lang w:val="en-GB"/>
        </w:rPr>
        <w:t xml:space="preserve">reduce latency and costs for transporting </w:t>
      </w:r>
      <w:r w:rsidRPr="00763B1E">
        <w:rPr>
          <w:lang w:val="en-GB"/>
        </w:rPr>
        <w:t>a constant feed the high quality source material (live and on-demand) over the local IP-network</w:t>
      </w:r>
      <w:r w:rsidR="006E4CD1">
        <w:rPr>
          <w:lang w:val="en-GB"/>
        </w:rPr>
        <w:t>*</w:t>
      </w:r>
      <w:r>
        <w:rPr>
          <w:lang w:val="en-GB"/>
        </w:rPr>
        <w:t xml:space="preserve">. </w:t>
      </w:r>
      <w:r w:rsidR="006E4CD1">
        <w:rPr>
          <w:lang w:val="en-GB"/>
        </w:rPr>
        <w:t>In this</w:t>
      </w:r>
      <w:r w:rsidR="00972508">
        <w:rPr>
          <w:lang w:val="en-GB"/>
        </w:rPr>
        <w:t xml:space="preserve"> example </w:t>
      </w:r>
      <w:r>
        <w:rPr>
          <w:lang w:val="en-GB"/>
        </w:rPr>
        <w:t xml:space="preserve">40 nodes are needed as minimum during broadcast hours to encode the constant flow of linear programmed content. </w:t>
      </w:r>
      <w:r w:rsidR="00972508">
        <w:rPr>
          <w:lang w:val="en-GB"/>
        </w:rPr>
        <w:t>During the day the distribution nodes are up</w:t>
      </w:r>
      <w:r w:rsidR="00F4289D">
        <w:rPr>
          <w:lang w:val="en-GB"/>
        </w:rPr>
        <w:t>-</w:t>
      </w:r>
      <w:r w:rsidR="00972508">
        <w:rPr>
          <w:lang w:val="en-GB"/>
        </w:rPr>
        <w:t xml:space="preserve">scaled conform the </w:t>
      </w:r>
      <w:r w:rsidR="006E4CD1">
        <w:rPr>
          <w:lang w:val="en-GB"/>
        </w:rPr>
        <w:t>activity</w:t>
      </w:r>
      <w:r w:rsidR="00972508">
        <w:rPr>
          <w:lang w:val="en-GB"/>
        </w:rPr>
        <w:t xml:space="preserve"> </w:t>
      </w:r>
      <w:r w:rsidR="006E4CD1">
        <w:rPr>
          <w:lang w:val="en-GB"/>
        </w:rPr>
        <w:t>patterns</w:t>
      </w:r>
      <w:r w:rsidR="00972508">
        <w:rPr>
          <w:lang w:val="en-GB"/>
        </w:rPr>
        <w:t xml:space="preserve"> of the audience.</w:t>
      </w:r>
      <w:r w:rsidR="00B70FB4">
        <w:rPr>
          <w:lang w:val="en-GB"/>
        </w:rPr>
        <w:t xml:space="preserve"> </w:t>
      </w:r>
      <w:r w:rsidR="00972508">
        <w:rPr>
          <w:lang w:val="en-GB"/>
        </w:rPr>
        <w:t xml:space="preserve"> </w:t>
      </w:r>
      <w:r w:rsidR="00C61471">
        <w:rPr>
          <w:lang w:val="en-GB"/>
        </w:rPr>
        <w:t xml:space="preserve">Normally concurrent use grows slowly during the day while peaking around 8 pm with also a small temporal increase at 8 am. </w:t>
      </w:r>
      <w:r w:rsidR="00B70FB4">
        <w:rPr>
          <w:lang w:val="en-GB"/>
        </w:rPr>
        <w:t>As is it is a shared envi</w:t>
      </w:r>
      <w:r w:rsidR="00C61471">
        <w:rPr>
          <w:lang w:val="en-GB"/>
        </w:rPr>
        <w:t>ronment r</w:t>
      </w:r>
      <w:r w:rsidR="00972508">
        <w:rPr>
          <w:lang w:val="en-GB"/>
        </w:rPr>
        <w:t>es</w:t>
      </w:r>
      <w:r w:rsidR="006E4CD1">
        <w:rPr>
          <w:lang w:val="en-GB"/>
        </w:rPr>
        <w:t>t</w:t>
      </w:r>
      <w:r w:rsidR="00972508">
        <w:rPr>
          <w:lang w:val="en-GB"/>
        </w:rPr>
        <w:t xml:space="preserve"> capacity can be used </w:t>
      </w:r>
      <w:r w:rsidR="006E4CD1">
        <w:rPr>
          <w:lang w:val="en-GB"/>
        </w:rPr>
        <w:t>all</w:t>
      </w:r>
      <w:r w:rsidR="00B70FB4">
        <w:rPr>
          <w:lang w:val="en-GB"/>
        </w:rPr>
        <w:t xml:space="preserve"> </w:t>
      </w:r>
      <w:r w:rsidR="006E4CD1">
        <w:rPr>
          <w:lang w:val="en-GB"/>
        </w:rPr>
        <w:t xml:space="preserve">times </w:t>
      </w:r>
      <w:r w:rsidR="00972508">
        <w:rPr>
          <w:lang w:val="en-GB"/>
        </w:rPr>
        <w:t xml:space="preserve">to </w:t>
      </w:r>
      <w:proofErr w:type="spellStart"/>
      <w:r w:rsidR="00972508">
        <w:rPr>
          <w:lang w:val="en-GB"/>
        </w:rPr>
        <w:t>transcode</w:t>
      </w:r>
      <w:proofErr w:type="spellEnd"/>
      <w:r w:rsidR="00972508">
        <w:rPr>
          <w:lang w:val="en-GB"/>
        </w:rPr>
        <w:t xml:space="preserve"> the archive.</w:t>
      </w:r>
    </w:p>
    <w:p w:rsidR="00972508" w:rsidRDefault="00972508" w:rsidP="007E4848">
      <w:pPr>
        <w:rPr>
          <w:lang w:val="en-GB"/>
        </w:rPr>
      </w:pPr>
      <w:r>
        <w:rPr>
          <w:lang w:val="en-GB"/>
        </w:rPr>
        <w:t xml:space="preserve">When content is extra popular, this can be the peak time of the day or a program that goes viral, the public cloud is addressed to temporally step in. </w:t>
      </w:r>
      <w:r w:rsidR="00B70FB4">
        <w:rPr>
          <w:lang w:val="en-GB"/>
        </w:rPr>
        <w:t xml:space="preserve">For example peak offload in between 17:00 and 01:00 hours. </w:t>
      </w:r>
      <w:r>
        <w:rPr>
          <w:lang w:val="en-GB"/>
        </w:rPr>
        <w:t xml:space="preserve">Scaling distribution nodes in the cloud can also be </w:t>
      </w:r>
      <w:r w:rsidR="00C41980">
        <w:rPr>
          <w:lang w:val="en-GB"/>
        </w:rPr>
        <w:t>helpful</w:t>
      </w:r>
      <w:r>
        <w:rPr>
          <w:lang w:val="en-GB"/>
        </w:rPr>
        <w:t xml:space="preserve"> if it improves the </w:t>
      </w:r>
      <w:r w:rsidR="00C41980">
        <w:rPr>
          <w:lang w:val="en-GB"/>
        </w:rPr>
        <w:t xml:space="preserve">peering with certain ISPs. While competing cloud provider have different price levels and some of them use different pricings for time slots during the day one could also use the cloud to </w:t>
      </w:r>
      <w:r w:rsidR="006E4CD1">
        <w:rPr>
          <w:lang w:val="en-GB"/>
        </w:rPr>
        <w:t xml:space="preserve">budget efficient </w:t>
      </w:r>
      <w:r w:rsidR="00F4289D">
        <w:rPr>
          <w:lang w:val="en-GB"/>
        </w:rPr>
        <w:t>speed up</w:t>
      </w:r>
      <w:r w:rsidR="00C41980">
        <w:rPr>
          <w:lang w:val="en-GB"/>
        </w:rPr>
        <w:t xml:space="preserve"> </w:t>
      </w:r>
      <w:proofErr w:type="spellStart"/>
      <w:r w:rsidR="00C41980">
        <w:rPr>
          <w:lang w:val="en-GB"/>
        </w:rPr>
        <w:t>transcoding</w:t>
      </w:r>
      <w:proofErr w:type="spellEnd"/>
      <w:r w:rsidR="00C41980">
        <w:rPr>
          <w:lang w:val="en-GB"/>
        </w:rPr>
        <w:t xml:space="preserve"> of </w:t>
      </w:r>
      <w:r w:rsidR="00F4289D">
        <w:rPr>
          <w:lang w:val="en-GB"/>
        </w:rPr>
        <w:t>an</w:t>
      </w:r>
      <w:r w:rsidR="00C41980">
        <w:rPr>
          <w:lang w:val="en-GB"/>
        </w:rPr>
        <w:t xml:space="preserve"> archive. </w:t>
      </w:r>
      <w:r w:rsidR="00B70FB4">
        <w:rPr>
          <w:lang w:val="en-GB"/>
        </w:rPr>
        <w:t>In the illustration add 200 nodes between 1 and 7 AM, none between 7 AM and 7 pm and 100 after that hour and twelve o'clock in the night.</w:t>
      </w:r>
    </w:p>
    <w:p w:rsidR="00C41980" w:rsidRDefault="00C41980" w:rsidP="007E4848">
      <w:pPr>
        <w:rPr>
          <w:lang w:val="en-GB"/>
        </w:rPr>
      </w:pPr>
      <w:r w:rsidRPr="00C41980">
        <w:rPr>
          <w:noProof/>
          <w:lang w:eastAsia="fr-CH"/>
        </w:rPr>
        <w:drawing>
          <wp:inline distT="0" distB="0" distL="0" distR="0">
            <wp:extent cx="6006476" cy="2098363"/>
            <wp:effectExtent l="19050" t="0" r="13324"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72508" w:rsidRDefault="006E4CD1" w:rsidP="007E4848">
      <w:pPr>
        <w:rPr>
          <w:i/>
          <w:lang w:val="en-GB"/>
        </w:rPr>
      </w:pPr>
      <w:r w:rsidRPr="006E4CD1">
        <w:rPr>
          <w:i/>
          <w:lang w:val="en-GB"/>
        </w:rPr>
        <w:t>I</w:t>
      </w:r>
      <w:r w:rsidR="00C41980" w:rsidRPr="006E4CD1">
        <w:rPr>
          <w:i/>
          <w:lang w:val="en-GB"/>
        </w:rPr>
        <w:t xml:space="preserve">llustration 2: The total constant capacity of the private cloud can be used </w:t>
      </w:r>
      <w:r w:rsidR="00FD4588">
        <w:rPr>
          <w:i/>
          <w:lang w:val="en-GB"/>
        </w:rPr>
        <w:t>by</w:t>
      </w:r>
      <w:r w:rsidR="00C41980" w:rsidRPr="006E4CD1">
        <w:rPr>
          <w:i/>
          <w:lang w:val="en-GB"/>
        </w:rPr>
        <w:t xml:space="preserve"> different virtualised services during the day. The public cloud is only used for offloading distribution peaks or cost efficient </w:t>
      </w:r>
      <w:proofErr w:type="spellStart"/>
      <w:r w:rsidR="00C41980" w:rsidRPr="006E4CD1">
        <w:rPr>
          <w:i/>
          <w:lang w:val="en-GB"/>
        </w:rPr>
        <w:t>upscaling</w:t>
      </w:r>
      <w:proofErr w:type="spellEnd"/>
      <w:r w:rsidR="00C41980" w:rsidRPr="006E4CD1">
        <w:rPr>
          <w:i/>
          <w:lang w:val="en-GB"/>
        </w:rPr>
        <w:t xml:space="preserve"> of </w:t>
      </w:r>
      <w:proofErr w:type="spellStart"/>
      <w:r w:rsidR="00C41980" w:rsidRPr="006E4CD1">
        <w:rPr>
          <w:i/>
          <w:lang w:val="en-GB"/>
        </w:rPr>
        <w:t>transcoding</w:t>
      </w:r>
      <w:proofErr w:type="spellEnd"/>
      <w:r w:rsidR="00C41980" w:rsidRPr="006E4CD1">
        <w:rPr>
          <w:i/>
          <w:lang w:val="en-GB"/>
        </w:rPr>
        <w:t xml:space="preserve"> jobs.</w:t>
      </w:r>
    </w:p>
    <w:p w:rsidR="00775C50" w:rsidRDefault="006E4CD1" w:rsidP="006E4CD1">
      <w:pPr>
        <w:rPr>
          <w:lang w:val="en-GB"/>
        </w:rPr>
      </w:pPr>
      <w:r>
        <w:rPr>
          <w:lang w:val="en-GB"/>
        </w:rPr>
        <w:t xml:space="preserve">*The private cloud can also be located in gateways close to important POPs and connected via a </w:t>
      </w:r>
      <w:proofErr w:type="spellStart"/>
      <w:r>
        <w:rPr>
          <w:lang w:val="en-GB"/>
        </w:rPr>
        <w:t>fiber</w:t>
      </w:r>
      <w:proofErr w:type="spellEnd"/>
      <w:r>
        <w:rPr>
          <w:lang w:val="en-GB"/>
        </w:rPr>
        <w:t xml:space="preserve">-ring. This scenario is not reflected in the demo but would only set some parameters mainly related to the </w:t>
      </w:r>
      <w:proofErr w:type="spellStart"/>
      <w:r>
        <w:rPr>
          <w:lang w:val="en-GB"/>
        </w:rPr>
        <w:t>bitrate</w:t>
      </w:r>
      <w:proofErr w:type="spellEnd"/>
      <w:r>
        <w:rPr>
          <w:lang w:val="en-GB"/>
        </w:rPr>
        <w:t xml:space="preserve"> of the contribution files.</w:t>
      </w:r>
    </w:p>
    <w:p w:rsidR="00775C50" w:rsidRDefault="00775C50" w:rsidP="006E4CD1">
      <w:pPr>
        <w:rPr>
          <w:lang w:val="en-GB"/>
        </w:rPr>
      </w:pPr>
      <w:r>
        <w:rPr>
          <w:lang w:val="en-GB"/>
        </w:rPr>
        <w:t>2 virtualised services in OSCIED:</w:t>
      </w:r>
    </w:p>
    <w:p w:rsidR="00775C50" w:rsidRDefault="00775C50" w:rsidP="00775C50">
      <w:pPr>
        <w:pStyle w:val="ListParagraph"/>
        <w:numPr>
          <w:ilvl w:val="0"/>
          <w:numId w:val="1"/>
        </w:numPr>
        <w:rPr>
          <w:lang w:val="en-GB"/>
        </w:rPr>
      </w:pPr>
      <w:r>
        <w:rPr>
          <w:lang w:val="en-GB"/>
        </w:rPr>
        <w:t xml:space="preserve">Encoding: Archive encoding where you have a large media set that needs to be </w:t>
      </w:r>
      <w:proofErr w:type="spellStart"/>
      <w:r>
        <w:rPr>
          <w:lang w:val="en-GB"/>
        </w:rPr>
        <w:t>transcoded</w:t>
      </w:r>
      <w:proofErr w:type="spellEnd"/>
      <w:r>
        <w:rPr>
          <w:lang w:val="en-GB"/>
        </w:rPr>
        <w:t xml:space="preserve"> to different output file formats. Capacity needs to be balanced between the time it takes to </w:t>
      </w:r>
      <w:proofErr w:type="spellStart"/>
      <w:r>
        <w:rPr>
          <w:lang w:val="en-GB"/>
        </w:rPr>
        <w:t>transcode</w:t>
      </w:r>
      <w:proofErr w:type="spellEnd"/>
      <w:r>
        <w:rPr>
          <w:lang w:val="en-GB"/>
        </w:rPr>
        <w:t xml:space="preserve"> the files and the related cost. </w:t>
      </w:r>
    </w:p>
    <w:p w:rsidR="00775C50" w:rsidRDefault="00775C50" w:rsidP="00775C50">
      <w:pPr>
        <w:pStyle w:val="ListParagraph"/>
        <w:numPr>
          <w:ilvl w:val="0"/>
          <w:numId w:val="1"/>
        </w:numPr>
        <w:rPr>
          <w:lang w:val="en-GB"/>
        </w:rPr>
      </w:pPr>
      <w:r>
        <w:rPr>
          <w:lang w:val="en-GB"/>
        </w:rPr>
        <w:t xml:space="preserve">Distribution: Live encoding is a constant dataflow optimised for low latency and an audience viewing at different times during the day with different devices. Therefore encoding capacity </w:t>
      </w:r>
      <w:r>
        <w:rPr>
          <w:lang w:val="en-GB"/>
        </w:rPr>
        <w:lastRenderedPageBreak/>
        <w:t xml:space="preserve">is almost constant and done  in the private cloud while distribution is variable and automatically scaled up in the cloud. </w:t>
      </w:r>
    </w:p>
    <w:p w:rsidR="00775C50" w:rsidRDefault="00775C50" w:rsidP="006E4CD1">
      <w:pPr>
        <w:rPr>
          <w:lang w:val="en-GB"/>
        </w:rPr>
      </w:pPr>
    </w:p>
    <w:p w:rsidR="006E4CD1" w:rsidRPr="006E4CD1" w:rsidRDefault="006E4CD1" w:rsidP="00C55880">
      <w:pPr>
        <w:rPr>
          <w:b/>
          <w:lang w:val="en-GB"/>
        </w:rPr>
      </w:pPr>
      <w:r w:rsidRPr="006E4CD1">
        <w:rPr>
          <w:b/>
          <w:lang w:val="en-GB"/>
        </w:rPr>
        <w:t>Questions and answers</w:t>
      </w:r>
    </w:p>
    <w:p w:rsidR="00533AE2" w:rsidRDefault="00533AE2" w:rsidP="00C55880">
      <w:pPr>
        <w:rPr>
          <w:lang w:val="en-GB"/>
        </w:rPr>
      </w:pPr>
      <w:r>
        <w:rPr>
          <w:lang w:val="en-GB"/>
        </w:rPr>
        <w:t xml:space="preserve">An encoding node is a virtualised </w:t>
      </w:r>
      <w:proofErr w:type="spellStart"/>
      <w:r>
        <w:rPr>
          <w:lang w:val="en-GB"/>
        </w:rPr>
        <w:t>transoding</w:t>
      </w:r>
      <w:proofErr w:type="spellEnd"/>
      <w:r>
        <w:rPr>
          <w:lang w:val="en-GB"/>
        </w:rPr>
        <w:t xml:space="preserve"> server</w:t>
      </w:r>
      <w:r w:rsidR="006E4CD1">
        <w:rPr>
          <w:lang w:val="en-GB"/>
        </w:rPr>
        <w:t>, in OSCIED</w:t>
      </w:r>
      <w:r>
        <w:rPr>
          <w:lang w:val="en-GB"/>
        </w:rPr>
        <w:t xml:space="preserve"> based on </w:t>
      </w:r>
      <w:proofErr w:type="spellStart"/>
      <w:r>
        <w:rPr>
          <w:lang w:val="en-GB"/>
        </w:rPr>
        <w:t>ffmpeg</w:t>
      </w:r>
      <w:proofErr w:type="spellEnd"/>
      <w:r w:rsidR="008F2DBF">
        <w:rPr>
          <w:lang w:val="en-GB"/>
        </w:rPr>
        <w:t>/</w:t>
      </w:r>
      <w:proofErr w:type="spellStart"/>
      <w:r w:rsidR="008F2DBF">
        <w:rPr>
          <w:lang w:val="en-GB"/>
        </w:rPr>
        <w:t>DashCast</w:t>
      </w:r>
      <w:proofErr w:type="spellEnd"/>
      <w:r>
        <w:rPr>
          <w:lang w:val="en-GB"/>
        </w:rPr>
        <w:t xml:space="preserve">. The output of one node depends on the allocated CPU (perhaps also GPU support?), RAM and IO-speed (data speed from storage to </w:t>
      </w:r>
      <w:r w:rsidR="00861F43">
        <w:rPr>
          <w:lang w:val="en-GB"/>
        </w:rPr>
        <w:t xml:space="preserve">and from </w:t>
      </w:r>
      <w:r>
        <w:rPr>
          <w:lang w:val="en-GB"/>
        </w:rPr>
        <w:t>CPU)</w:t>
      </w:r>
      <w:r w:rsidR="00861F43">
        <w:rPr>
          <w:lang w:val="en-GB"/>
        </w:rPr>
        <w:t xml:space="preserve">. </w:t>
      </w:r>
      <w:r w:rsidR="00861F43" w:rsidRPr="00861F43">
        <w:rPr>
          <w:highlight w:val="yellow"/>
          <w:lang w:val="en-GB"/>
        </w:rPr>
        <w:t>Q: How does this work in a cloud?</w:t>
      </w:r>
    </w:p>
    <w:p w:rsidR="00533AE2" w:rsidRDefault="00861F43" w:rsidP="00C55880">
      <w:pPr>
        <w:rPr>
          <w:lang w:val="en-GB"/>
        </w:rPr>
      </w:pPr>
      <w:r>
        <w:rPr>
          <w:lang w:val="en-GB"/>
        </w:rPr>
        <w:t xml:space="preserve">A distribution node is </w:t>
      </w:r>
      <w:r w:rsidR="006E4CD1">
        <w:rPr>
          <w:lang w:val="en-GB"/>
        </w:rPr>
        <w:t xml:space="preserve">in OSCIED </w:t>
      </w:r>
      <w:r>
        <w:rPr>
          <w:lang w:val="en-GB"/>
        </w:rPr>
        <w:t xml:space="preserve">a virtualised Apache </w:t>
      </w:r>
      <w:proofErr w:type="spellStart"/>
      <w:r>
        <w:rPr>
          <w:lang w:val="en-GB"/>
        </w:rPr>
        <w:t>webserver</w:t>
      </w:r>
      <w:proofErr w:type="spellEnd"/>
      <w:r>
        <w:rPr>
          <w:lang w:val="en-GB"/>
        </w:rPr>
        <w:t xml:space="preserve"> using Unified Streaming MOD264 module. The output is less intensive for CPU, RAM and IO-speed but needs to output over IP the concurrent streams to the end user. Normally a server with a dual Gigabit card can serve 2500 concurrent streams of 800kbs. </w:t>
      </w:r>
      <w:r w:rsidRPr="00861F43">
        <w:rPr>
          <w:highlight w:val="yellow"/>
          <w:lang w:val="en-GB"/>
        </w:rPr>
        <w:t>Q: How does this work in a cloud?</w:t>
      </w:r>
    </w:p>
    <w:p w:rsidR="0042407C" w:rsidRDefault="0042407C" w:rsidP="00C55880">
      <w:pPr>
        <w:rPr>
          <w:lang w:val="en-GB"/>
        </w:rPr>
      </w:pPr>
      <w:r>
        <w:rPr>
          <w:lang w:val="en-GB"/>
        </w:rPr>
        <w:t>Questions</w:t>
      </w:r>
    </w:p>
    <w:p w:rsidR="0042407C" w:rsidRDefault="0042407C" w:rsidP="0042407C">
      <w:pPr>
        <w:pStyle w:val="ListParagraph"/>
        <w:numPr>
          <w:ilvl w:val="0"/>
          <w:numId w:val="2"/>
        </w:numPr>
        <w:rPr>
          <w:lang w:val="en-GB"/>
        </w:rPr>
      </w:pPr>
      <w:r>
        <w:rPr>
          <w:lang w:val="en-GB"/>
        </w:rPr>
        <w:t xml:space="preserve">What it the optimal output of a node? </w:t>
      </w:r>
    </w:p>
    <w:p w:rsidR="0042407C" w:rsidRDefault="0042407C" w:rsidP="0042407C">
      <w:pPr>
        <w:pStyle w:val="ListParagraph"/>
        <w:numPr>
          <w:ilvl w:val="0"/>
          <w:numId w:val="2"/>
        </w:numPr>
        <w:rPr>
          <w:lang w:val="en-GB"/>
        </w:rPr>
      </w:pPr>
      <w:r>
        <w:rPr>
          <w:lang w:val="en-GB"/>
        </w:rPr>
        <w:t>How do we calculate the cost of a node in private and public cloud?</w:t>
      </w:r>
    </w:p>
    <w:p w:rsidR="0042407C" w:rsidRDefault="0042407C" w:rsidP="0042407C">
      <w:pPr>
        <w:pStyle w:val="ListParagraph"/>
        <w:numPr>
          <w:ilvl w:val="0"/>
          <w:numId w:val="2"/>
        </w:numPr>
        <w:rPr>
          <w:lang w:val="en-GB"/>
        </w:rPr>
      </w:pPr>
      <w:r>
        <w:rPr>
          <w:lang w:val="en-GB"/>
        </w:rPr>
        <w:t xml:space="preserve"> How to identify what the ideal state is between private and public cloud</w:t>
      </w:r>
      <w:r w:rsidR="00533AE2">
        <w:rPr>
          <w:lang w:val="en-GB"/>
        </w:rPr>
        <w:t>?</w:t>
      </w:r>
    </w:p>
    <w:p w:rsidR="00533AE2" w:rsidRPr="0042407C" w:rsidRDefault="00533AE2" w:rsidP="0042407C">
      <w:pPr>
        <w:pStyle w:val="ListParagraph"/>
        <w:numPr>
          <w:ilvl w:val="0"/>
          <w:numId w:val="2"/>
        </w:numPr>
        <w:rPr>
          <w:lang w:val="en-GB"/>
        </w:rPr>
      </w:pPr>
      <w:r>
        <w:rPr>
          <w:lang w:val="en-GB"/>
        </w:rPr>
        <w:t>How to calculate the data costs from the private to the public cloud?</w:t>
      </w:r>
    </w:p>
    <w:p w:rsidR="000F648A" w:rsidRPr="00775C50" w:rsidRDefault="00005B96">
      <w:pPr>
        <w:rPr>
          <w:b/>
          <w:lang w:val="en-GB"/>
        </w:rPr>
      </w:pPr>
      <w:r>
        <w:rPr>
          <w:b/>
          <w:lang w:val="en-GB"/>
        </w:rPr>
        <w:t xml:space="preserve">Physical setup and </w:t>
      </w:r>
      <w:r w:rsidR="000F648A" w:rsidRPr="00775C50">
        <w:rPr>
          <w:b/>
          <w:lang w:val="en-GB"/>
        </w:rPr>
        <w:t>logistics:</w:t>
      </w:r>
    </w:p>
    <w:p w:rsidR="00005B96" w:rsidRDefault="00005B96" w:rsidP="00005B96">
      <w:pPr>
        <w:pStyle w:val="ListParagraph"/>
        <w:numPr>
          <w:ilvl w:val="0"/>
          <w:numId w:val="4"/>
        </w:numPr>
        <w:rPr>
          <w:lang w:val="en-GB"/>
        </w:rPr>
      </w:pPr>
      <w:r>
        <w:rPr>
          <w:lang w:val="en-GB"/>
        </w:rPr>
        <w:t>One big screen showing the private and public cloud being used at one moment. We simulate an amount of nodes during the day but run this cycle every (half) hour according.</w:t>
      </w:r>
    </w:p>
    <w:p w:rsidR="00005B96" w:rsidRDefault="00005B96" w:rsidP="00005B96">
      <w:pPr>
        <w:pStyle w:val="ListParagraph"/>
        <w:rPr>
          <w:lang w:val="en-GB"/>
        </w:rPr>
      </w:pPr>
    </w:p>
    <w:p w:rsidR="00005B96" w:rsidRDefault="00005B96" w:rsidP="00005B96">
      <w:pPr>
        <w:pStyle w:val="ListParagraph"/>
        <w:rPr>
          <w:lang w:val="en-GB"/>
        </w:rPr>
      </w:pPr>
      <w:r>
        <w:rPr>
          <w:noProof/>
          <w:lang w:eastAsia="fr-CH"/>
        </w:rPr>
        <w:drawing>
          <wp:inline distT="0" distB="0" distL="0" distR="0">
            <wp:extent cx="5731510" cy="2110105"/>
            <wp:effectExtent l="19050" t="0" r="2540" b="0"/>
            <wp:docPr id="3" name="Picture 2" descr="IBC 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C setup.jpg"/>
                    <pic:cNvPicPr/>
                  </pic:nvPicPr>
                  <pic:blipFill>
                    <a:blip r:embed="rId7" cstate="print"/>
                    <a:stretch>
                      <a:fillRect/>
                    </a:stretch>
                  </pic:blipFill>
                  <pic:spPr>
                    <a:xfrm>
                      <a:off x="0" y="0"/>
                      <a:ext cx="5731510" cy="2110105"/>
                    </a:xfrm>
                    <a:prstGeom prst="rect">
                      <a:avLst/>
                    </a:prstGeom>
                  </pic:spPr>
                </pic:pic>
              </a:graphicData>
            </a:graphic>
          </wp:inline>
        </w:drawing>
      </w:r>
    </w:p>
    <w:p w:rsidR="00005B96" w:rsidRDefault="00005B96" w:rsidP="00005B96">
      <w:pPr>
        <w:pStyle w:val="ListParagraph"/>
        <w:rPr>
          <w:lang w:val="en-GB"/>
        </w:rPr>
      </w:pPr>
    </w:p>
    <w:p w:rsidR="00005B96" w:rsidRDefault="00C55880" w:rsidP="00005B96">
      <w:pPr>
        <w:pStyle w:val="ListParagraph"/>
        <w:numPr>
          <w:ilvl w:val="0"/>
          <w:numId w:val="4"/>
        </w:numPr>
        <w:rPr>
          <w:lang w:val="en-GB"/>
        </w:rPr>
      </w:pPr>
      <w:r w:rsidRPr="00005B96">
        <w:rPr>
          <w:lang w:val="en-GB"/>
        </w:rPr>
        <w:t>4</w:t>
      </w:r>
      <w:r w:rsidR="000F648A" w:rsidRPr="00005B96">
        <w:rPr>
          <w:lang w:val="en-GB"/>
        </w:rPr>
        <w:t xml:space="preserve"> servers for demo</w:t>
      </w:r>
      <w:r w:rsidR="00005B96" w:rsidRPr="00005B96">
        <w:rPr>
          <w:lang w:val="en-GB"/>
        </w:rPr>
        <w:t xml:space="preserve"> (can we see them through a window?)</w:t>
      </w:r>
      <w:r w:rsidR="00005B96">
        <w:rPr>
          <w:lang w:val="en-GB"/>
        </w:rPr>
        <w:t xml:space="preserve"> connected with a GB wireless router. </w:t>
      </w:r>
    </w:p>
    <w:p w:rsidR="00005B96" w:rsidRDefault="00005B96" w:rsidP="00005B96">
      <w:pPr>
        <w:pStyle w:val="ListParagraph"/>
        <w:numPr>
          <w:ilvl w:val="0"/>
          <w:numId w:val="4"/>
        </w:numPr>
        <w:rPr>
          <w:lang w:val="en-GB"/>
        </w:rPr>
      </w:pPr>
      <w:r>
        <w:rPr>
          <w:lang w:val="en-GB"/>
        </w:rPr>
        <w:t>An internet connection with maximum upload and download capacity (budget dependant).</w:t>
      </w:r>
    </w:p>
    <w:p w:rsidR="006A78E4" w:rsidRDefault="00005B96" w:rsidP="00005B96">
      <w:pPr>
        <w:pStyle w:val="ListParagraph"/>
        <w:numPr>
          <w:ilvl w:val="0"/>
          <w:numId w:val="4"/>
        </w:numPr>
        <w:rPr>
          <w:lang w:val="en-GB"/>
        </w:rPr>
      </w:pPr>
      <w:r w:rsidRPr="00005B96">
        <w:rPr>
          <w:lang w:val="en-GB"/>
        </w:rPr>
        <w:t xml:space="preserve">1 laptop that is used to demonstrate </w:t>
      </w:r>
      <w:r w:rsidR="006A78E4" w:rsidRPr="00005B96">
        <w:rPr>
          <w:lang w:val="en-GB"/>
        </w:rPr>
        <w:t xml:space="preserve"> </w:t>
      </w:r>
      <w:r>
        <w:rPr>
          <w:lang w:val="en-GB"/>
        </w:rPr>
        <w:t>the user interface and IO. This laptop will also be used to show the software layers of this project.</w:t>
      </w:r>
    </w:p>
    <w:p w:rsidR="00005B96" w:rsidRPr="00005B96" w:rsidRDefault="00005B96" w:rsidP="00005B96">
      <w:pPr>
        <w:pStyle w:val="ListParagraph"/>
        <w:numPr>
          <w:ilvl w:val="0"/>
          <w:numId w:val="4"/>
        </w:numPr>
        <w:rPr>
          <w:lang w:val="en-GB"/>
        </w:rPr>
      </w:pPr>
      <w:r>
        <w:rPr>
          <w:lang w:val="en-GB"/>
        </w:rPr>
        <w:t xml:space="preserve">1 </w:t>
      </w:r>
      <w:proofErr w:type="spellStart"/>
      <w:r>
        <w:rPr>
          <w:lang w:val="en-GB"/>
        </w:rPr>
        <w:t>iPad</w:t>
      </w:r>
      <w:proofErr w:type="spellEnd"/>
      <w:r>
        <w:rPr>
          <w:lang w:val="en-GB"/>
        </w:rPr>
        <w:t xml:space="preserve"> and 1 Android machine for </w:t>
      </w:r>
      <w:proofErr w:type="spellStart"/>
      <w:r>
        <w:rPr>
          <w:lang w:val="en-GB"/>
        </w:rPr>
        <w:t>playout</w:t>
      </w:r>
      <w:proofErr w:type="spellEnd"/>
      <w:r>
        <w:rPr>
          <w:lang w:val="en-GB"/>
        </w:rPr>
        <w:t xml:space="preserve"> of files on distribution nodes of the private and public cloud</w:t>
      </w:r>
    </w:p>
    <w:p w:rsidR="00F9249A" w:rsidRPr="000F648A" w:rsidRDefault="00F9249A">
      <w:pPr>
        <w:rPr>
          <w:lang w:val="en-GB"/>
        </w:rPr>
      </w:pPr>
    </w:p>
    <w:p w:rsidR="000F648A" w:rsidRDefault="000F648A">
      <w:pPr>
        <w:rPr>
          <w:lang w:val="en-GB"/>
        </w:rPr>
      </w:pPr>
    </w:p>
    <w:p w:rsidR="000F648A" w:rsidRDefault="000F648A">
      <w:pPr>
        <w:rPr>
          <w:lang w:val="en-GB"/>
        </w:rPr>
      </w:pPr>
    </w:p>
    <w:p w:rsidR="000F648A" w:rsidRDefault="000F648A">
      <w:pPr>
        <w:rPr>
          <w:lang w:val="en-GB"/>
        </w:rPr>
      </w:pPr>
    </w:p>
    <w:p w:rsidR="000F648A" w:rsidRDefault="000F648A">
      <w:pPr>
        <w:rPr>
          <w:lang w:val="en-GB"/>
        </w:rPr>
      </w:pPr>
    </w:p>
    <w:p w:rsidR="000F648A" w:rsidRDefault="000F648A">
      <w:pPr>
        <w:rPr>
          <w:lang w:val="en-GB"/>
        </w:rPr>
      </w:pPr>
    </w:p>
    <w:p w:rsidR="000F648A" w:rsidRDefault="000F648A">
      <w:pPr>
        <w:rPr>
          <w:lang w:val="en-GB"/>
        </w:rPr>
      </w:pPr>
    </w:p>
    <w:p w:rsidR="000F648A" w:rsidRPr="000F648A" w:rsidRDefault="000F648A">
      <w:pPr>
        <w:rPr>
          <w:lang w:val="en-GB"/>
        </w:rPr>
      </w:pPr>
    </w:p>
    <w:sectPr w:rsidR="000F648A" w:rsidRPr="000F648A" w:rsidSect="00232C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C4F21"/>
    <w:multiLevelType w:val="hybridMultilevel"/>
    <w:tmpl w:val="F3FEE5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C6E66FB"/>
    <w:multiLevelType w:val="hybridMultilevel"/>
    <w:tmpl w:val="DF625E4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406A54DB"/>
    <w:multiLevelType w:val="hybridMultilevel"/>
    <w:tmpl w:val="292CD26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4E0614AD"/>
    <w:multiLevelType w:val="hybridMultilevel"/>
    <w:tmpl w:val="DB3AF7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0F648A"/>
    <w:rsid w:val="00005B96"/>
    <w:rsid w:val="000C3249"/>
    <w:rsid w:val="000F648A"/>
    <w:rsid w:val="001020F6"/>
    <w:rsid w:val="00146434"/>
    <w:rsid w:val="00164E1C"/>
    <w:rsid w:val="001925BE"/>
    <w:rsid w:val="00232C44"/>
    <w:rsid w:val="00292AD1"/>
    <w:rsid w:val="00310803"/>
    <w:rsid w:val="003A36D5"/>
    <w:rsid w:val="0042407C"/>
    <w:rsid w:val="00517333"/>
    <w:rsid w:val="00533AE2"/>
    <w:rsid w:val="006A78E4"/>
    <w:rsid w:val="006E4CD1"/>
    <w:rsid w:val="00763B1E"/>
    <w:rsid w:val="00775C50"/>
    <w:rsid w:val="007E4848"/>
    <w:rsid w:val="00861F43"/>
    <w:rsid w:val="008F2DBF"/>
    <w:rsid w:val="00972508"/>
    <w:rsid w:val="009A1AEB"/>
    <w:rsid w:val="00A50E0F"/>
    <w:rsid w:val="00B70FB4"/>
    <w:rsid w:val="00BB1822"/>
    <w:rsid w:val="00C41980"/>
    <w:rsid w:val="00C55880"/>
    <w:rsid w:val="00C61471"/>
    <w:rsid w:val="00CB3297"/>
    <w:rsid w:val="00ED2815"/>
    <w:rsid w:val="00F4289D"/>
    <w:rsid w:val="00F85457"/>
    <w:rsid w:val="00F9249A"/>
    <w:rsid w:val="00FD4588"/>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C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48A"/>
    <w:pPr>
      <w:ind w:left="720"/>
      <w:contextualSpacing/>
    </w:pPr>
  </w:style>
  <w:style w:type="paragraph" w:styleId="BalloonText">
    <w:name w:val="Balloon Text"/>
    <w:basedOn w:val="Normal"/>
    <w:link w:val="BalloonTextChar"/>
    <w:uiPriority w:val="99"/>
    <w:semiHidden/>
    <w:unhideWhenUsed/>
    <w:rsid w:val="00972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5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Users\Tullemans\Documents\Projects\OSCIED\OSCIED%20IBC%20use%20cas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Tullemans\Documents\Projects\OSCIED\OSCIED%20IBC%20use%20c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CH"/>
  <c:chart>
    <c:plotArea>
      <c:layout/>
      <c:lineChart>
        <c:grouping val="standard"/>
        <c:ser>
          <c:idx val="0"/>
          <c:order val="0"/>
          <c:tx>
            <c:strRef>
              <c:f>Sheet1!$A$7</c:f>
              <c:strCache>
                <c:ptCount val="1"/>
                <c:pt idx="0">
                  <c:v>Total Private Cloud</c:v>
                </c:pt>
              </c:strCache>
            </c:strRef>
          </c:tx>
          <c:marker>
            <c:symbol val="none"/>
          </c:marker>
          <c:val>
            <c:numRef>
              <c:f>Sheet1!$B$7:$Y$7</c:f>
              <c:numCache>
                <c:formatCode>0</c:formatCode>
                <c:ptCount val="24"/>
                <c:pt idx="0">
                  <c:v>160</c:v>
                </c:pt>
                <c:pt idx="1">
                  <c:v>160</c:v>
                </c:pt>
                <c:pt idx="2">
                  <c:v>160</c:v>
                </c:pt>
                <c:pt idx="3">
                  <c:v>160</c:v>
                </c:pt>
                <c:pt idx="4">
                  <c:v>160</c:v>
                </c:pt>
                <c:pt idx="5">
                  <c:v>160</c:v>
                </c:pt>
                <c:pt idx="6">
                  <c:v>160</c:v>
                </c:pt>
                <c:pt idx="7">
                  <c:v>160</c:v>
                </c:pt>
                <c:pt idx="8">
                  <c:v>160</c:v>
                </c:pt>
                <c:pt idx="9">
                  <c:v>160</c:v>
                </c:pt>
                <c:pt idx="10">
                  <c:v>160</c:v>
                </c:pt>
                <c:pt idx="11">
                  <c:v>160</c:v>
                </c:pt>
                <c:pt idx="12">
                  <c:v>160</c:v>
                </c:pt>
                <c:pt idx="13">
                  <c:v>160</c:v>
                </c:pt>
                <c:pt idx="14">
                  <c:v>160</c:v>
                </c:pt>
                <c:pt idx="15">
                  <c:v>160</c:v>
                </c:pt>
                <c:pt idx="16">
                  <c:v>160</c:v>
                </c:pt>
                <c:pt idx="17">
                  <c:v>160</c:v>
                </c:pt>
                <c:pt idx="18">
                  <c:v>160</c:v>
                </c:pt>
                <c:pt idx="19">
                  <c:v>160</c:v>
                </c:pt>
                <c:pt idx="20">
                  <c:v>160</c:v>
                </c:pt>
                <c:pt idx="21">
                  <c:v>160</c:v>
                </c:pt>
                <c:pt idx="22">
                  <c:v>160</c:v>
                </c:pt>
                <c:pt idx="23">
                  <c:v>160</c:v>
                </c:pt>
              </c:numCache>
            </c:numRef>
          </c:val>
        </c:ser>
        <c:ser>
          <c:idx val="1"/>
          <c:order val="1"/>
          <c:tx>
            <c:strRef>
              <c:f>Sheet1!$A$8</c:f>
              <c:strCache>
                <c:ptCount val="1"/>
                <c:pt idx="0">
                  <c:v>Total Public Cloud</c:v>
                </c:pt>
              </c:strCache>
            </c:strRef>
          </c:tx>
          <c:marker>
            <c:symbol val="none"/>
          </c:marker>
          <c:val>
            <c:numRef>
              <c:f>Sheet1!$B$8:$Y$8</c:f>
              <c:numCache>
                <c:formatCode>0</c:formatCode>
                <c:ptCount val="24"/>
                <c:pt idx="0">
                  <c:v>210</c:v>
                </c:pt>
                <c:pt idx="1">
                  <c:v>200</c:v>
                </c:pt>
                <c:pt idx="2">
                  <c:v>200</c:v>
                </c:pt>
                <c:pt idx="3">
                  <c:v>200</c:v>
                </c:pt>
                <c:pt idx="4">
                  <c:v>200</c:v>
                </c:pt>
                <c:pt idx="5">
                  <c:v>200</c:v>
                </c:pt>
                <c:pt idx="6">
                  <c:v>0</c:v>
                </c:pt>
                <c:pt idx="7">
                  <c:v>0</c:v>
                </c:pt>
                <c:pt idx="8">
                  <c:v>0</c:v>
                </c:pt>
                <c:pt idx="9">
                  <c:v>0</c:v>
                </c:pt>
                <c:pt idx="10">
                  <c:v>0</c:v>
                </c:pt>
                <c:pt idx="11">
                  <c:v>0</c:v>
                </c:pt>
                <c:pt idx="12">
                  <c:v>0</c:v>
                </c:pt>
                <c:pt idx="13">
                  <c:v>0</c:v>
                </c:pt>
                <c:pt idx="14">
                  <c:v>0</c:v>
                </c:pt>
                <c:pt idx="15">
                  <c:v>0</c:v>
                </c:pt>
                <c:pt idx="16">
                  <c:v>0</c:v>
                </c:pt>
                <c:pt idx="17">
                  <c:v>30</c:v>
                </c:pt>
                <c:pt idx="18">
                  <c:v>160</c:v>
                </c:pt>
                <c:pt idx="19">
                  <c:v>180</c:v>
                </c:pt>
                <c:pt idx="20">
                  <c:v>180</c:v>
                </c:pt>
                <c:pt idx="21">
                  <c:v>180</c:v>
                </c:pt>
                <c:pt idx="22">
                  <c:v>160</c:v>
                </c:pt>
                <c:pt idx="23">
                  <c:v>130</c:v>
                </c:pt>
              </c:numCache>
            </c:numRef>
          </c:val>
        </c:ser>
        <c:marker val="1"/>
        <c:axId val="145347712"/>
        <c:axId val="145349248"/>
      </c:lineChart>
      <c:catAx>
        <c:axId val="145347712"/>
        <c:scaling>
          <c:orientation val="minMax"/>
        </c:scaling>
        <c:axPos val="b"/>
        <c:tickLblPos val="nextTo"/>
        <c:crossAx val="145349248"/>
        <c:crosses val="autoZero"/>
        <c:auto val="1"/>
        <c:lblAlgn val="ctr"/>
        <c:lblOffset val="100"/>
      </c:catAx>
      <c:valAx>
        <c:axId val="145349248"/>
        <c:scaling>
          <c:orientation val="minMax"/>
        </c:scaling>
        <c:axPos val="l"/>
        <c:majorGridlines/>
        <c:numFmt formatCode="0" sourceLinked="1"/>
        <c:tickLblPos val="nextTo"/>
        <c:crossAx val="145347712"/>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CH"/>
  <c:chart>
    <c:plotArea>
      <c:layout/>
      <c:lineChart>
        <c:grouping val="standard"/>
        <c:ser>
          <c:idx val="0"/>
          <c:order val="0"/>
          <c:tx>
            <c:strRef>
              <c:f>Sheet1!$A$2</c:f>
              <c:strCache>
                <c:ptCount val="1"/>
                <c:pt idx="0">
                  <c:v>private cloud distribution</c:v>
                </c:pt>
              </c:strCache>
            </c:strRef>
          </c:tx>
          <c:marker>
            <c:symbol val="none"/>
          </c:marker>
          <c:val>
            <c:numRef>
              <c:f>Sheet1!$B$2:$Y$2</c:f>
              <c:numCache>
                <c:formatCode>0</c:formatCode>
                <c:ptCount val="24"/>
                <c:pt idx="0">
                  <c:v>120</c:v>
                </c:pt>
                <c:pt idx="1">
                  <c:v>90</c:v>
                </c:pt>
                <c:pt idx="2">
                  <c:v>20</c:v>
                </c:pt>
                <c:pt idx="3">
                  <c:v>10</c:v>
                </c:pt>
                <c:pt idx="4">
                  <c:v>10</c:v>
                </c:pt>
                <c:pt idx="5">
                  <c:v>20</c:v>
                </c:pt>
                <c:pt idx="6">
                  <c:v>40</c:v>
                </c:pt>
                <c:pt idx="7">
                  <c:v>80</c:v>
                </c:pt>
                <c:pt idx="8">
                  <c:v>40</c:v>
                </c:pt>
                <c:pt idx="9">
                  <c:v>40</c:v>
                </c:pt>
                <c:pt idx="10">
                  <c:v>40</c:v>
                </c:pt>
                <c:pt idx="11">
                  <c:v>50</c:v>
                </c:pt>
                <c:pt idx="12">
                  <c:v>60</c:v>
                </c:pt>
                <c:pt idx="13">
                  <c:v>60</c:v>
                </c:pt>
                <c:pt idx="14">
                  <c:v>70</c:v>
                </c:pt>
                <c:pt idx="15">
                  <c:v>80</c:v>
                </c:pt>
                <c:pt idx="16">
                  <c:v>90</c:v>
                </c:pt>
                <c:pt idx="17">
                  <c:v>100</c:v>
                </c:pt>
                <c:pt idx="18">
                  <c:v>110</c:v>
                </c:pt>
                <c:pt idx="19">
                  <c:v>120</c:v>
                </c:pt>
                <c:pt idx="20">
                  <c:v>120</c:v>
                </c:pt>
                <c:pt idx="21">
                  <c:v>120</c:v>
                </c:pt>
                <c:pt idx="22">
                  <c:v>120</c:v>
                </c:pt>
                <c:pt idx="23">
                  <c:v>120</c:v>
                </c:pt>
              </c:numCache>
            </c:numRef>
          </c:val>
        </c:ser>
        <c:ser>
          <c:idx val="1"/>
          <c:order val="1"/>
          <c:tx>
            <c:strRef>
              <c:f>Sheet1!$A$3</c:f>
              <c:strCache>
                <c:ptCount val="1"/>
                <c:pt idx="0">
                  <c:v>private cloud encoding </c:v>
                </c:pt>
              </c:strCache>
            </c:strRef>
          </c:tx>
          <c:marker>
            <c:symbol val="none"/>
          </c:marker>
          <c:val>
            <c:numRef>
              <c:f>Sheet1!$B$3:$Y$3</c:f>
              <c:numCache>
                <c:formatCode>0</c:formatCode>
                <c:ptCount val="24"/>
                <c:pt idx="0">
                  <c:v>40</c:v>
                </c:pt>
                <c:pt idx="1">
                  <c:v>70</c:v>
                </c:pt>
                <c:pt idx="2">
                  <c:v>140</c:v>
                </c:pt>
                <c:pt idx="3">
                  <c:v>150</c:v>
                </c:pt>
                <c:pt idx="4">
                  <c:v>150</c:v>
                </c:pt>
                <c:pt idx="5">
                  <c:v>140</c:v>
                </c:pt>
                <c:pt idx="6">
                  <c:v>120</c:v>
                </c:pt>
                <c:pt idx="7">
                  <c:v>80</c:v>
                </c:pt>
                <c:pt idx="8">
                  <c:v>120</c:v>
                </c:pt>
                <c:pt idx="9">
                  <c:v>120</c:v>
                </c:pt>
                <c:pt idx="10">
                  <c:v>120</c:v>
                </c:pt>
                <c:pt idx="11">
                  <c:v>110</c:v>
                </c:pt>
                <c:pt idx="12">
                  <c:v>100</c:v>
                </c:pt>
                <c:pt idx="13">
                  <c:v>100</c:v>
                </c:pt>
                <c:pt idx="14">
                  <c:v>90</c:v>
                </c:pt>
                <c:pt idx="15">
                  <c:v>80</c:v>
                </c:pt>
                <c:pt idx="16">
                  <c:v>70</c:v>
                </c:pt>
                <c:pt idx="17">
                  <c:v>60</c:v>
                </c:pt>
                <c:pt idx="18">
                  <c:v>50</c:v>
                </c:pt>
                <c:pt idx="19">
                  <c:v>40</c:v>
                </c:pt>
                <c:pt idx="20">
                  <c:v>40</c:v>
                </c:pt>
                <c:pt idx="21">
                  <c:v>40</c:v>
                </c:pt>
                <c:pt idx="22">
                  <c:v>40</c:v>
                </c:pt>
                <c:pt idx="23">
                  <c:v>40</c:v>
                </c:pt>
              </c:numCache>
            </c:numRef>
          </c:val>
        </c:ser>
        <c:ser>
          <c:idx val="2"/>
          <c:order val="2"/>
          <c:tx>
            <c:strRef>
              <c:f>Sheet1!$A$4</c:f>
              <c:strCache>
                <c:ptCount val="1"/>
                <c:pt idx="0">
                  <c:v>public cloud distribution</c:v>
                </c:pt>
              </c:strCache>
            </c:strRef>
          </c:tx>
          <c:marker>
            <c:symbol val="none"/>
          </c:marker>
          <c:val>
            <c:numRef>
              <c:f>Sheet1!$B$4:$Y$4</c:f>
              <c:numCache>
                <c:formatCode>0</c:formatCode>
                <c:ptCount val="24"/>
                <c:pt idx="0">
                  <c:v>10</c:v>
                </c:pt>
                <c:pt idx="1">
                  <c:v>0</c:v>
                </c:pt>
                <c:pt idx="2">
                  <c:v>0</c:v>
                </c:pt>
                <c:pt idx="3">
                  <c:v>0</c:v>
                </c:pt>
                <c:pt idx="4">
                  <c:v>0</c:v>
                </c:pt>
                <c:pt idx="5">
                  <c:v>0</c:v>
                </c:pt>
                <c:pt idx="6">
                  <c:v>0</c:v>
                </c:pt>
                <c:pt idx="7">
                  <c:v>0</c:v>
                </c:pt>
                <c:pt idx="8">
                  <c:v>0</c:v>
                </c:pt>
                <c:pt idx="9">
                  <c:v>0</c:v>
                </c:pt>
                <c:pt idx="11">
                  <c:v>0</c:v>
                </c:pt>
                <c:pt idx="12">
                  <c:v>0</c:v>
                </c:pt>
                <c:pt idx="13">
                  <c:v>0</c:v>
                </c:pt>
                <c:pt idx="14">
                  <c:v>0</c:v>
                </c:pt>
                <c:pt idx="15">
                  <c:v>0</c:v>
                </c:pt>
                <c:pt idx="16">
                  <c:v>0</c:v>
                </c:pt>
                <c:pt idx="17">
                  <c:v>30</c:v>
                </c:pt>
                <c:pt idx="18">
                  <c:v>60</c:v>
                </c:pt>
                <c:pt idx="19">
                  <c:v>80</c:v>
                </c:pt>
                <c:pt idx="20">
                  <c:v>80</c:v>
                </c:pt>
                <c:pt idx="21">
                  <c:v>80</c:v>
                </c:pt>
                <c:pt idx="22">
                  <c:v>60</c:v>
                </c:pt>
                <c:pt idx="23">
                  <c:v>30</c:v>
                </c:pt>
              </c:numCache>
            </c:numRef>
          </c:val>
        </c:ser>
        <c:ser>
          <c:idx val="3"/>
          <c:order val="3"/>
          <c:tx>
            <c:strRef>
              <c:f>Sheet1!$A$5</c:f>
              <c:strCache>
                <c:ptCount val="1"/>
                <c:pt idx="0">
                  <c:v>public cloud encoding</c:v>
                </c:pt>
              </c:strCache>
            </c:strRef>
          </c:tx>
          <c:marker>
            <c:symbol val="none"/>
          </c:marker>
          <c:val>
            <c:numRef>
              <c:f>Sheet1!$B$5:$Y$5</c:f>
              <c:numCache>
                <c:formatCode>0</c:formatCode>
                <c:ptCount val="24"/>
                <c:pt idx="0">
                  <c:v>200</c:v>
                </c:pt>
                <c:pt idx="1">
                  <c:v>200</c:v>
                </c:pt>
                <c:pt idx="2">
                  <c:v>200</c:v>
                </c:pt>
                <c:pt idx="3">
                  <c:v>200</c:v>
                </c:pt>
                <c:pt idx="4">
                  <c:v>200</c:v>
                </c:pt>
                <c:pt idx="5">
                  <c:v>200</c:v>
                </c:pt>
                <c:pt idx="6">
                  <c:v>0</c:v>
                </c:pt>
                <c:pt idx="7">
                  <c:v>0</c:v>
                </c:pt>
                <c:pt idx="8">
                  <c:v>0</c:v>
                </c:pt>
                <c:pt idx="9">
                  <c:v>0</c:v>
                </c:pt>
                <c:pt idx="10">
                  <c:v>0</c:v>
                </c:pt>
                <c:pt idx="11">
                  <c:v>0</c:v>
                </c:pt>
                <c:pt idx="12">
                  <c:v>0</c:v>
                </c:pt>
                <c:pt idx="13">
                  <c:v>0</c:v>
                </c:pt>
                <c:pt idx="14">
                  <c:v>0</c:v>
                </c:pt>
                <c:pt idx="15">
                  <c:v>0</c:v>
                </c:pt>
                <c:pt idx="16">
                  <c:v>0</c:v>
                </c:pt>
                <c:pt idx="17">
                  <c:v>0</c:v>
                </c:pt>
                <c:pt idx="18">
                  <c:v>100</c:v>
                </c:pt>
                <c:pt idx="19">
                  <c:v>100</c:v>
                </c:pt>
                <c:pt idx="20">
                  <c:v>100</c:v>
                </c:pt>
                <c:pt idx="21">
                  <c:v>100</c:v>
                </c:pt>
                <c:pt idx="22">
                  <c:v>100</c:v>
                </c:pt>
                <c:pt idx="23">
                  <c:v>100</c:v>
                </c:pt>
              </c:numCache>
            </c:numRef>
          </c:val>
        </c:ser>
        <c:marker val="1"/>
        <c:axId val="87819392"/>
        <c:axId val="87820928"/>
      </c:lineChart>
      <c:catAx>
        <c:axId val="87819392"/>
        <c:scaling>
          <c:orientation val="minMax"/>
        </c:scaling>
        <c:axPos val="b"/>
        <c:tickLblPos val="nextTo"/>
        <c:crossAx val="87820928"/>
        <c:crosses val="autoZero"/>
        <c:auto val="1"/>
        <c:lblAlgn val="ctr"/>
        <c:lblOffset val="100"/>
      </c:catAx>
      <c:valAx>
        <c:axId val="87820928"/>
        <c:scaling>
          <c:orientation val="minMax"/>
        </c:scaling>
        <c:axPos val="l"/>
        <c:majorGridlines/>
        <c:numFmt formatCode="0" sourceLinked="1"/>
        <c:tickLblPos val="nextTo"/>
        <c:crossAx val="87819392"/>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3788</TotalTime>
  <Pages>4</Pages>
  <Words>881</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EBU-UER</Company>
  <LinksUpToDate>false</LinksUpToDate>
  <CharactersWithSpaces>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8</cp:revision>
  <dcterms:created xsi:type="dcterms:W3CDTF">2013-07-02T08:33:00Z</dcterms:created>
  <dcterms:modified xsi:type="dcterms:W3CDTF">2013-07-12T11:56:00Z</dcterms:modified>
</cp:coreProperties>
</file>