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749"/>
        <w:gridCol w:w="7749"/>
      </w:tblGrid>
      <w:tr>
        <w:trPr>
          <w:trHeight w:hRule="exact" w:val="2108"/>
        </w:trPr>
        <w:tc>
          <w:tcPr>
            <w:tcW w:type="dxa" w:w="4320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3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59279" cy="11544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79" cy="1154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58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810" w:after="0"/>
              <w:ind w:left="1008" w:right="1584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4B99"/>
                <w:sz w:val="50"/>
              </w:rPr>
              <w:t xml:space="preserve">FULL-STACK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004B99"/>
                <w:sz w:val="50"/>
              </w:rPr>
              <w:t>GYM MANAGEMENT SYSTEM</w:t>
            </w:r>
          </w:p>
        </w:tc>
      </w:tr>
    </w:tbl>
    <w:p>
      <w:pPr>
        <w:autoSpaceDN w:val="0"/>
        <w:autoSpaceDE w:val="0"/>
        <w:widowControl/>
        <w:spacing w:line="346" w:lineRule="exact" w:before="614" w:after="0"/>
        <w:ind w:left="344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CC0000"/>
          <w:sz w:val="34"/>
        </w:rPr>
        <w:t>Brief Description</w:t>
      </w:r>
    </w:p>
    <w:p>
      <w:pPr>
        <w:autoSpaceDN w:val="0"/>
        <w:autoSpaceDE w:val="0"/>
        <w:widowControl/>
        <w:spacing w:line="338" w:lineRule="exact" w:before="42" w:after="0"/>
        <w:ind w:left="344" w:right="362" w:firstLine="0"/>
        <w:jc w:val="both"/>
      </w:pP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This is a robust, event-driven, full-stack platform designed to streamline and modernize daily fitness center operations.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Leveraging an advanced Next.js/React frontend and a highly secure Spring Boot backend, the system offers a user-friendly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digital environment for gym administrators, trainers, and members. It automates critical workflows including subscription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management, attendance tracking, secure payment processing, and role-based data isolation. By integrating real-time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notifications and scalable background processing, the platform ensures high operational efficiency and fosters elevated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member engagement.</w:t>
      </w:r>
    </w:p>
    <w:p>
      <w:pPr>
        <w:autoSpaceDN w:val="0"/>
        <w:tabs>
          <w:tab w:pos="404" w:val="left"/>
          <w:tab w:pos="680" w:val="left"/>
        </w:tabs>
        <w:autoSpaceDE w:val="0"/>
        <w:widowControl/>
        <w:spacing w:line="362" w:lineRule="exact" w:before="356" w:after="0"/>
        <w:ind w:left="344" w:right="288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CC0000"/>
          <w:sz w:val="34"/>
        </w:rPr>
        <w:t>Principle</w:t>
      </w:r>
      <w:r>
        <w:br/>
      </w:r>
      <w:r>
        <w:rPr>
          <w:w w:val="98.93931027116447"/>
          <w:rFonts w:ascii="SFRM1440" w:hAnsi="SFRM1440" w:eastAsia="SFRM1440"/>
          <w:b w:val="0"/>
          <w:i w:val="0"/>
          <w:color w:val="000000"/>
          <w:sz w:val="29"/>
        </w:rPr>
        <w:t>•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 Event-Driven Architecture: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Utilizes continuous background event processors to trigger real-time notifications, </w:t>
      </w:r>
      <w:r>
        <w:tab/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payment reminders, and systemic audit logs asynchronously without blocking primary user workflows.</w:t>
      </w:r>
    </w:p>
    <w:p>
      <w:pPr>
        <w:autoSpaceDN w:val="0"/>
        <w:autoSpaceDE w:val="0"/>
        <w:widowControl/>
        <w:spacing w:line="330" w:lineRule="exact" w:before="32" w:after="0"/>
        <w:ind w:left="680" w:right="362" w:hanging="276"/>
        <w:jc w:val="both"/>
      </w:pPr>
      <w:r>
        <w:rPr>
          <w:w w:val="98.93931027116447"/>
          <w:rFonts w:ascii="SFRM1440" w:hAnsi="SFRM1440" w:eastAsia="SFRM1440"/>
          <w:b w:val="0"/>
          <w:i w:val="0"/>
          <w:color w:val="000000"/>
          <w:sz w:val="29"/>
        </w:rPr>
        <w:t>•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 Role-Based Access Control (RBAC):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Adopts enterprise-grade security protocols utilizing JSON Web Tokens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(JWT) and 2FA, enforcing strict data boundaries so Super Admins, Trainers, and Members access only authorized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information.</w:t>
      </w:r>
    </w:p>
    <w:p>
      <w:pPr>
        <w:autoSpaceDN w:val="0"/>
        <w:tabs>
          <w:tab w:pos="680" w:val="left"/>
        </w:tabs>
        <w:autoSpaceDE w:val="0"/>
        <w:widowControl/>
        <w:spacing w:line="338" w:lineRule="exact" w:before="24" w:after="16"/>
        <w:ind w:left="404" w:right="288" w:firstLine="0"/>
        <w:jc w:val="left"/>
      </w:pPr>
      <w:r>
        <w:rPr>
          <w:w w:val="98.93931027116447"/>
          <w:rFonts w:ascii="SFRM1440" w:hAnsi="SFRM1440" w:eastAsia="SFRM1440"/>
          <w:b w:val="0"/>
          <w:i w:val="0"/>
          <w:color w:val="000000"/>
          <w:sz w:val="29"/>
        </w:rPr>
        <w:t>•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 Stateless Scalability: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Engineered with a decoupled React/Spring Boot microservice-inspired architecture, allowing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the API and User Interface to be independently scaled, maintained, and deployed on modern edge networks.</w:t>
      </w:r>
      <w:r>
        <w:rPr>
          <w:w w:val="98.93931027116447"/>
          <w:rFonts w:ascii="SFRM1440" w:hAnsi="SFRM1440" w:eastAsia="SFRM1440"/>
          <w:b w:val="0"/>
          <w:i w:val="0"/>
          <w:color w:val="000000"/>
          <w:sz w:val="29"/>
        </w:rPr>
        <w:t>•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 Data-Driven Analytics: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Processes raw operational metrics (attendance, revenue, active subscriptions) into compre-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5166"/>
        <w:gridCol w:w="5166"/>
        <w:gridCol w:w="5166"/>
      </w:tblGrid>
      <w:tr>
        <w:trPr>
          <w:trHeight w:hRule="exact" w:val="416"/>
        </w:trPr>
        <w:tc>
          <w:tcPr>
            <w:tcW w:type="dxa" w:w="14994"/>
            <w:gridSpan w:val="3"/>
            <w:tcBorders/>
            <w:shd w:fill="cc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540" w:right="0" w:firstLine="0"/>
              <w:jc w:val="left"/>
            </w:pP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hensive visual dashboards, empowering decision-makers with actionable insights.</w:t>
            </w:r>
          </w:p>
        </w:tc>
      </w:tr>
      <w:tr>
        <w:trPr>
          <w:trHeight w:hRule="exact" w:val="600"/>
        </w:trPr>
        <w:tc>
          <w:tcPr>
            <w:tcW w:type="dxa" w:w="5200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18" w:after="0"/>
              <w:ind w:left="20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CC0000"/>
                <w:sz w:val="34"/>
              </w:rPr>
              <w:t>Beneficiaries</w:t>
            </w:r>
          </w:p>
        </w:tc>
        <w:tc>
          <w:tcPr>
            <w:tcW w:type="dxa" w:w="9794"/>
            <w:gridSpan w:val="2"/>
            <w:tcBorders/>
            <w:shd w:fill="cc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18" w:after="0"/>
              <w:ind w:left="538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CC0000"/>
                <w:sz w:val="34"/>
              </w:rPr>
              <w:t>Benefits</w:t>
            </w:r>
          </w:p>
        </w:tc>
      </w:tr>
      <w:tr>
        <w:trPr>
          <w:trHeight w:hRule="exact" w:val="2000"/>
        </w:trPr>
        <w:tc>
          <w:tcPr>
            <w:tcW w:type="dxa" w:w="5200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306" w:after="0"/>
              <w:ind w:left="178" w:right="432" w:firstLine="0"/>
              <w:jc w:val="left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Center Owners &amp; Operators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Admins and Front-desk Staff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Personal Trainers &amp; Coaches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Gym Members &amp; Subscribers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Financial Auditors &amp; Maintainers</w:t>
            </w:r>
          </w:p>
        </w:tc>
        <w:tc>
          <w:tcPr>
            <w:tcW w:type="dxa" w:w="9794"/>
            <w:gridSpan w:val="2"/>
            <w:tcBorders/>
            <w:shd w:fill="cc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306" w:after="0"/>
              <w:ind w:left="512" w:right="2160" w:firstLine="0"/>
              <w:jc w:val="left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Significantly Reduced Administrative Overhead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Automated Subscription &amp; Revenue Tracking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Enhanced Transparency via Tamper-proof Audit Logs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Improved Stakeholder Communication (Real-time)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Scalable Architecture for Multi-Branch Expansion</w:t>
            </w:r>
          </w:p>
        </w:tc>
      </w:tr>
      <w:tr>
        <w:trPr>
          <w:trHeight w:hRule="exact" w:val="380"/>
        </w:trPr>
        <w:tc>
          <w:tcPr>
            <w:tcW w:type="dxa" w:w="6268"/>
            <w:gridSpan w:val="2"/>
            <w:tcBorders/>
            <w:shd w:fill="cc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8" w:after="0"/>
              <w:ind w:left="127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CC0000"/>
                <w:sz w:val="34"/>
              </w:rPr>
              <w:t>System Architecture</w:t>
            </w:r>
          </w:p>
        </w:tc>
        <w:tc>
          <w:tcPr>
            <w:tcW w:type="dxa" w:w="8726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8" w:after="0"/>
              <w:ind w:left="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CC0000"/>
                <w:sz w:val="34"/>
              </w:rPr>
              <w:t>Enterprise Architectural &amp; Security Highlights</w:t>
            </w:r>
          </w:p>
        </w:tc>
      </w:tr>
      <w:tr>
        <w:trPr>
          <w:trHeight w:hRule="exact" w:val="2796"/>
        </w:trPr>
        <w:tc>
          <w:tcPr>
            <w:tcW w:type="dxa" w:w="6268"/>
            <w:gridSpan w:val="2"/>
            <w:vMerge w:val="restart"/>
            <w:tcBorders/>
            <w:shd w:fill="cc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568700" cy="3568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700" cy="356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26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26"/>
            </w:tblGrid>
            <w:tr>
              <w:trPr>
                <w:trHeight w:hRule="exact" w:val="424"/>
              </w:trPr>
              <w:tc>
                <w:tcPr>
                  <w:tcW w:type="dxa" w:w="8726"/>
                  <w:tcBorders/>
                  <w:shd w:fill="004b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120" w:after="0"/>
                    <w:ind w:left="156" w:right="0" w:firstLine="0"/>
                    <w:jc w:val="left"/>
                  </w:pP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>High-Performance Implementation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726"/>
            </w:tblGrid>
            <w:tr>
              <w:trPr>
                <w:trHeight w:hRule="exact" w:val="396"/>
              </w:trPr>
              <w:tc>
                <w:tcPr>
                  <w:tcW w:type="dxa" w:w="8686"/>
                  <w:tcBorders/>
                  <w:shd w:fill="004b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2" w:lineRule="exact" w:before="18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SFRM1440" w:hAnsi="SFRM1440" w:eastAsia="SFRM1440"/>
                      <w:b w:val="0"/>
                      <w:i w:val="0"/>
                      <w:color w:val="000000"/>
                      <w:sz w:val="29"/>
                    </w:rPr>
                    <w:t>•</w:t>
                  </w: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 xml:space="preserve"> Rapid Client UI:</w:t>
                  </w: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 xml:space="preserve"> Built with React 18, TypeScript, and func-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726"/>
            </w:tblGrid>
            <w:tr>
              <w:trPr>
                <w:trHeight w:hRule="exact" w:val="678"/>
              </w:trPr>
              <w:tc>
                <w:tcPr>
                  <w:tcW w:type="dxa" w:w="8686"/>
                  <w:tcBorders/>
                  <w:shd w:fill="004b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6" w:after="0"/>
                    <w:ind w:left="474" w:right="0" w:firstLine="0"/>
                    <w:jc w:val="left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tional components ensuring seamless engagement.</w:t>
                  </w:r>
                </w:p>
                <w:p>
                  <w:pPr>
                    <w:autoSpaceDN w:val="0"/>
                    <w:autoSpaceDE w:val="0"/>
                    <w:widowControl/>
                    <w:spacing w:line="362" w:lineRule="exact" w:before="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SFRM1440" w:hAnsi="SFRM1440" w:eastAsia="SFRM1440"/>
                      <w:b w:val="0"/>
                      <w:i w:val="0"/>
                      <w:color w:val="000000"/>
                      <w:sz w:val="29"/>
                    </w:rPr>
                    <w:t>•</w:t>
                  </w: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 xml:space="preserve"> Backend Engine:</w:t>
                  </w: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 xml:space="preserve"> Secured REST API on Java 17 / Spring Boot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726"/>
            </w:tblGrid>
            <w:tr>
              <w:trPr>
                <w:trHeight w:hRule="exact" w:val="678"/>
              </w:trPr>
              <w:tc>
                <w:tcPr>
                  <w:tcW w:type="dxa" w:w="8686"/>
                  <w:tcBorders/>
                  <w:shd w:fill="004b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6" w:after="0"/>
                    <w:ind w:left="474" w:right="0" w:firstLine="0"/>
                    <w:jc w:val="left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3 handling operations with under 200ms latency.</w:t>
                  </w:r>
                </w:p>
                <w:p>
                  <w:pPr>
                    <w:autoSpaceDN w:val="0"/>
                    <w:autoSpaceDE w:val="0"/>
                    <w:widowControl/>
                    <w:spacing w:line="362" w:lineRule="exact" w:before="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SFRM1440" w:hAnsi="SFRM1440" w:eastAsia="SFRM1440"/>
                      <w:b w:val="0"/>
                      <w:i w:val="0"/>
                      <w:color w:val="000000"/>
                      <w:sz w:val="29"/>
                    </w:rPr>
                    <w:t>•</w:t>
                  </w: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 xml:space="preserve"> Data Integrity:</w:t>
                  </w: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 xml:space="preserve"> Optimised, ACID-compliant data persistence via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726"/>
            </w:tblGrid>
            <w:tr>
              <w:trPr>
                <w:trHeight w:hRule="exact" w:val="384"/>
              </w:trPr>
              <w:tc>
                <w:tcPr>
                  <w:tcW w:type="dxa" w:w="8686"/>
                  <w:tcBorders/>
                  <w:shd w:fill="004b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16" w:after="0"/>
                    <w:ind w:left="474" w:right="0" w:firstLine="0"/>
                    <w:jc w:val="left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Oracle Database using strictly parameterised SQL.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24"/>
        </w:trPr>
        <w:tc>
          <w:tcPr>
            <w:tcW w:type="dxa" w:w="10332"/>
            <w:gridSpan w:val="2"/>
            <w:vMerge/>
            <w:tcBorders/>
          </w:tcPr>
          <w:p/>
        </w:tc>
        <w:tc>
          <w:tcPr>
            <w:tcW w:type="dxa" w:w="8726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  <w:tab w:pos="494" w:val="left"/>
              </w:tabs>
              <w:autoSpaceDE w:val="0"/>
              <w:widowControl/>
              <w:spacing w:line="358" w:lineRule="exact" w:before="416" w:after="0"/>
              <w:ind w:left="156" w:right="144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Security &amp; Real-time Functional Modules</w:t>
            </w:r>
            <w:r>
              <w:br/>
            </w:r>
            <w:r>
              <w:rPr>
                <w:w w:val="98.93931027116447"/>
                <w:rFonts w:ascii="SFRM1440" w:hAnsi="SFRM1440" w:eastAsia="SFRM1440"/>
                <w:b w:val="0"/>
                <w:i w:val="0"/>
                <w:color w:val="000000"/>
                <w:sz w:val="29"/>
              </w:rPr>
              <w:t>•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 Zero-Trust Security: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Full OWASP compliance via BCrypt hash-</w:t>
            </w:r>
            <w:r>
              <w:tab/>
            </w:r>
            <w:r>
              <w:tab/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ing, JWT Auth, and Email OTP 2-Factor Authentication.</w:t>
            </w:r>
          </w:p>
          <w:p>
            <w:pPr>
              <w:autoSpaceDN w:val="0"/>
              <w:tabs>
                <w:tab w:pos="494" w:val="left"/>
              </w:tabs>
              <w:autoSpaceDE w:val="0"/>
              <w:widowControl/>
              <w:spacing w:line="332" w:lineRule="exact" w:before="32" w:after="0"/>
              <w:ind w:left="216" w:right="144" w:firstLine="0"/>
              <w:jc w:val="left"/>
            </w:pPr>
            <w:r>
              <w:rPr>
                <w:w w:val="98.93931027116447"/>
                <w:rFonts w:ascii="SFRM1440" w:hAnsi="SFRM1440" w:eastAsia="SFRM1440"/>
                <w:b w:val="0"/>
                <w:i w:val="0"/>
                <w:color w:val="000000"/>
                <w:sz w:val="29"/>
              </w:rPr>
              <w:t>•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 Advanced RBAC: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Multi-tier dynamic isolation strictly govern-</w:t>
            </w:r>
            <w:r>
              <w:tab/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ing data interfaces for Admins, Owners, Trainers, and Members.</w:t>
            </w:r>
            <w:r>
              <w:rPr>
                <w:w w:val="98.93931027116447"/>
                <w:rFonts w:ascii="SFRM1440" w:hAnsi="SFRM1440" w:eastAsia="SFRM1440"/>
                <w:b w:val="0"/>
                <w:i w:val="0"/>
                <w:color w:val="000000"/>
                <w:sz w:val="29"/>
              </w:rPr>
              <w:t>•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 Low-Latency Messaging: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Bi-directional WebSockets (STOMP </w:t>
            </w:r>
            <w:r>
              <w:tab/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Protocol) facilitating critical alerts and live chat seamlessly.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5166"/>
        <w:gridCol w:w="5166"/>
        <w:gridCol w:w="5166"/>
      </w:tblGrid>
      <w:tr>
        <w:trPr>
          <w:trHeight w:hRule="exact" w:val="322"/>
        </w:trPr>
        <w:tc>
          <w:tcPr>
            <w:tcW w:type="dxa" w:w="9120"/>
            <w:gridSpan w:val="2"/>
            <w:tcBorders/>
            <w:shd w:fill="cc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84" w:right="0" w:firstLine="0"/>
              <w:jc w:val="left"/>
            </w:pP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Figure 1: Full-Stack IT Architecture &amp; Core Services</w:t>
            </w:r>
          </w:p>
        </w:tc>
        <w:tc>
          <w:tcPr>
            <w:tcW w:type="dxa" w:w="6120"/>
            <w:vMerge w:val="restart"/>
            <w:tcBorders/>
            <w:shd w:fill="cc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2.00000000000045" w:type="dxa"/>
            </w:tblPr>
            <w:tblGrid>
              <w:gridCol w:w="3060"/>
              <w:gridCol w:w="3060"/>
            </w:tblGrid>
            <w:tr>
              <w:trPr>
                <w:trHeight w:hRule="exact" w:val="448"/>
              </w:trPr>
              <w:tc>
                <w:tcPr>
                  <w:tcW w:type="dxa" w:w="225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dceb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9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>Department</w:t>
                  </w:r>
                </w:p>
              </w:tc>
              <w:tc>
                <w:tcPr>
                  <w:tcW w:type="dxa" w:w="348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dceb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92" w:after="0"/>
                    <w:ind w:left="118" w:right="0" w:firstLine="0"/>
                    <w:jc w:val="left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B.Tech IT</w:t>
                  </w:r>
                </w:p>
              </w:tc>
            </w:tr>
            <w:tr>
              <w:trPr>
                <w:trHeight w:hRule="exact" w:val="448"/>
              </w:trPr>
              <w:tc>
                <w:tcPr>
                  <w:tcW w:type="dxa" w:w="225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dceb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9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>Semester</w:t>
                  </w:r>
                </w:p>
              </w:tc>
              <w:tc>
                <w:tcPr>
                  <w:tcW w:type="dxa" w:w="348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dceb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92" w:after="0"/>
                    <w:ind w:left="118" w:right="0" w:firstLine="0"/>
                    <w:jc w:val="left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Semester – VIII</w:t>
                  </w:r>
                </w:p>
              </w:tc>
            </w:tr>
            <w:tr>
              <w:trPr>
                <w:trHeight w:hRule="exact" w:val="448"/>
              </w:trPr>
              <w:tc>
                <w:tcPr>
                  <w:tcW w:type="dxa" w:w="225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dceb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9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>Name</w:t>
                  </w:r>
                </w:p>
              </w:tc>
              <w:tc>
                <w:tcPr>
                  <w:tcW w:type="dxa" w:w="348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dceb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94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Suthar Aryan Sujalkumar</w:t>
                  </w:r>
                </w:p>
              </w:tc>
            </w:tr>
            <w:tr>
              <w:trPr>
                <w:trHeight w:hRule="exact" w:val="448"/>
              </w:trPr>
              <w:tc>
                <w:tcPr>
                  <w:tcW w:type="dxa" w:w="225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dceb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94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>Enrolment No</w:t>
                  </w:r>
                </w:p>
              </w:tc>
              <w:tc>
                <w:tcPr>
                  <w:tcW w:type="dxa" w:w="348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dceb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94" w:after="0"/>
                    <w:ind w:left="118" w:right="0" w:firstLine="0"/>
                    <w:jc w:val="left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23C25512</w:t>
                  </w:r>
                </w:p>
              </w:tc>
            </w:tr>
            <w:tr>
              <w:trPr>
                <w:trHeight w:hRule="exact" w:val="430"/>
              </w:trPr>
              <w:tc>
                <w:tcPr>
                  <w:tcW w:type="dxa" w:w="225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dceb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9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>Guide</w:t>
                  </w:r>
                </w:p>
              </w:tc>
              <w:tc>
                <w:tcPr>
                  <w:tcW w:type="dxa" w:w="348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dceb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94" w:after="0"/>
                    <w:ind w:left="118" w:right="0" w:firstLine="0"/>
                    <w:jc w:val="left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Dr. Ashutosh Abhangi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80"/>
        </w:trPr>
        <w:tc>
          <w:tcPr>
            <w:tcW w:type="dxa" w:w="4740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50" w:after="0"/>
              <w:ind w:left="20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CC0000"/>
                <w:sz w:val="34"/>
              </w:rPr>
              <w:t>Functional Modules</w:t>
            </w:r>
          </w:p>
        </w:tc>
        <w:tc>
          <w:tcPr>
            <w:tcW w:type="dxa" w:w="4380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28" w:after="0"/>
              <w:ind w:left="14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CC0000"/>
                <w:sz w:val="34"/>
              </w:rPr>
              <w:t>Future Scope</w:t>
            </w:r>
          </w:p>
        </w:tc>
        <w:tc>
          <w:tcPr>
            <w:tcW w:type="dxa" w:w="5166"/>
            <w:vMerge/>
            <w:tcBorders/>
          </w:tcPr>
          <w:p/>
        </w:tc>
      </w:tr>
      <w:tr>
        <w:trPr>
          <w:trHeight w:hRule="exact" w:val="3218"/>
        </w:trPr>
        <w:tc>
          <w:tcPr>
            <w:tcW w:type="dxa" w:w="4740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  <w:tab w:pos="2286" w:val="left"/>
                <w:tab w:pos="3588" w:val="left"/>
              </w:tabs>
              <w:autoSpaceDE w:val="0"/>
              <w:widowControl/>
              <w:spacing w:line="522" w:lineRule="exact" w:before="0" w:after="0"/>
              <w:ind w:left="178" w:right="0" w:firstLine="0"/>
              <w:jc w:val="left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Multi-Role Dashboard System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Membership 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ment </w:t>
            </w:r>
            <w:r>
              <w:tab/>
            </w:r>
            <w:r>
              <w:tab/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Lifecycle </w:t>
            </w:r>
            <w:r>
              <w:tab/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Manage-</w:t>
            </w:r>
          </w:p>
          <w:p>
            <w:pPr>
              <w:autoSpaceDN w:val="0"/>
              <w:autoSpaceDE w:val="0"/>
              <w:widowControl/>
              <w:spacing w:line="534" w:lineRule="exact" w:before="68" w:after="0"/>
              <w:ind w:left="178" w:right="0" w:firstLine="0"/>
              <w:jc w:val="left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Attendance &amp; Progress Tracking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Subscription &amp; Payment Work-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flows</w:t>
            </w:r>
          </w:p>
          <w:p>
            <w:pPr>
              <w:autoSpaceDN w:val="0"/>
              <w:autoSpaceDE w:val="0"/>
              <w:widowControl/>
              <w:spacing w:line="398" w:lineRule="exact" w:before="204" w:after="0"/>
              <w:ind w:left="178" w:right="576" w:firstLine="0"/>
              <w:jc w:val="left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Trainer–Member Live Chat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Super Admin Audit Logging</w:t>
            </w:r>
          </w:p>
        </w:tc>
        <w:tc>
          <w:tcPr>
            <w:tcW w:type="dxa" w:w="4380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388" w:after="0"/>
              <w:ind w:left="112" w:right="144" w:firstLine="0"/>
              <w:jc w:val="left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AI-Driven Workout Plans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Biometric Login Integration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Mobile App (React Native)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Multi-Branch Franchise Mode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Payment Gateway (Stripe)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Wearable Device Sync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Offline Mode &amp; Caching</w:t>
            </w:r>
          </w:p>
        </w:tc>
        <w:tc>
          <w:tcPr>
            <w:tcW w:type="dxa" w:w="51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23811"/>
      <w:pgMar w:top="56" w:right="660" w:bottom="624" w:left="6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