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749"/>
        <w:gridCol w:w="7749"/>
      </w:tblGrid>
      <w:tr>
        <w:trPr>
          <w:trHeight w:hRule="exact" w:val="2108"/>
        </w:trPr>
        <w:tc>
          <w:tcPr>
            <w:tcW w:type="dxa" w:w="4320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3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59279" cy="11544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79" cy="1154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58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810" w:after="0"/>
              <w:ind w:left="1008" w:right="1584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4B99"/>
                <w:sz w:val="50"/>
              </w:rPr>
              <w:t xml:space="preserve">FULL-STACK </w:t>
            </w:r>
            <w:r>
              <w:br/>
            </w:r>
            <w:r>
              <w:rPr>
                <w:rFonts w:ascii="CMBX12" w:hAnsi="CMBX12" w:eastAsia="CMBX12"/>
                <w:b/>
                <w:i w:val="0"/>
                <w:color w:val="004B99"/>
                <w:sz w:val="50"/>
              </w:rPr>
              <w:t>GYM MANAGEMENT SYSTEM</w:t>
            </w:r>
          </w:p>
        </w:tc>
      </w:tr>
    </w:tbl>
    <w:p>
      <w:pPr>
        <w:autoSpaceDN w:val="0"/>
        <w:autoSpaceDE w:val="0"/>
        <w:widowControl/>
        <w:spacing w:line="346" w:lineRule="exact" w:before="614" w:after="0"/>
        <w:ind w:left="344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CC0000"/>
          <w:sz w:val="34"/>
        </w:rPr>
        <w:t>Brief Description</w:t>
      </w:r>
    </w:p>
    <w:p>
      <w:pPr>
        <w:autoSpaceDN w:val="0"/>
        <w:autoSpaceDE w:val="0"/>
        <w:widowControl/>
        <w:spacing w:line="338" w:lineRule="exact" w:before="42" w:after="0"/>
        <w:ind w:left="344" w:right="362" w:firstLine="0"/>
        <w:jc w:val="both"/>
      </w:pP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This is a robust, event-driven, full-stack platform designed to streamline and modernize daily fitness center operations.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Leveraging an advanced Next.js/React frontend and a highly secure Spring Boot backend, the system offers a user-friendly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digital environment for gym administrators, trainers, and members. It automates critical workflows including subscription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management, attendance tracking, secure payment processing, and role-based data isolation. By integrating real-time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notifications and scalable background processing, the platform ensures high operational efficiency and fosters elevated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member engagement.</w:t>
      </w:r>
    </w:p>
    <w:p>
      <w:pPr>
        <w:autoSpaceDN w:val="0"/>
        <w:tabs>
          <w:tab w:pos="404" w:val="left"/>
          <w:tab w:pos="680" w:val="left"/>
        </w:tabs>
        <w:autoSpaceDE w:val="0"/>
        <w:widowControl/>
        <w:spacing w:line="362" w:lineRule="exact" w:before="356" w:after="0"/>
        <w:ind w:left="344" w:right="288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CC0000"/>
          <w:sz w:val="34"/>
        </w:rPr>
        <w:t>Principle</w:t>
      </w:r>
      <w:r>
        <w:br/>
      </w:r>
      <w:r>
        <w:rPr>
          <w:w w:val="98.93931027116447"/>
          <w:rFonts w:ascii="SFRM1440" w:hAnsi="SFRM1440" w:eastAsia="SFRM1440"/>
          <w:b w:val="0"/>
          <w:i w:val="0"/>
          <w:color w:val="000000"/>
          <w:sz w:val="29"/>
        </w:rPr>
        <w:t>•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 Event-Driven Architecture: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Utilizes continuous background event processors to trigger real-time notifications, </w:t>
      </w:r>
      <w:r>
        <w:tab/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payment reminders, and systemic audit logs asynchronously without blocking primary user workflows.</w:t>
      </w:r>
    </w:p>
    <w:p>
      <w:pPr>
        <w:autoSpaceDN w:val="0"/>
        <w:autoSpaceDE w:val="0"/>
        <w:widowControl/>
        <w:spacing w:line="330" w:lineRule="exact" w:before="32" w:after="0"/>
        <w:ind w:left="680" w:right="362" w:hanging="276"/>
        <w:jc w:val="both"/>
      </w:pPr>
      <w:r>
        <w:rPr>
          <w:w w:val="98.93931027116447"/>
          <w:rFonts w:ascii="SFRM1440" w:hAnsi="SFRM1440" w:eastAsia="SFRM1440"/>
          <w:b w:val="0"/>
          <w:i w:val="0"/>
          <w:color w:val="000000"/>
          <w:sz w:val="29"/>
        </w:rPr>
        <w:t>•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 Role-Based Access Control (RBAC):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Adopts enterprise-grade security protocols utilizing JSON Web Tokens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(JWT) and 2FA, enforcing strict data boundaries so Super Admins, Trainers, and Members access only authorized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information.</w:t>
      </w:r>
    </w:p>
    <w:p>
      <w:pPr>
        <w:autoSpaceDN w:val="0"/>
        <w:tabs>
          <w:tab w:pos="680" w:val="left"/>
        </w:tabs>
        <w:autoSpaceDE w:val="0"/>
        <w:widowControl/>
        <w:spacing w:line="338" w:lineRule="exact" w:before="24" w:after="16"/>
        <w:ind w:left="404" w:right="288" w:firstLine="0"/>
        <w:jc w:val="left"/>
      </w:pPr>
      <w:r>
        <w:rPr>
          <w:w w:val="98.93931027116447"/>
          <w:rFonts w:ascii="SFRM1440" w:hAnsi="SFRM1440" w:eastAsia="SFRM1440"/>
          <w:b w:val="0"/>
          <w:i w:val="0"/>
          <w:color w:val="000000"/>
          <w:sz w:val="29"/>
        </w:rPr>
        <w:t>•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 Stateless Scalability: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Engineered with a decoupled React/Spring Boot microservice-inspired architecture, allowing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the API and User Interface to be independently scaled, maintained, and deployed on modern edge networks.</w:t>
      </w:r>
      <w:r>
        <w:rPr>
          <w:w w:val="98.93931027116447"/>
          <w:rFonts w:ascii="SFRM1440" w:hAnsi="SFRM1440" w:eastAsia="SFRM1440"/>
          <w:b w:val="0"/>
          <w:i w:val="0"/>
          <w:color w:val="000000"/>
          <w:sz w:val="29"/>
        </w:rPr>
        <w:t>•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 Data-Driven Analytics: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Processes raw operational metrics (attendance, revenue, active subscriptions) into compre-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5166"/>
        <w:gridCol w:w="5166"/>
        <w:gridCol w:w="5166"/>
      </w:tblGrid>
      <w:tr>
        <w:trPr>
          <w:trHeight w:hRule="exact" w:val="416"/>
        </w:trPr>
        <w:tc>
          <w:tcPr>
            <w:tcW w:type="dxa" w:w="14994"/>
            <w:gridSpan w:val="3"/>
            <w:tcBorders/>
            <w:shd w:fill="cc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" w:after="0"/>
              <w:ind w:left="540" w:right="0" w:firstLine="0"/>
              <w:jc w:val="left"/>
            </w:pP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hensive visual dashboards, empowering decision-makers with actionable insights.</w:t>
            </w:r>
          </w:p>
        </w:tc>
      </w:tr>
      <w:tr>
        <w:trPr>
          <w:trHeight w:hRule="exact" w:val="600"/>
        </w:trPr>
        <w:tc>
          <w:tcPr>
            <w:tcW w:type="dxa" w:w="5200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18" w:after="0"/>
              <w:ind w:left="204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CC0000"/>
                <w:sz w:val="34"/>
              </w:rPr>
              <w:t>Beneficiaries</w:t>
            </w:r>
          </w:p>
        </w:tc>
        <w:tc>
          <w:tcPr>
            <w:tcW w:type="dxa" w:w="9794"/>
            <w:gridSpan w:val="2"/>
            <w:tcBorders/>
            <w:shd w:fill="cc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18" w:after="0"/>
              <w:ind w:left="538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CC0000"/>
                <w:sz w:val="34"/>
              </w:rPr>
              <w:t>Benefits</w:t>
            </w:r>
          </w:p>
        </w:tc>
      </w:tr>
      <w:tr>
        <w:trPr>
          <w:trHeight w:hRule="exact" w:val="2000"/>
        </w:trPr>
        <w:tc>
          <w:tcPr>
            <w:tcW w:type="dxa" w:w="5200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306" w:after="0"/>
              <w:ind w:left="178" w:right="432" w:firstLine="0"/>
              <w:jc w:val="left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Center Owners &amp; Operators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Admins and Front-desk Staff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Personal Trainers &amp; Coaches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Gym Members &amp; Subscribers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Financial Auditors &amp; Maintainers</w:t>
            </w:r>
          </w:p>
        </w:tc>
        <w:tc>
          <w:tcPr>
            <w:tcW w:type="dxa" w:w="9794"/>
            <w:gridSpan w:val="2"/>
            <w:tcBorders/>
            <w:shd w:fill="cc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306" w:after="0"/>
              <w:ind w:left="512" w:right="2160" w:firstLine="0"/>
              <w:jc w:val="left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Significantly Reduced Administrative Overhead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Automated Subscription &amp; Revenue Tracking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Enhanced Transparency via Tamper-proof Audit Logs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Improved Stakeholder Communication (Real-time)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Scalable Architecture for Multi-Branch Expansion</w:t>
            </w:r>
          </w:p>
        </w:tc>
      </w:tr>
      <w:tr>
        <w:trPr>
          <w:trHeight w:hRule="exact" w:val="380"/>
        </w:trPr>
        <w:tc>
          <w:tcPr>
            <w:tcW w:type="dxa" w:w="6268"/>
            <w:gridSpan w:val="2"/>
            <w:tcBorders/>
            <w:shd w:fill="cc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8" w:after="0"/>
              <w:ind w:left="1270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CC0000"/>
                <w:sz w:val="34"/>
              </w:rPr>
              <w:t>System Architecture</w:t>
            </w:r>
          </w:p>
        </w:tc>
        <w:tc>
          <w:tcPr>
            <w:tcW w:type="dxa" w:w="8726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8" w:after="0"/>
              <w:ind w:left="0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CC0000"/>
                <w:sz w:val="34"/>
              </w:rPr>
              <w:t>Enterprise Architectural &amp; Security Highlights</w:t>
            </w:r>
          </w:p>
        </w:tc>
      </w:tr>
      <w:tr>
        <w:trPr>
          <w:trHeight w:hRule="exact" w:val="2776"/>
        </w:trPr>
        <w:tc>
          <w:tcPr>
            <w:tcW w:type="dxa" w:w="6268"/>
            <w:gridSpan w:val="2"/>
            <w:vMerge w:val="restart"/>
            <w:tcBorders/>
            <w:shd w:fill="cc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568700" cy="3568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700" cy="356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26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726"/>
            </w:tblGrid>
            <w:tr>
              <w:trPr>
                <w:trHeight w:hRule="exact" w:val="414"/>
              </w:trPr>
              <w:tc>
                <w:tcPr>
                  <w:tcW w:type="dxa" w:w="8726"/>
                  <w:tcBorders/>
                  <w:shd w:fill="004b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110" w:after="0"/>
                    <w:ind w:left="146" w:right="0" w:firstLine="0"/>
                    <w:jc w:val="left"/>
                  </w:pP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>High-Performance Implementation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8726"/>
            </w:tblGrid>
            <w:tr>
              <w:trPr>
                <w:trHeight w:hRule="exact" w:val="396"/>
              </w:trPr>
              <w:tc>
                <w:tcPr>
                  <w:tcW w:type="dxa" w:w="8706"/>
                  <w:tcBorders/>
                  <w:shd w:fill="004b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2" w:lineRule="exact" w:before="18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SFRM1440" w:hAnsi="SFRM1440" w:eastAsia="SFRM1440"/>
                      <w:b w:val="0"/>
                      <w:i w:val="0"/>
                      <w:color w:val="000000"/>
                      <w:sz w:val="29"/>
                    </w:rPr>
                    <w:t>•</w:t>
                  </w: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 xml:space="preserve"> Rapid Client UI:</w:t>
                  </w: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 xml:space="preserve"> Built with React 18, TypeScript, and func-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8726"/>
            </w:tblGrid>
            <w:tr>
              <w:trPr>
                <w:trHeight w:hRule="exact" w:val="678"/>
              </w:trPr>
              <w:tc>
                <w:tcPr>
                  <w:tcW w:type="dxa" w:w="8706"/>
                  <w:tcBorders/>
                  <w:shd w:fill="004b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6" w:after="0"/>
                    <w:ind w:left="474" w:right="0" w:firstLine="0"/>
                    <w:jc w:val="left"/>
                  </w:pP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>tional components ensuring seamless engagement.</w:t>
                  </w:r>
                </w:p>
                <w:p>
                  <w:pPr>
                    <w:autoSpaceDN w:val="0"/>
                    <w:autoSpaceDE w:val="0"/>
                    <w:widowControl/>
                    <w:spacing w:line="362" w:lineRule="exact" w:before="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SFRM1440" w:hAnsi="SFRM1440" w:eastAsia="SFRM1440"/>
                      <w:b w:val="0"/>
                      <w:i w:val="0"/>
                      <w:color w:val="000000"/>
                      <w:sz w:val="29"/>
                    </w:rPr>
                    <w:t>•</w:t>
                  </w: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 xml:space="preserve"> Backend Engine:</w:t>
                  </w: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 xml:space="preserve"> Secured REST API on Java 17 / Spring Boot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8726"/>
            </w:tblGrid>
            <w:tr>
              <w:trPr>
                <w:trHeight w:hRule="exact" w:val="678"/>
              </w:trPr>
              <w:tc>
                <w:tcPr>
                  <w:tcW w:type="dxa" w:w="8706"/>
                  <w:tcBorders/>
                  <w:shd w:fill="004b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6" w:after="0"/>
                    <w:ind w:left="474" w:right="0" w:firstLine="0"/>
                    <w:jc w:val="left"/>
                  </w:pP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>3 handling operations with under 200ms latency.</w:t>
                  </w:r>
                </w:p>
                <w:p>
                  <w:pPr>
                    <w:autoSpaceDN w:val="0"/>
                    <w:autoSpaceDE w:val="0"/>
                    <w:widowControl/>
                    <w:spacing w:line="362" w:lineRule="exact" w:before="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SFRM1440" w:hAnsi="SFRM1440" w:eastAsia="SFRM1440"/>
                      <w:b w:val="0"/>
                      <w:i w:val="0"/>
                      <w:color w:val="000000"/>
                      <w:sz w:val="29"/>
                    </w:rPr>
                    <w:t>•</w:t>
                  </w: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 xml:space="preserve"> Data Integrity:</w:t>
                  </w: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 xml:space="preserve"> Optimised, ACID-compliant data persistence via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8726"/>
            </w:tblGrid>
            <w:tr>
              <w:trPr>
                <w:trHeight w:hRule="exact" w:val="384"/>
              </w:trPr>
              <w:tc>
                <w:tcPr>
                  <w:tcW w:type="dxa" w:w="8706"/>
                  <w:tcBorders/>
                  <w:shd w:fill="004b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16" w:after="0"/>
                    <w:ind w:left="474" w:right="0" w:firstLine="0"/>
                    <w:jc w:val="left"/>
                  </w:pP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>Oracle Database using strictly parameterised SQL.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44"/>
        </w:trPr>
        <w:tc>
          <w:tcPr>
            <w:tcW w:type="dxa" w:w="10332"/>
            <w:gridSpan w:val="2"/>
            <w:vMerge/>
            <w:tcBorders/>
          </w:tcPr>
          <w:p/>
        </w:tc>
        <w:tc>
          <w:tcPr>
            <w:tcW w:type="dxa" w:w="8726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6" w:val="left"/>
                <w:tab w:pos="484" w:val="left"/>
              </w:tabs>
              <w:autoSpaceDE w:val="0"/>
              <w:widowControl/>
              <w:spacing w:line="358" w:lineRule="exact" w:before="406" w:after="0"/>
              <w:ind w:left="146" w:right="144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Security &amp; Real-time Functional Modules</w:t>
            </w:r>
            <w:r>
              <w:br/>
            </w:r>
            <w:r>
              <w:rPr>
                <w:w w:val="98.93931027116447"/>
                <w:rFonts w:ascii="SFRM1440" w:hAnsi="SFRM1440" w:eastAsia="SFRM1440"/>
                <w:b w:val="0"/>
                <w:i w:val="0"/>
                <w:color w:val="000000"/>
                <w:sz w:val="29"/>
              </w:rPr>
              <w:t>•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 xml:space="preserve"> Zero-Trust Security: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Full OWASP compliance via BCrypt hash-</w:t>
            </w:r>
            <w:r>
              <w:tab/>
            </w:r>
            <w:r>
              <w:tab/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ing, JWT Auth, and Email OTP 2-Factor Authentication.</w:t>
            </w:r>
          </w:p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332" w:lineRule="exact" w:before="30" w:after="0"/>
              <w:ind w:left="206" w:right="144" w:firstLine="0"/>
              <w:jc w:val="left"/>
            </w:pPr>
            <w:r>
              <w:rPr>
                <w:w w:val="98.93931027116447"/>
                <w:rFonts w:ascii="SFRM1440" w:hAnsi="SFRM1440" w:eastAsia="SFRM1440"/>
                <w:b w:val="0"/>
                <w:i w:val="0"/>
                <w:color w:val="000000"/>
                <w:sz w:val="29"/>
              </w:rPr>
              <w:t>•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 xml:space="preserve"> Advanced RBAC: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Multi-tier dynamic isolation strictly govern-</w:t>
            </w:r>
            <w:r>
              <w:tab/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ing data interfaces for Admins, Owners, Trainers, and Members.</w:t>
            </w:r>
            <w:r>
              <w:rPr>
                <w:w w:val="98.93931027116447"/>
                <w:rFonts w:ascii="SFRM1440" w:hAnsi="SFRM1440" w:eastAsia="SFRM1440"/>
                <w:b w:val="0"/>
                <w:i w:val="0"/>
                <w:color w:val="000000"/>
                <w:sz w:val="29"/>
              </w:rPr>
              <w:t>•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 xml:space="preserve"> Low-Latency Messaging: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Bi-directional WebSockets (STOMP </w:t>
            </w:r>
            <w:r>
              <w:tab/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Protocol) facilitating critical alerts and live chat seamlessly.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5166"/>
        <w:gridCol w:w="5166"/>
        <w:gridCol w:w="5166"/>
      </w:tblGrid>
      <w:tr>
        <w:trPr>
          <w:trHeight w:hRule="exact" w:val="322"/>
        </w:trPr>
        <w:tc>
          <w:tcPr>
            <w:tcW w:type="dxa" w:w="9120"/>
            <w:gridSpan w:val="2"/>
            <w:tcBorders/>
            <w:shd w:fill="cc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84" w:right="0" w:firstLine="0"/>
              <w:jc w:val="left"/>
            </w:pPr>
            <w:r>
              <w:rPr>
                <w:rFonts w:ascii="CMTI12" w:hAnsi="CMTI12" w:eastAsia="CMTI12"/>
                <w:b w:val="0"/>
                <w:i/>
                <w:color w:val="000000"/>
                <w:sz w:val="24"/>
              </w:rPr>
              <w:t>Figure 1: Full-Stack IT Architecture &amp; Core Services</w:t>
            </w:r>
          </w:p>
        </w:tc>
        <w:tc>
          <w:tcPr>
            <w:tcW w:type="dxa" w:w="6120"/>
            <w:vMerge w:val="restart"/>
            <w:tcBorders/>
            <w:shd w:fill="cc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2.00000000000045" w:type="dxa"/>
            </w:tblPr>
            <w:tblGrid>
              <w:gridCol w:w="3060"/>
              <w:gridCol w:w="3060"/>
            </w:tblGrid>
            <w:tr>
              <w:trPr>
                <w:trHeight w:hRule="exact" w:val="448"/>
              </w:trPr>
              <w:tc>
                <w:tcPr>
                  <w:tcW w:type="dxa" w:w="225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f4fa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9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>Department</w:t>
                  </w:r>
                </w:p>
              </w:tc>
              <w:tc>
                <w:tcPr>
                  <w:tcW w:type="dxa" w:w="348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92" w:after="0"/>
                    <w:ind w:left="118" w:right="0" w:firstLine="0"/>
                    <w:jc w:val="left"/>
                  </w:pP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>B.Tech IT</w:t>
                  </w:r>
                </w:p>
              </w:tc>
            </w:tr>
            <w:tr>
              <w:trPr>
                <w:trHeight w:hRule="exact" w:val="448"/>
              </w:trPr>
              <w:tc>
                <w:tcPr>
                  <w:tcW w:type="dxa" w:w="225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f4fa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9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>Semester</w:t>
                  </w:r>
                </w:p>
              </w:tc>
              <w:tc>
                <w:tcPr>
                  <w:tcW w:type="dxa" w:w="348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92" w:after="0"/>
                    <w:ind w:left="118" w:right="0" w:firstLine="0"/>
                    <w:jc w:val="left"/>
                  </w:pP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>Semester – VIII</w:t>
                  </w:r>
                </w:p>
              </w:tc>
            </w:tr>
            <w:tr>
              <w:trPr>
                <w:trHeight w:hRule="exact" w:val="448"/>
              </w:trPr>
              <w:tc>
                <w:tcPr>
                  <w:tcW w:type="dxa" w:w="225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f4fa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9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>Name</w:t>
                  </w:r>
                </w:p>
              </w:tc>
              <w:tc>
                <w:tcPr>
                  <w:tcW w:type="dxa" w:w="348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94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>Suthar Aryan Sujalkumar</w:t>
                  </w:r>
                </w:p>
              </w:tc>
            </w:tr>
            <w:tr>
              <w:trPr>
                <w:trHeight w:hRule="exact" w:val="448"/>
              </w:trPr>
              <w:tc>
                <w:tcPr>
                  <w:tcW w:type="dxa" w:w="225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f4fa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94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>Enrolment No</w:t>
                  </w:r>
                </w:p>
              </w:tc>
              <w:tc>
                <w:tcPr>
                  <w:tcW w:type="dxa" w:w="348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94" w:after="0"/>
                    <w:ind w:left="118" w:right="0" w:firstLine="0"/>
                    <w:jc w:val="left"/>
                  </w:pP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>23C25512</w:t>
                  </w:r>
                </w:p>
              </w:tc>
            </w:tr>
            <w:tr>
              <w:trPr>
                <w:trHeight w:hRule="exact" w:val="430"/>
              </w:trPr>
              <w:tc>
                <w:tcPr>
                  <w:tcW w:type="dxa" w:w="225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f4fa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9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CMBX12" w:hAnsi="CMBX12" w:eastAsia="CMBX12"/>
                      <w:b/>
                      <w:i w:val="0"/>
                      <w:color w:val="000000"/>
                      <w:sz w:val="29"/>
                    </w:rPr>
                    <w:t>Guide</w:t>
                  </w:r>
                </w:p>
              </w:tc>
              <w:tc>
                <w:tcPr>
                  <w:tcW w:type="dxa" w:w="348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94" w:after="0"/>
                    <w:ind w:left="118" w:right="0" w:firstLine="0"/>
                    <w:jc w:val="left"/>
                  </w:pPr>
                  <w:r>
                    <w:rPr>
                      <w:w w:val="98.93931027116447"/>
                      <w:rFonts w:ascii="CMR12" w:hAnsi="CMR12" w:eastAsia="CMR12"/>
                      <w:b w:val="0"/>
                      <w:i w:val="0"/>
                      <w:color w:val="000000"/>
                      <w:sz w:val="29"/>
                    </w:rPr>
                    <w:t>Dr. Ashutosh Abhangi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80"/>
        </w:trPr>
        <w:tc>
          <w:tcPr>
            <w:tcW w:type="dxa" w:w="4740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50" w:after="0"/>
              <w:ind w:left="204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CC0000"/>
                <w:sz w:val="34"/>
              </w:rPr>
              <w:t>Functional Modules</w:t>
            </w:r>
          </w:p>
        </w:tc>
        <w:tc>
          <w:tcPr>
            <w:tcW w:type="dxa" w:w="4380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328" w:after="0"/>
              <w:ind w:left="140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CC0000"/>
                <w:sz w:val="34"/>
              </w:rPr>
              <w:t>Future Scope</w:t>
            </w:r>
          </w:p>
        </w:tc>
        <w:tc>
          <w:tcPr>
            <w:tcW w:type="dxa" w:w="5166"/>
            <w:vMerge/>
            <w:tcBorders/>
          </w:tcPr>
          <w:p/>
        </w:tc>
      </w:tr>
      <w:tr>
        <w:trPr>
          <w:trHeight w:hRule="exact" w:val="3218"/>
        </w:trPr>
        <w:tc>
          <w:tcPr>
            <w:tcW w:type="dxa" w:w="4740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  <w:tab w:pos="2286" w:val="left"/>
                <w:tab w:pos="3588" w:val="left"/>
              </w:tabs>
              <w:autoSpaceDE w:val="0"/>
              <w:widowControl/>
              <w:spacing w:line="522" w:lineRule="exact" w:before="0" w:after="0"/>
              <w:ind w:left="178" w:right="0" w:firstLine="0"/>
              <w:jc w:val="left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Multi-Role Dashboard System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Membership 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ment </w:t>
            </w:r>
            <w:r>
              <w:tab/>
            </w:r>
            <w:r>
              <w:tab/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Lifecycle </w:t>
            </w:r>
            <w:r>
              <w:tab/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Manage-</w:t>
            </w:r>
          </w:p>
          <w:p>
            <w:pPr>
              <w:autoSpaceDN w:val="0"/>
              <w:autoSpaceDE w:val="0"/>
              <w:widowControl/>
              <w:spacing w:line="534" w:lineRule="exact" w:before="68" w:after="0"/>
              <w:ind w:left="178" w:right="0" w:firstLine="0"/>
              <w:jc w:val="left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Attendance &amp; Progress Tracking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Subscription &amp; Payment Work-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flows</w:t>
            </w:r>
          </w:p>
          <w:p>
            <w:pPr>
              <w:autoSpaceDN w:val="0"/>
              <w:autoSpaceDE w:val="0"/>
              <w:widowControl/>
              <w:spacing w:line="398" w:lineRule="exact" w:before="204" w:after="0"/>
              <w:ind w:left="178" w:right="576" w:firstLine="0"/>
              <w:jc w:val="left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Trainer–Member Live Chat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Super Admin Audit Logging</w:t>
            </w:r>
          </w:p>
        </w:tc>
        <w:tc>
          <w:tcPr>
            <w:tcW w:type="dxa" w:w="4380"/>
            <w:tcBorders/>
            <w:shd w:fill="c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388" w:after="0"/>
              <w:ind w:left="112" w:right="144" w:firstLine="0"/>
              <w:jc w:val="left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AI-Driven Workout Plans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Biometric Login Integration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Mobile App (React Native)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Multi-Branch Franchise Mode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Payment Gateway (Stripe)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Wearable Device Sync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≻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Offline Mode &amp; Caching</w:t>
            </w:r>
          </w:p>
        </w:tc>
        <w:tc>
          <w:tcPr>
            <w:tcW w:type="dxa" w:w="51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23811"/>
      <w:pgMar w:top="56" w:right="660" w:bottom="624" w:left="6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