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Strategic Investment Report: Phase 3 (2031–2033)</w:t>
      </w:r>
    </w:p>
    <w:p>
      <w:r>
        <w:br/>
        <w:t xml:space="preserve">In January 2031, the Indian government enacted a major policy shift under the Tech Sovereignty initiative by imposing a 30% import tariff on electronics and components imported from China. </w:t>
        <w:br/>
        <w:t>This move was designed to strengthen India's domestic industrial base and reduce reliance on foreign supply chains, especially in strategic sectors such as consumer electronics, telecom equipment, semiconductors, and electric vehicle (EV) components.</w:t>
        <w:br/>
      </w:r>
    </w:p>
    <w:p>
      <w:pPr>
        <w:pStyle w:val="Heading1"/>
      </w:pPr>
      <w:r>
        <w:t>Sectoral Impact Overview</w:t>
      </w:r>
    </w:p>
    <w:p>
      <w:r>
        <w:br/>
        <w:t>This policy created immediate ripple effects across key sectors:</w:t>
        <w:br/>
        <w:br/>
        <w:t>• Consumer Electronics: Companies dependent on imported kits and parts experienced shrinking margins and production bottlenecks.</w:t>
        <w:br/>
        <w:br/>
        <w:t>• Telecom Equipment: Firms reliant on low-cost Chinese networking components were compelled to localize sourcing.</w:t>
        <w:br/>
        <w:br/>
        <w:t>• Semiconductors and Embedded Systems: Import restrictions disrupted established procurement pipelines, requiring long-term reconfiguration.</w:t>
        <w:br/>
        <w:br/>
        <w:t>• Electric Vehicles: The 30% tariff raised the cost of imported battery packs and powertrain systems, encouraging local manufacturing innovation.</w:t>
        <w:br/>
      </w:r>
    </w:p>
    <w:p>
      <w:pPr>
        <w:pStyle w:val="Heading1"/>
      </w:pPr>
      <w:r>
        <w:t>Portfolio Reallocation Strategy</w:t>
      </w:r>
    </w:p>
    <w:p>
      <w:r>
        <w:br/>
        <w:t>To capitalize on this structural policy transformation, we propose reallocating the portfolio to favor Indian manufacturers and technology companies that directly benefit from import substitution and domestic policy incentives.</w:t>
        <w:br/>
      </w:r>
    </w:p>
    <w:p>
      <w:r>
        <w:t>Exit vulnerable import-reliant stocks (not currently held in the portfolio).</w:t>
      </w:r>
    </w:p>
    <w:p>
      <w:r>
        <w:t>Reallocate 60% to Indian electronics and telecom players, and 40% to large-cap leaders in strategic sectors.</w:t>
      </w:r>
    </w:p>
    <w:p>
      <w:pPr>
        <w:pStyle w:val="Heading1"/>
      </w:pPr>
      <w:r>
        <w:t>Company Deep Dives and Strategic Role</w:t>
      </w:r>
    </w:p>
    <w:p>
      <w:pPr>
        <w:pStyle w:val="Heading2"/>
      </w:pPr>
      <w:r>
        <w:t>Dixon Technologies</w:t>
      </w:r>
    </w:p>
    <w:p>
      <w:r>
        <w:t>Sector: Electronics Manufacturing Services (EMS)</w:t>
      </w:r>
    </w:p>
    <w:p>
      <w:r>
        <w:t>Founded: 1993</w:t>
      </w:r>
    </w:p>
    <w:p>
      <w:r>
        <w:t>Strategic Role: Key EMS player assembling TVs, washing machines, lighting products, mobile phones, and medical electronics for global and Indian brands.</w:t>
      </w:r>
    </w:p>
    <w:p>
      <w:r>
        <w:t>Real-world Usage: Day-to-day: Assembly of consumer electronics, LED lighting, smart TVs, and mobile phones used by end-users.</w:t>
      </w:r>
    </w:p>
    <w:p>
      <w:r>
        <w:t>Key Risks: Input cost sensitivity, OEM dependency, margin pressure.</w:t>
      </w:r>
    </w:p>
    <w:p>
      <w:pPr>
        <w:pStyle w:val="Heading2"/>
      </w:pPr>
      <w:r>
        <w:t>Tejas Networks</w:t>
      </w:r>
    </w:p>
    <w:p>
      <w:r>
        <w:t>Sector: Telecom Equipment</w:t>
      </w:r>
    </w:p>
    <w:p>
      <w:r>
        <w:t>Founded: 2000</w:t>
      </w:r>
    </w:p>
    <w:p>
      <w:r>
        <w:t>Strategic Role: Designs and manufactures optical, broadband, and wireless network equipment; supplies to ISPs and government programs like BharatNet.</w:t>
      </w:r>
    </w:p>
    <w:p>
      <w:r>
        <w:t>Real-world Usage: Backbone infrastructure for broadband and 5G networks; used in telecom towers, routers, and fiber-optic installations.</w:t>
      </w:r>
    </w:p>
    <w:p>
      <w:r>
        <w:t>Key Risks: Global competition, technology obsolescence, delayed procurement cycles.</w:t>
      </w:r>
    </w:p>
    <w:p>
      <w:pPr>
        <w:pStyle w:val="Heading2"/>
      </w:pPr>
      <w:r>
        <w:t>Syrma SGS</w:t>
      </w:r>
    </w:p>
    <w:p>
      <w:r>
        <w:t>Sector: Electronics Design and Manufacturing</w:t>
      </w:r>
    </w:p>
    <w:p>
      <w:r>
        <w:t>Founded: 2004</w:t>
      </w:r>
    </w:p>
    <w:p>
      <w:r>
        <w:t>Strategic Role: Provides PCB assembly, RFID products, and system-level integration for auto, consumer, and industrial sectors.</w:t>
      </w:r>
    </w:p>
    <w:p>
      <w:r>
        <w:t>Real-world Usage: Used in home appliances, automotive infotainment systems, industrial IoT, and telecom sub-systems.</w:t>
      </w:r>
    </w:p>
    <w:p>
      <w:r>
        <w:t>Key Risks: Execution risk, reliance on OEM contracts, pricing pressure.</w:t>
      </w:r>
    </w:p>
    <w:p>
      <w:pPr>
        <w:pStyle w:val="Heading2"/>
      </w:pPr>
      <w:r>
        <w:t>HFCL</w:t>
      </w:r>
    </w:p>
    <w:p>
      <w:r>
        <w:t>Sector: Telecom and Defense Technology</w:t>
      </w:r>
    </w:p>
    <w:p>
      <w:r>
        <w:t>Founded: 1987</w:t>
      </w:r>
    </w:p>
    <w:p>
      <w:r>
        <w:t>Strategic Role: Manufacturer of fiber-optic cables, telecom infrastructure gear, and defense electronics.</w:t>
      </w:r>
    </w:p>
    <w:p>
      <w:r>
        <w:t>Real-world Usage: Enables 5G towers, fiber broadband, and defense communication systems.</w:t>
      </w:r>
    </w:p>
    <w:p>
      <w:r>
        <w:t>Key Risks: Dependence on government orders, tender delays, telecom capex cycles.</w:t>
      </w:r>
    </w:p>
    <w:p>
      <w:pPr>
        <w:pStyle w:val="Heading2"/>
      </w:pPr>
      <w:r>
        <w:t>Tata Elxsi</w:t>
      </w:r>
    </w:p>
    <w:p>
      <w:r>
        <w:t>Sector: Engineering R&amp;D and Design</w:t>
      </w:r>
    </w:p>
    <w:p>
      <w:r>
        <w:t>Founded: 1989</w:t>
      </w:r>
    </w:p>
    <w:p>
      <w:r>
        <w:t>Strategic Role: Focus on automotive, media, telecom, and healthcare; develops embedded systems, software, and industrial design.</w:t>
      </w:r>
    </w:p>
    <w:p>
      <w:r>
        <w:t>Real-world Usage: Powers infotainment, driver assistance systems in vehicles; OTT streaming, telecom edge computing.</w:t>
      </w:r>
    </w:p>
    <w:p>
      <w:r>
        <w:t>Key Risks: High client concentration, export volatility, talent retention.</w:t>
      </w:r>
    </w:p>
    <w:p>
      <w:pPr>
        <w:pStyle w:val="Heading2"/>
      </w:pPr>
      <w:r>
        <w:t>Vedanta Ltd</w:t>
      </w:r>
    </w:p>
    <w:p>
      <w:r>
        <w:t>Sector: Metals and Semiconductors (Diversified Natural Resources)</w:t>
      </w:r>
    </w:p>
    <w:p>
      <w:r>
        <w:t>Founded: 1979</w:t>
      </w:r>
    </w:p>
    <w:p>
      <w:r>
        <w:t>Strategic Role: Large-scale player entering semiconductor manufacturing via JV; also a leader in aluminum, zinc, oil, and gas.</w:t>
      </w:r>
    </w:p>
    <w:p>
      <w:r>
        <w:t>Real-world Usage: Base metals in cars, construction, electronics casings; planned use in chip manufacturing fabs.</w:t>
      </w:r>
    </w:p>
    <w:p>
      <w:r>
        <w:t>Key Risks: Regulatory scrutiny, environmental issues, commodity price swings.</w:t>
      </w:r>
    </w:p>
    <w:p>
      <w:pPr>
        <w:pStyle w:val="Heading2"/>
      </w:pPr>
      <w:r>
        <w:t>Bharat Forge</w:t>
      </w:r>
    </w:p>
    <w:p>
      <w:r>
        <w:t>Sector: Engineering and Defense Manufacturing</w:t>
      </w:r>
    </w:p>
    <w:p>
      <w:r>
        <w:t>Founded: 1961</w:t>
      </w:r>
    </w:p>
    <w:p>
      <w:r>
        <w:t>Strategic Role: Forging specialist supplying auto, defense, railways, and aerospace; expanding into EV chassis and battery enclosures.</w:t>
      </w:r>
    </w:p>
    <w:p>
      <w:r>
        <w:t>Real-world Usage: Commercial vehicle axles, artillery gun components, EV structural systems.</w:t>
      </w:r>
    </w:p>
    <w:p>
      <w:r>
        <w:t>Key Risks: Global demand cycles, defense contract delays, energy input costs.</w:t>
      </w:r>
    </w:p>
    <w:p>
      <w:pPr>
        <w:pStyle w:val="Heading1"/>
      </w:pPr>
      <w:r>
        <w:t>Projected Returns (2031–2033)</w:t>
      </w:r>
    </w:p>
    <w:p>
      <w:r>
        <w:br/>
        <w:t>Based on policy alignment, historical growth, and expected import substitution impact, estimated absolute returns over the next 3 years:</w:t>
        <w:br/>
        <w:t>• Conservative Scenario: 25%–35%</w:t>
        <w:br/>
        <w:t>• Base Case Scenario: 40%–55%</w:t>
        <w:br/>
        <w:t>• Bull Case Scenario: 65%–80%</w:t>
        <w:br/>
        <w:t>These projections factor in margin improvement, domestic demand uplift, and export potential.</w:t>
        <w:br/>
      </w:r>
    </w:p>
    <w:p>
      <w:pPr>
        <w:pStyle w:val="Heading1"/>
      </w:pPr>
      <w:r>
        <w:t>Documents &amp; References</w:t>
      </w:r>
    </w:p>
    <w:p>
      <w:r>
        <w:t>• Excel Summary: Indian_Stocks_Tech_Sovereignty_Impact.xlsx</w:t>
      </w:r>
    </w:p>
    <w:p>
      <w:r>
        <w:t>• Reference Report: PM_Report.pdf</w:t>
      </w:r>
    </w:p>
    <w:p>
      <w:r>
        <w:t>• External Data Sources: Company websites, market filings, and industry news portals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