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Phase 3 Investment Report: 2031–2033</w:t>
      </w:r>
    </w:p>
    <w:p>
      <w:r>
        <w:br/>
        <w:t xml:space="preserve">In January 2031, the Indian government implemented a 30% tariff on electronics and components imported from China under its Tech Sovereignty policy. </w:t>
        <w:br/>
        <w:t>This strategic move aimed to reduce foreign dependence and strengthen India's domestic supply chain capabilities in critical sectors.</w:t>
        <w:br/>
      </w:r>
    </w:p>
    <w:p>
      <w:pPr>
        <w:pStyle w:val="Heading1"/>
      </w:pPr>
      <w:r>
        <w:t>Sectoral Impact</w:t>
      </w:r>
    </w:p>
    <w:p>
      <w:r>
        <w:br/>
        <w:t>The 30% tariff created immediate disruptions across multiple industries:</w:t>
        <w:br/>
        <w:t>• Consumer Electronics: Reliance on imported components caused margin pressures.</w:t>
        <w:br/>
        <w:t>• Telecom Equipment: Companies depending on Chinese gear were forced to source locally.</w:t>
        <w:br/>
        <w:t>• Semiconductors &amp; Embedded Systems: Required major supply chain restructuring.</w:t>
        <w:br/>
        <w:t>• EV Components: Cost of imported drivetrains and batteries increased significantly.</w:t>
        <w:br/>
      </w:r>
    </w:p>
    <w:p>
      <w:pPr>
        <w:pStyle w:val="Heading1"/>
      </w:pPr>
      <w:r>
        <w:t>Portfolio Strategy</w:t>
      </w:r>
    </w:p>
    <w:p>
      <w:r>
        <w:br/>
        <w:t>To respond to these changes and capture the upside from India's growing tech self-sufficiency, the following actions are recommended:</w:t>
        <w:br/>
      </w:r>
    </w:p>
    <w:p>
      <w:pPr>
        <w:pStyle w:val="ListNumber"/>
      </w:pPr>
      <w:r>
        <w:t>1. Exit Vulnerable Stocks:</w:t>
      </w:r>
    </w:p>
    <w:p>
      <w:r>
        <w:br/>
        <w:t xml:space="preserve">Although companies like Blue Star, Voltas, Havells, V-Guard, and Optiemus Infracom are vulnerable due to import dependence, </w:t>
        <w:br/>
        <w:t>these are not currently held in the portfolio, so no exits are required.</w:t>
        <w:br/>
      </w:r>
    </w:p>
    <w:p>
      <w:pPr>
        <w:pStyle w:val="ListNumber"/>
      </w:pPr>
      <w:r>
        <w:t>2. Reallocate Capital to Beneficiaries:</w:t>
      </w:r>
    </w:p>
    <w:p>
      <w:r>
        <w:t>Allocate 60% to Indian electronics &amp; telecom manufacturers:</w:t>
      </w:r>
    </w:p>
    <w:p>
      <w:r>
        <w:br/>
        <w:t>• Dixon Technologies</w:t>
        <w:br/>
        <w:t>• Tejas Networks</w:t>
        <w:br/>
        <w:t>• Syrma SGS</w:t>
        <w:br/>
        <w:t>• HFCL</w:t>
        <w:br/>
        <w:t>• Tata Elxsi</w:t>
        <w:br/>
        <w:t>• Vedanta Ltd</w:t>
        <w:br/>
        <w:t>• Bharat Forge</w:t>
        <w:br/>
      </w:r>
    </w:p>
    <w:p>
      <w:r>
        <w:t>Retain 40% in stable large-cap holdings.</w:t>
      </w:r>
    </w:p>
    <w:p>
      <w:pPr>
        <w:pStyle w:val="Heading1"/>
      </w:pPr>
      <w:r>
        <w:t>Company Analysis &amp; Risk Factors</w:t>
      </w:r>
    </w:p>
    <w:p>
      <w:pPr>
        <w:pStyle w:val="ListBullet"/>
      </w:pPr>
      <w:r>
        <w:t>Dixon Technologies: Leading EMS company; benefits from import substitution. Risk: Margin sensitivity to input costs.</w:t>
      </w:r>
    </w:p>
    <w:p>
      <w:pPr>
        <w:pStyle w:val="ListBullet"/>
      </w:pPr>
      <w:r>
        <w:t>Tejas Networks: Indian telecom gear maker; strategic in replacing Chinese imports. Risk: Competition from global OEMs.</w:t>
      </w:r>
    </w:p>
    <w:p>
      <w:pPr>
        <w:pStyle w:val="ListBullet"/>
      </w:pPr>
      <w:r>
        <w:t>Syrma SGS: Specialized in electronics manufacturing and design. Risk: Execution in scaling operations.</w:t>
      </w:r>
    </w:p>
    <w:p>
      <w:pPr>
        <w:pStyle w:val="ListBullet"/>
      </w:pPr>
      <w:r>
        <w:t>HFCL: Diversified telecom and defense tech; supported by Indian policy. Risk: Moderate revenue volatility.</w:t>
      </w:r>
    </w:p>
    <w:p>
      <w:pPr>
        <w:pStyle w:val="ListBullet"/>
      </w:pPr>
      <w:r>
        <w:t>Tata Elxsi: High-end design and embedded systems player; strong link to semiconductors. Risk: Export exposure.</w:t>
      </w:r>
    </w:p>
    <w:p>
      <w:pPr>
        <w:pStyle w:val="ListBullet"/>
      </w:pPr>
      <w:r>
        <w:t>Vedanta Ltd: Diversified metal and semiconductor play; JV in chip fabrication. Risk: Policy and environmental hurdles.</w:t>
      </w:r>
    </w:p>
    <w:p>
      <w:pPr>
        <w:pStyle w:val="ListBullet"/>
      </w:pPr>
      <w:r>
        <w:t>Bharat Forge: EV and defense manufacturing focus; well-aligned with Make in India. Risk: Cyclical demand variation.</w:t>
      </w:r>
    </w:p>
    <w:p>
      <w:pPr>
        <w:pStyle w:val="Heading1"/>
      </w:pPr>
      <w:r>
        <w:t>Estimated Return Outlook (2031–2033)</w:t>
      </w:r>
    </w:p>
    <w:p>
      <w:r>
        <w:br/>
        <w:t>Based on policy alignment and growth trends, estimated absolute returns for this thematic basket are:</w:t>
        <w:br/>
        <w:t>• Conservative: 25–35%</w:t>
        <w:br/>
        <w:t>• Base Case: 40–55%</w:t>
        <w:br/>
        <w:t>• Optimistic: 65–80%</w:t>
        <w:br/>
        <w:t>Returns are projected across a 3-year horizon, assuming full policy execution and improved supply chain efficiency.</w:t>
        <w:br/>
      </w:r>
    </w:p>
    <w:p>
      <w:pPr>
        <w:pStyle w:val="Heading1"/>
      </w:pPr>
      <w:r>
        <w:t>Supporting Documents</w:t>
      </w:r>
    </w:p>
    <w:p>
      <w:r>
        <w:t>• Excel Summary: Indian_Stocks_Tech_Sovereignty_Impact.xlsx</w:t>
      </w:r>
    </w:p>
    <w:p>
      <w:r>
        <w:t>• Reference Report: PM_Report.pdf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