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Nicole Brooks</w:t>
      </w:r>
      <w:r w:rsidRPr="000D0C11">
        <w:t xml:space="preserve"> and </w:t>
      </w:r>
      <w:r w:rsidR="0030537D" w:rsidRPr="0030537D">
        <w:rPr>
          <w:b/>
          <w:bCs/>
          <w:highlight w:val="yellow"/>
        </w:rPr>
        <w:t xml:space="preserve">Decker, Stevens and Thompson</w:t>
      </w:r>
      <w:r w:rsidR="0030537D" w:rsidRPr="0030537D">
        <w:t xml:space="preserve">. </w:t>
      </w:r>
      <w:r w:rsidRPr="000D0C11">
        <w:t>It becomes effective</w:t>
      </w:r>
      <w:r>
        <w:t xml:space="preserve"> on </w:t>
      </w:r>
      <w:r w:rsidR="00F234F8" w:rsidRPr="00F234F8">
        <w:rPr>
          <w:b/>
          <w:bCs/>
          <w:highlight w:val="yellow"/>
        </w:rPr>
        <w:t xml:space="preserve">2025-01-13</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496</w:t>
      </w:r>
      <w:r w:rsidRPr="00C176D2">
        <w:t>].</w:t>
      </w:r>
      <w:r w:rsidRPr="000D0C11">
        <w:t xml:space="preserve"> A non-refundable fee of 20% of this amount or </w:t>
      </w:r>
      <w:r w:rsidRPr="00C176D2">
        <w:t>$[</w:t>
      </w:r>
      <w:r w:rsidR="00E12DD0" w:rsidRPr="00C176D2">
        <w:rPr>
          <w:b/>
          <w:bCs/>
          <w:highlight w:val="yellow"/>
        </w:rPr>
        <w:t xml:space="preserve">99.2</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2025-01-06</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2025-01-06</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dc:description/>
  <dc:identifier/>
  <dc:language/>
  <dc:subject/>
  <dc:title/>
</cp:coreProperties>
</file>