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Times New Roman" w:hAnsi="Times New Roman" w:eastAsia="黑体"/>
          <w:b/>
          <w:sz w:val="36"/>
        </w:rPr>
        <w:t>第3期开发日志——Keil 编译适配与运动控制模块集成</w:t>
      </w:r>
    </w:p>
    <w:p>
      <w:pPr>
        <w:spacing w:after="200"/>
        <w:jc w:val="center"/>
      </w:pPr>
      <w:r>
        <w:rPr>
          <w:rFonts w:ascii="Times New Roman" w:hAnsi="Times New Roman" w:eastAsia="楷体"/>
          <w:b w:val="0"/>
          <w:sz w:val="24"/>
        </w:rPr>
        <w:t>XY_Vision_Picker 项目开发日志</w:t>
      </w:r>
    </w:p>
    <w:p>
      <w:pPr>
        <w:pStyle w:val="Caption"/>
        <w:spacing w:before="80" w:after="80"/>
        <w:jc w:val="center"/>
      </w:pPr>
      <w:r>
        <w:rPr>
          <w:rFonts w:ascii="Times New Roman" w:hAnsi="Times New Roman" w:eastAsia="宋体"/>
          <w:b w:val="0"/>
          <w:sz w:val="21"/>
        </w:rPr>
        <w:t>表1 日志基本信息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rPr>
          <w:tblHeader/>
          <w:cantSplit/>
        </w:trPr>
        <w:tc>
          <w:tcPr>
            <w:tcW w:type="dxa" w:w="4536"/>
            <w:shd w:val="clear" w:fill="#D9D9D9"/>
            <w:vAlign w:val="center"/>
          </w:tcPr>
          <w:p>
            <w:pPr>
              <w:spacing w:before="0" w:after="0" w:line="240" w:lineRule="auto"/>
              <w:jc w:val="center"/>
              <w:ind w:firstLineChars="0" w:firstLine="0"/>
            </w:pPr>
            <w:r>
              <w:rPr>
                <w:rFonts w:ascii="Times New Roman" w:hAnsi="Times New Roman" w:eastAsia="宋体"/>
                <w:b/>
                <w:sz w:val="21"/>
              </w:rPr>
              <w:t>项目</w:t>
            </w:r>
          </w:p>
        </w:tc>
        <w:tc>
          <w:tcPr>
            <w:tcW w:type="dxa" w:w="4536"/>
            <w:shd w:val="clear" w:fill="#D9D9D9"/>
            <w:vAlign w:val="center"/>
          </w:tcPr>
          <w:p>
            <w:pPr>
              <w:spacing w:before="0" w:after="0" w:line="240" w:lineRule="auto"/>
              <w:jc w:val="center"/>
              <w:ind w:firstLineChars="0" w:firstLine="0"/>
            </w:pPr>
            <w:r>
              <w:rPr>
                <w:rFonts w:ascii="Times New Roman" w:hAnsi="Times New Roman" w:eastAsia="宋体"/>
                <w:b/>
                <w:sz w:val="21"/>
              </w:rPr>
              <w:t>内容</w:t>
            </w:r>
          </w:p>
        </w:tc>
      </w:tr>
      <w:tr>
        <w:trPr>
          <w:cantSplit/>
        </w:trPr>
        <w:tc>
          <w:tcPr>
            <w:tcW w:type="dxa" w:w="4536"/>
            <w:vAlign w:val="center"/>
          </w:tcPr>
          <w:p>
            <w:pPr>
              <w:spacing w:before="0" w:after="0" w:line="240" w:lineRule="auto"/>
              <w:jc w:val="center"/>
              <w:ind w:firstLineChars="0"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>项目名称</w:t>
            </w:r>
          </w:p>
        </w:tc>
        <w:tc>
          <w:tcPr>
            <w:tcW w:type="dxa" w:w="4536"/>
            <w:vAlign w:val="center"/>
          </w:tcPr>
          <w:p>
            <w:pPr>
              <w:spacing w:before="0" w:after="0" w:line="240" w:lineRule="auto"/>
              <w:jc w:val="left"/>
              <w:ind w:firstLineChars="0"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>XY_Vision_Picker（基于 STM32F407 的两轴 X-Y 视觉识别抓取系统）</w:t>
            </w:r>
          </w:p>
        </w:tc>
      </w:tr>
      <w:tr>
        <w:trPr>
          <w:cantSplit/>
        </w:trPr>
        <w:tc>
          <w:tcPr>
            <w:tcW w:type="dxa" w:w="4536"/>
            <w:vAlign w:val="center"/>
          </w:tcPr>
          <w:p>
            <w:pPr>
              <w:spacing w:before="0" w:after="0" w:line="240" w:lineRule="auto"/>
              <w:jc w:val="center"/>
              <w:ind w:firstLineChars="0"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>记录日期</w:t>
            </w:r>
          </w:p>
        </w:tc>
        <w:tc>
          <w:tcPr>
            <w:tcW w:type="dxa" w:w="4536"/>
            <w:vAlign w:val="center"/>
          </w:tcPr>
          <w:p>
            <w:pPr>
              <w:spacing w:before="0" w:after="0" w:line="240" w:lineRule="auto"/>
              <w:jc w:val="left"/>
              <w:ind w:firstLineChars="0"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>2026-10-09 至 2026-10-10</w:t>
            </w:r>
          </w:p>
        </w:tc>
      </w:tr>
      <w:tr>
        <w:trPr>
          <w:cantSplit/>
        </w:trPr>
        <w:tc>
          <w:tcPr>
            <w:tcW w:type="dxa" w:w="4536"/>
            <w:vAlign w:val="center"/>
          </w:tcPr>
          <w:p>
            <w:pPr>
              <w:spacing w:before="0" w:after="0" w:line="240" w:lineRule="auto"/>
              <w:jc w:val="center"/>
              <w:ind w:firstLineChars="0"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>所属阶段</w:t>
            </w:r>
          </w:p>
        </w:tc>
        <w:tc>
          <w:tcPr>
            <w:tcW w:type="dxa" w:w="4536"/>
            <w:vAlign w:val="center"/>
          </w:tcPr>
          <w:p>
            <w:pPr>
              <w:spacing w:before="0" w:after="0" w:line="240" w:lineRule="auto"/>
              <w:jc w:val="left"/>
              <w:ind w:firstLineChars="0"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>三期：固件落地</w:t>
            </w:r>
          </w:p>
        </w:tc>
      </w:tr>
      <w:tr>
        <w:trPr>
          <w:cantSplit/>
        </w:trPr>
        <w:tc>
          <w:tcPr>
            <w:tcW w:type="dxa" w:w="4536"/>
            <w:vAlign w:val="center"/>
          </w:tcPr>
          <w:p>
            <w:pPr>
              <w:spacing w:before="0" w:after="0" w:line="240" w:lineRule="auto"/>
              <w:jc w:val="center"/>
              <w:ind w:firstLineChars="0"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>本期状态</w:t>
            </w:r>
          </w:p>
        </w:tc>
        <w:tc>
          <w:tcPr>
            <w:tcW w:type="dxa" w:w="4536"/>
            <w:vAlign w:val="center"/>
          </w:tcPr>
          <w:p>
            <w:pPr>
              <w:spacing w:before="0" w:after="0" w:line="240" w:lineRule="auto"/>
              <w:jc w:val="left"/>
              <w:ind w:firstLineChars="0"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>编译 0 错误 0 警告，hex 已生成</w:t>
            </w:r>
          </w:p>
        </w:tc>
      </w:tr>
    </w:tbl>
    <w:p>
      <w:pPr>
        <w:pStyle w:val="Heading1"/>
      </w:pPr>
      <w:r>
        <w:rPr>
          <w:rFonts w:ascii="Times New Roman" w:hAnsi="Times New Roman" w:eastAsia="黑体"/>
          <w:b/>
          <w:sz w:val="32"/>
        </w:rPr>
        <w:t>一、本期目标</w:t>
      </w:r>
    </w:p>
    <w:p>
      <w:pPr>
        <w:ind w:firstLineChars="200" w:firstLine="960"/>
      </w:pPr>
      <w:r>
        <w:rPr>
          <w:rFonts w:ascii="Times New Roman" w:hAnsi="Times New Roman" w:eastAsia="宋体"/>
          <w:b w:val="0"/>
          <w:sz w:val="24"/>
        </w:rPr>
        <w:t>用本机 Keil MDK5 将 STM32 工程完整编译，产出可烧录文件。</w:t>
      </w:r>
    </w:p>
    <w:p>
      <w:pPr>
        <w:ind w:firstLineChars="200" w:firstLine="960"/>
      </w:pPr>
      <w:r>
        <w:rPr>
          <w:rFonts w:ascii="Times New Roman" w:hAnsi="Times New Roman" w:eastAsia="宋体"/>
          <w:b w:val="0"/>
          <w:sz w:val="24"/>
        </w:rPr>
        <w:t>运动控制模块（CoreXY 反解、直线插补、加减速、限位回零）集成落位。</w:t>
      </w:r>
    </w:p>
    <w:p>
      <w:pPr>
        <w:pStyle w:val="Heading1"/>
      </w:pPr>
      <w:r>
        <w:rPr>
          <w:rFonts w:ascii="Times New Roman" w:hAnsi="Times New Roman" w:eastAsia="黑体"/>
          <w:b/>
          <w:sz w:val="32"/>
        </w:rPr>
        <w:t>二、工作内容</w:t>
      </w:r>
    </w:p>
    <w:p>
      <w:pPr>
        <w:pStyle w:val="Heading2"/>
      </w:pPr>
      <w:r>
        <w:rPr>
          <w:rFonts w:ascii="Times New Roman" w:hAnsi="Times New Roman" w:eastAsia="黑体"/>
          <w:b/>
          <w:sz w:val="28"/>
        </w:rPr>
        <w:t>2.1 工程配置</w:t>
      </w:r>
    </w:p>
    <w:p>
      <w:pPr>
        <w:ind w:firstLineChars="200" w:firstLine="960"/>
      </w:pPr>
      <w:r>
        <w:rPr>
          <w:rFonts w:ascii="Times New Roman" w:hAnsi="Times New Roman" w:eastAsia="宋体"/>
          <w:b w:val="0"/>
          <w:sz w:val="24"/>
        </w:rPr>
        <w:t>Keil 5.43.1 加 AC6 编译器（armclang V6.24）；器件包 STM32F4xx_DFP 2.14.0；Target 使用 FPU2 单精度浮点、512KB Flash 与 128KB RAM；分散加载文件 CoreXY_Motion.sct；源码组含 Core、App 十个模块、HAL 十五个源文件、FreeRTOS 内核与 ARM_CM4F 移植文件、启动文件。</w:t>
      </w:r>
    </w:p>
    <w:p>
      <w:pPr>
        <w:pStyle w:val="Heading2"/>
      </w:pPr>
      <w:r>
        <w:rPr>
          <w:rFonts w:ascii="Times New Roman" w:hAnsi="Times New Roman" w:eastAsia="黑体"/>
          <w:b/>
          <w:sz w:val="28"/>
        </w:rPr>
        <w:t>2.2 编译错误修正</w:t>
      </w:r>
    </w:p>
    <w:p>
      <w:pPr>
        <w:ind w:firstLineChars="200" w:firstLine="960"/>
      </w:pPr>
      <w:r>
        <w:rPr>
          <w:rFonts w:ascii="Times New Roman" w:hAnsi="Times New Roman" w:eastAsia="宋体"/>
          <w:b w:val="0"/>
          <w:sz w:val="24"/>
        </w:rPr>
        <w:t>累计修正八类编译问题，错误数由 483 收敛至 0，详见本期问题表。</w:t>
      </w:r>
    </w:p>
    <w:p>
      <w:pPr>
        <w:pStyle w:val="Heading2"/>
      </w:pPr>
      <w:r>
        <w:rPr>
          <w:rFonts w:ascii="Times New Roman" w:hAnsi="Times New Roman" w:eastAsia="黑体"/>
          <w:b/>
          <w:sz w:val="28"/>
        </w:rPr>
        <w:t>2.3 运动控制实现</w:t>
      </w:r>
    </w:p>
    <w:p>
      <w:pPr>
        <w:ind w:firstLineChars="200" w:firstLine="960"/>
      </w:pPr>
      <w:r>
        <w:rPr>
          <w:rFonts w:ascii="Times New Roman" w:hAnsi="Times New Roman" w:eastAsia="宋体"/>
          <w:b w:val="0"/>
          <w:sz w:val="24"/>
        </w:rPr>
        <w:t>CoreXY 反解：两电机步数差按 dm1 等于 dx 加 dy、dm2 等于 dx 减 dy 计算；Bresenham 直线插补按长轴主轴整数逼近保证两轴同步到位；梯形加减速用整数实现，按满加速步数 vmax 平方除以二倍加速度判定三角或梯形；TIM6 节拍按速度动态修改重载值；双限位硬回零分两阶段，X 先走 22000 步找 X 负向开关、Y 后走 17000 步找 Y 负向开关；限位中断立即停定时器并置急停标志。</w:t>
      </w:r>
    </w:p>
    <w:p>
      <w:pPr>
        <w:pStyle w:val="Heading1"/>
      </w:pPr>
      <w:r>
        <w:rPr>
          <w:rFonts w:ascii="Times New Roman" w:hAnsi="Times New Roman" w:eastAsia="黑体"/>
          <w:b/>
          <w:sz w:val="32"/>
        </w:rPr>
        <w:t>三、问题与解决</w:t>
      </w:r>
    </w:p>
    <w:p>
      <w:pPr>
        <w:pStyle w:val="Caption"/>
        <w:spacing w:before="80" w:after="80"/>
        <w:jc w:val="center"/>
      </w:pPr>
      <w:r>
        <w:rPr>
          <w:rFonts w:ascii="Times New Roman" w:hAnsi="Times New Roman" w:eastAsia="宋体"/>
          <w:b w:val="0"/>
          <w:sz w:val="21"/>
        </w:rPr>
        <w:t>表2 本期问题处理记录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rPr>
          <w:tblHeader/>
          <w:cantSplit/>
        </w:trPr>
        <w:tc>
          <w:tcPr>
            <w:tcW w:type="dxa" w:w="1814"/>
            <w:shd w:val="clear" w:fill="#D9D9D9"/>
            <w:vAlign w:val="center"/>
          </w:tcPr>
          <w:p>
            <w:pPr>
              <w:spacing w:before="0" w:after="0" w:line="240" w:lineRule="auto"/>
              <w:jc w:val="center"/>
              <w:ind w:firstLineChars="0" w:firstLine="0"/>
            </w:pPr>
            <w:r>
              <w:rPr>
                <w:rFonts w:ascii="Times New Roman" w:hAnsi="Times New Roman" w:eastAsia="宋体"/>
                <w:b/>
                <w:sz w:val="21"/>
              </w:rPr>
              <w:t>序号</w:t>
            </w:r>
          </w:p>
        </w:tc>
        <w:tc>
          <w:tcPr>
            <w:tcW w:type="dxa" w:w="1814"/>
            <w:shd w:val="clear" w:fill="#D9D9D9"/>
            <w:vAlign w:val="center"/>
          </w:tcPr>
          <w:p>
            <w:pPr>
              <w:spacing w:before="0" w:after="0" w:line="240" w:lineRule="auto"/>
              <w:jc w:val="center"/>
              <w:ind w:firstLineChars="0" w:firstLine="0"/>
            </w:pPr>
            <w:r>
              <w:rPr>
                <w:rFonts w:ascii="Times New Roman" w:hAnsi="Times New Roman" w:eastAsia="宋体"/>
                <w:b/>
                <w:sz w:val="21"/>
              </w:rPr>
              <w:t>问题现象</w:t>
            </w:r>
          </w:p>
        </w:tc>
        <w:tc>
          <w:tcPr>
            <w:tcW w:type="dxa" w:w="1814"/>
            <w:shd w:val="clear" w:fill="#D9D9D9"/>
            <w:vAlign w:val="center"/>
          </w:tcPr>
          <w:p>
            <w:pPr>
              <w:spacing w:before="0" w:after="0" w:line="240" w:lineRule="auto"/>
              <w:jc w:val="center"/>
              <w:ind w:firstLineChars="0" w:firstLine="0"/>
            </w:pPr>
            <w:r>
              <w:rPr>
                <w:rFonts w:ascii="Times New Roman" w:hAnsi="Times New Roman" w:eastAsia="宋体"/>
                <w:b/>
                <w:sz w:val="21"/>
              </w:rPr>
              <w:t>根因</w:t>
            </w:r>
          </w:p>
        </w:tc>
        <w:tc>
          <w:tcPr>
            <w:tcW w:type="dxa" w:w="1814"/>
            <w:shd w:val="clear" w:fill="#D9D9D9"/>
            <w:vAlign w:val="center"/>
          </w:tcPr>
          <w:p>
            <w:pPr>
              <w:spacing w:before="0" w:after="0" w:line="240" w:lineRule="auto"/>
              <w:jc w:val="center"/>
              <w:ind w:firstLineChars="0" w:firstLine="0"/>
            </w:pPr>
            <w:r>
              <w:rPr>
                <w:rFonts w:ascii="Times New Roman" w:hAnsi="Times New Roman" w:eastAsia="宋体"/>
                <w:b/>
                <w:sz w:val="21"/>
              </w:rPr>
              <w:t>处理</w:t>
            </w:r>
          </w:p>
        </w:tc>
        <w:tc>
          <w:tcPr>
            <w:tcW w:type="dxa" w:w="1814"/>
            <w:shd w:val="clear" w:fill="#D9D9D9"/>
            <w:vAlign w:val="center"/>
          </w:tcPr>
          <w:p>
            <w:pPr>
              <w:spacing w:before="0" w:after="0" w:line="240" w:lineRule="auto"/>
              <w:jc w:val="center"/>
              <w:ind w:firstLineChars="0" w:firstLine="0"/>
            </w:pPr>
            <w:r>
              <w:rPr>
                <w:rFonts w:ascii="Times New Roman" w:hAnsi="Times New Roman" w:eastAsia="宋体"/>
                <w:b/>
                <w:sz w:val="21"/>
              </w:rPr>
              <w:t>状态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before="0" w:after="0" w:line="240" w:lineRule="auto"/>
              <w:jc w:val="center"/>
              <w:ind w:firstLineChars="0"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>1</w:t>
            </w:r>
          </w:p>
        </w:tc>
        <w:tc>
          <w:tcPr>
            <w:tcW w:type="dxa" w:w="1814"/>
            <w:vAlign w:val="center"/>
          </w:tcPr>
          <w:p>
            <w:pPr>
              <w:spacing w:before="0" w:after="0" w:line="240" w:lineRule="auto"/>
              <w:jc w:val="left"/>
              <w:ind w:firstLineChars="0"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>类型未定义报错 483 处</w:t>
            </w:r>
          </w:p>
        </w:tc>
        <w:tc>
          <w:tcPr>
            <w:tcW w:type="dxa" w:w="1814"/>
            <w:vAlign w:val="center"/>
          </w:tcPr>
          <w:p>
            <w:pPr>
              <w:spacing w:before="0" w:after="0" w:line="240" w:lineRule="auto"/>
              <w:jc w:val="left"/>
              <w:ind w:firstLineChars="0"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>手写 hal_conf.h 缺模块头包含链</w:t>
            </w:r>
          </w:p>
        </w:tc>
        <w:tc>
          <w:tcPr>
            <w:tcW w:type="dxa" w:w="1814"/>
            <w:vAlign w:val="center"/>
          </w:tcPr>
          <w:p>
            <w:pPr>
              <w:spacing w:before="0" w:after="0" w:line="240" w:lineRule="auto"/>
              <w:jc w:val="left"/>
              <w:ind w:firstLineChars="0"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>补全模块头 Includes 段（rcc/gpio/dma/cortex/can/tim/uart/pwr/flash 等）</w:t>
            </w:r>
          </w:p>
        </w:tc>
        <w:tc>
          <w:tcPr>
            <w:tcW w:type="dxa" w:w="1814"/>
            <w:vAlign w:val="center"/>
          </w:tcPr>
          <w:p>
            <w:pPr>
              <w:spacing w:before="0" w:after="0" w:line="240" w:lineRule="auto"/>
              <w:jc w:val="center"/>
              <w:ind w:firstLineChars="0"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>已解决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before="0" w:after="0" w:line="240" w:lineRule="auto"/>
              <w:jc w:val="center"/>
              <w:ind w:firstLineChars="0"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>2</w:t>
            </w:r>
          </w:p>
        </w:tc>
        <w:tc>
          <w:tcPr>
            <w:tcW w:type="dxa" w:w="1814"/>
            <w:vAlign w:val="center"/>
          </w:tcPr>
          <w:p>
            <w:pPr>
              <w:spacing w:before="0" w:after="0" w:line="240" w:lineRule="auto"/>
              <w:jc w:val="left"/>
              <w:ind w:firstLineChars="0"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>队列与信号量类型未定义</w:t>
            </w:r>
          </w:p>
        </w:tc>
        <w:tc>
          <w:tcPr>
            <w:tcW w:type="dxa" w:w="1814"/>
            <w:vAlign w:val="center"/>
          </w:tcPr>
          <w:p>
            <w:pPr>
              <w:spacing w:before="0" w:after="0" w:line="240" w:lineRule="auto"/>
              <w:jc w:val="left"/>
              <w:ind w:firstLineChars="0"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>motion.h 未包含 FreeRTOS 头</w:t>
            </w:r>
          </w:p>
        </w:tc>
        <w:tc>
          <w:tcPr>
            <w:tcW w:type="dxa" w:w="1814"/>
            <w:vAlign w:val="center"/>
          </w:tcPr>
          <w:p>
            <w:pPr>
              <w:spacing w:before="0" w:after="0" w:line="240" w:lineRule="auto"/>
              <w:jc w:val="left"/>
              <w:ind w:firstLineChars="0"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>加入 FreeRTOS.h、queue.h、semphr.h</w:t>
            </w:r>
          </w:p>
        </w:tc>
        <w:tc>
          <w:tcPr>
            <w:tcW w:type="dxa" w:w="1814"/>
            <w:vAlign w:val="center"/>
          </w:tcPr>
          <w:p>
            <w:pPr>
              <w:spacing w:before="0" w:after="0" w:line="240" w:lineRule="auto"/>
              <w:jc w:val="center"/>
              <w:ind w:firstLineChars="0"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>已解决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before="0" w:after="0" w:line="240" w:lineRule="auto"/>
              <w:jc w:val="center"/>
              <w:ind w:firstLineChars="0"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>3</w:t>
            </w:r>
          </w:p>
        </w:tc>
        <w:tc>
          <w:tcPr>
            <w:tcW w:type="dxa" w:w="1814"/>
            <w:vAlign w:val="center"/>
          </w:tcPr>
          <w:p>
            <w:pPr>
              <w:spacing w:before="0" w:after="0" w:line="240" w:lineRule="auto"/>
              <w:jc w:val="left"/>
              <w:ind w:firstLineChars="0"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>定时器辅助函数隐式声明</w:t>
            </w:r>
          </w:p>
        </w:tc>
        <w:tc>
          <w:tcPr>
            <w:tcW w:type="dxa" w:w="1814"/>
            <w:vAlign w:val="center"/>
          </w:tcPr>
          <w:p>
            <w:pPr>
              <w:spacing w:before="0" w:after="0" w:line="240" w:lineRule="auto"/>
              <w:jc w:val="left"/>
              <w:ind w:firstLineChars="0"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>CubeMX 私有函数在 HAL 头无声明</w:t>
            </w:r>
          </w:p>
        </w:tc>
        <w:tc>
          <w:tcPr>
            <w:tcW w:type="dxa" w:w="1814"/>
            <w:vAlign w:val="center"/>
          </w:tcPr>
          <w:p>
            <w:pPr>
              <w:spacing w:before="0" w:after="0" w:line="240" w:lineRule="auto"/>
              <w:jc w:val="left"/>
              <w:ind w:firstLineChars="0"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>main.c 顶部增加前置声明</w:t>
            </w:r>
          </w:p>
        </w:tc>
        <w:tc>
          <w:tcPr>
            <w:tcW w:type="dxa" w:w="1814"/>
            <w:vAlign w:val="center"/>
          </w:tcPr>
          <w:p>
            <w:pPr>
              <w:spacing w:before="0" w:after="0" w:line="240" w:lineRule="auto"/>
              <w:jc w:val="center"/>
              <w:ind w:firstLineChars="0"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>已解决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before="0" w:after="0" w:line="240" w:lineRule="auto"/>
              <w:jc w:val="center"/>
              <w:ind w:firstLineChars="0"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>4</w:t>
            </w:r>
          </w:p>
        </w:tc>
        <w:tc>
          <w:tcPr>
            <w:tcW w:type="dxa" w:w="1814"/>
            <w:vAlign w:val="center"/>
          </w:tcPr>
          <w:p>
            <w:pPr>
              <w:spacing w:before="0" w:after="0" w:line="240" w:lineRule="auto"/>
              <w:jc w:val="left"/>
              <w:ind w:firstLineChars="0"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>未启用硬件浮点</w:t>
            </w:r>
          </w:p>
        </w:tc>
        <w:tc>
          <w:tcPr>
            <w:tcW w:type="dxa" w:w="1814"/>
            <w:vAlign w:val="center"/>
          </w:tcPr>
          <w:p>
            <w:pPr>
              <w:spacing w:before="0" w:after="0" w:line="240" w:lineRule="auto"/>
              <w:jc w:val="left"/>
              <w:ind w:firstLineChars="0"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>AC6 未传浮点编译选项</w:t>
            </w:r>
          </w:p>
        </w:tc>
        <w:tc>
          <w:tcPr>
            <w:tcW w:type="dxa" w:w="1814"/>
            <w:vAlign w:val="center"/>
          </w:tcPr>
          <w:p>
            <w:pPr>
              <w:spacing w:before="0" w:after="0" w:line="240" w:lineRule="auto"/>
              <w:jc w:val="left"/>
              <w:ind w:firstLineChars="0"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>编译加 -mfloat-abi=hard -mfpu=fpv4-sp-d16</w:t>
            </w:r>
          </w:p>
        </w:tc>
        <w:tc>
          <w:tcPr>
            <w:tcW w:type="dxa" w:w="1814"/>
            <w:vAlign w:val="center"/>
          </w:tcPr>
          <w:p>
            <w:pPr>
              <w:spacing w:before="0" w:after="0" w:line="240" w:lineRule="auto"/>
              <w:jc w:val="center"/>
              <w:ind w:firstLineChars="0"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>已解决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before="0" w:after="0" w:line="240" w:lineRule="auto"/>
              <w:jc w:val="center"/>
              <w:ind w:firstLineChars="0"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>5</w:t>
            </w:r>
          </w:p>
        </w:tc>
        <w:tc>
          <w:tcPr>
            <w:tcW w:type="dxa" w:w="1814"/>
            <w:vAlign w:val="center"/>
          </w:tcPr>
          <w:p>
            <w:pPr>
              <w:spacing w:before="0" w:after="0" w:line="240" w:lineRule="auto"/>
              <w:jc w:val="left"/>
              <w:ind w:firstLineChars="0"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>流缓冲区文件编译失败</w:t>
            </w:r>
          </w:p>
        </w:tc>
        <w:tc>
          <w:tcPr>
            <w:tcW w:type="dxa" w:w="1814"/>
            <w:vAlign w:val="center"/>
          </w:tcPr>
          <w:p>
            <w:pPr>
              <w:spacing w:before="0" w:after="0" w:line="240" w:lineRule="auto"/>
              <w:jc w:val="left"/>
              <w:ind w:firstLineChars="0"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>内核 V11 需要当前任务句柄宏为 1</w:t>
            </w:r>
          </w:p>
        </w:tc>
        <w:tc>
          <w:tcPr>
            <w:tcW w:type="dxa" w:w="1814"/>
            <w:vAlign w:val="center"/>
          </w:tcPr>
          <w:p>
            <w:pPr>
              <w:spacing w:before="0" w:after="0" w:line="240" w:lineRule="auto"/>
              <w:jc w:val="left"/>
              <w:ind w:firstLineChars="0"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>FreeRTOSConfig 相关宏置 1</w:t>
            </w:r>
          </w:p>
        </w:tc>
        <w:tc>
          <w:tcPr>
            <w:tcW w:type="dxa" w:w="1814"/>
            <w:vAlign w:val="center"/>
          </w:tcPr>
          <w:p>
            <w:pPr>
              <w:spacing w:before="0" w:after="0" w:line="240" w:lineRule="auto"/>
              <w:jc w:val="center"/>
              <w:ind w:firstLineChars="0"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>已解决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before="0" w:after="0" w:line="240" w:lineRule="auto"/>
              <w:jc w:val="center"/>
              <w:ind w:firstLineChars="0"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>6</w:t>
            </w:r>
          </w:p>
        </w:tc>
        <w:tc>
          <w:tcPr>
            <w:tcW w:type="dxa" w:w="1814"/>
            <w:vAlign w:val="center"/>
          </w:tcPr>
          <w:p>
            <w:pPr>
              <w:spacing w:before="0" w:after="0" w:line="240" w:lineRule="auto"/>
              <w:jc w:val="left"/>
              <w:ind w:firstLineChars="0"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>汇编与 C 对象 ABI 冲突</w:t>
            </w:r>
          </w:p>
        </w:tc>
        <w:tc>
          <w:tcPr>
            <w:tcW w:type="dxa" w:w="1814"/>
            <w:vAlign w:val="center"/>
          </w:tcPr>
          <w:p>
            <w:pPr>
              <w:spacing w:before="0" w:after="0" w:line="240" w:lineRule="auto"/>
              <w:jc w:val="left"/>
              <w:ind w:firstLineChars="0"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>软浮点与硬浮点属性不兼容</w:t>
            </w:r>
          </w:p>
        </w:tc>
        <w:tc>
          <w:tcPr>
            <w:tcW w:type="dxa" w:w="1814"/>
            <w:vAlign w:val="center"/>
          </w:tcPr>
          <w:p>
            <w:pPr>
              <w:spacing w:before="0" w:after="0" w:line="240" w:lineRule="auto"/>
              <w:jc w:val="left"/>
              <w:ind w:firstLineChars="0"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>汇编加 FPv4-SP，Target 改用 FPU2</w:t>
            </w:r>
          </w:p>
        </w:tc>
        <w:tc>
          <w:tcPr>
            <w:tcW w:type="dxa" w:w="1814"/>
            <w:vAlign w:val="center"/>
          </w:tcPr>
          <w:p>
            <w:pPr>
              <w:spacing w:before="0" w:after="0" w:line="240" w:lineRule="auto"/>
              <w:jc w:val="center"/>
              <w:ind w:firstLineChars="0"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>已解决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before="0" w:after="0" w:line="240" w:lineRule="auto"/>
              <w:jc w:val="center"/>
              <w:ind w:firstLineChars="0"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>7</w:t>
            </w:r>
          </w:p>
        </w:tc>
        <w:tc>
          <w:tcPr>
            <w:tcW w:type="dxa" w:w="1814"/>
            <w:vAlign w:val="center"/>
          </w:tcPr>
          <w:p>
            <w:pPr>
              <w:spacing w:before="0" w:after="0" w:line="240" w:lineRule="auto"/>
              <w:jc w:val="left"/>
              <w:ind w:firstLineChars="0"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>故障钩子未定义</w:t>
            </w:r>
          </w:p>
        </w:tc>
        <w:tc>
          <w:tcPr>
            <w:tcW w:type="dxa" w:w="1814"/>
            <w:vAlign w:val="center"/>
          </w:tcPr>
          <w:p>
            <w:pPr>
              <w:spacing w:before="0" w:after="0" w:line="240" w:lineRule="auto"/>
              <w:jc w:val="left"/>
              <w:ind w:firstLineChars="0"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>配置启用钩子但无实现</w:t>
            </w:r>
          </w:p>
        </w:tc>
        <w:tc>
          <w:tcPr>
            <w:tcW w:type="dxa" w:w="1814"/>
            <w:vAlign w:val="center"/>
          </w:tcPr>
          <w:p>
            <w:pPr>
              <w:spacing w:before="0" w:after="0" w:line="240" w:lineRule="auto"/>
              <w:jc w:val="left"/>
              <w:ind w:firstLineChars="0"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>main.c 实现栈溢出与内存分配失败钩子</w:t>
            </w:r>
          </w:p>
        </w:tc>
        <w:tc>
          <w:tcPr>
            <w:tcW w:type="dxa" w:w="1814"/>
            <w:vAlign w:val="center"/>
          </w:tcPr>
          <w:p>
            <w:pPr>
              <w:spacing w:before="0" w:after="0" w:line="240" w:lineRule="auto"/>
              <w:jc w:val="center"/>
              <w:ind w:firstLineChars="0"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>已解决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before="0" w:after="0" w:line="240" w:lineRule="auto"/>
              <w:jc w:val="center"/>
              <w:ind w:firstLineChars="0"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>8</w:t>
            </w:r>
          </w:p>
        </w:tc>
        <w:tc>
          <w:tcPr>
            <w:tcW w:type="dxa" w:w="1814"/>
            <w:vAlign w:val="center"/>
          </w:tcPr>
          <w:p>
            <w:pPr>
              <w:spacing w:before="0" w:after="0" w:line="240" w:lineRule="auto"/>
              <w:jc w:val="left"/>
              <w:ind w:firstLineChars="0"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>格式化警告</w:t>
            </w:r>
          </w:p>
        </w:tc>
        <w:tc>
          <w:tcPr>
            <w:tcW w:type="dxa" w:w="1814"/>
            <w:vAlign w:val="center"/>
          </w:tcPr>
          <w:p>
            <w:pPr>
              <w:spacing w:before="0" w:after="0" w:line="240" w:lineRule="auto"/>
              <w:jc w:val="left"/>
              <w:ind w:firstLineChars="0"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>sscanf 格式与整型指针不匹配</w:t>
            </w:r>
          </w:p>
        </w:tc>
        <w:tc>
          <w:tcPr>
            <w:tcW w:type="dxa" w:w="1814"/>
            <w:vAlign w:val="center"/>
          </w:tcPr>
          <w:p>
            <w:pPr>
              <w:spacing w:before="0" w:after="0" w:line="240" w:lineRule="auto"/>
              <w:jc w:val="left"/>
              <w:ind w:firstLineChars="0"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>改按 %d 匹配 int32 型</w:t>
            </w:r>
          </w:p>
        </w:tc>
        <w:tc>
          <w:tcPr>
            <w:tcW w:type="dxa" w:w="1814"/>
            <w:vAlign w:val="center"/>
          </w:tcPr>
          <w:p>
            <w:pPr>
              <w:spacing w:before="0" w:after="0" w:line="240" w:lineRule="auto"/>
              <w:jc w:val="center"/>
              <w:ind w:firstLineChars="0"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>已解决</w:t>
            </w:r>
          </w:p>
        </w:tc>
      </w:tr>
    </w:tbl>
    <w:p>
      <w:pPr>
        <w:pStyle w:val="Heading1"/>
      </w:pPr>
      <w:r>
        <w:rPr>
          <w:rFonts w:ascii="Times New Roman" w:hAnsi="Times New Roman" w:eastAsia="黑体"/>
          <w:b/>
          <w:sz w:val="32"/>
        </w:rPr>
        <w:t>四、验证与结果</w:t>
      </w:r>
    </w:p>
    <w:p>
      <w:pPr>
        <w:ind w:firstLineChars="200" w:firstLine="960"/>
      </w:pPr>
      <w:r>
        <w:rPr>
          <w:rFonts w:ascii="Times New Roman" w:hAnsi="Times New Roman" w:eastAsia="宋体"/>
          <w:b w:val="0"/>
          <w:sz w:val="24"/>
        </w:rPr>
        <w:t>编译结果 0 Error 0 Warning；代码约 50KB、RAM 约 28KB，资源余量充足。</w:t>
      </w:r>
    </w:p>
    <w:p>
      <w:pPr>
        <w:ind w:firstLineChars="200" w:firstLine="960"/>
      </w:pPr>
      <w:r>
        <w:rPr>
          <w:rFonts w:ascii="Times New Roman" w:hAnsi="Times New Roman" w:eastAsia="宋体"/>
          <w:b w:val="0"/>
          <w:sz w:val="24"/>
        </w:rPr>
        <w:t>产物 CoreXY_Motion.axf 与 CoreXY_Motion.hex 生成于 MDK-ARM 目录；复现命令为 UV4.exe 加工程文件批处理参数。</w:t>
      </w:r>
    </w:p>
    <w:p>
      <w:pPr>
        <w:pStyle w:val="Heading1"/>
      </w:pPr>
      <w:r>
        <w:rPr>
          <w:rFonts w:ascii="Times New Roman" w:hAnsi="Times New Roman" w:eastAsia="黑体"/>
          <w:b/>
          <w:sz w:val="32"/>
        </w:rPr>
        <w:t>五、遗留问题与下期计划</w:t>
      </w:r>
    </w:p>
    <w:p>
      <w:pPr>
        <w:ind w:firstLineChars="200" w:firstLine="960"/>
      </w:pPr>
      <w:r>
        <w:rPr>
          <w:rFonts w:ascii="Times New Roman" w:hAnsi="Times New Roman" w:eastAsia="宋体"/>
          <w:b w:val="0"/>
          <w:sz w:val="24"/>
        </w:rPr>
        <w:t>遗留：脉冲与位移的实测标定待硬件接线后执行。</w:t>
      </w:r>
    </w:p>
    <w:p>
      <w:pPr>
        <w:ind w:firstLineChars="200" w:firstLine="960"/>
      </w:pPr>
      <w:r>
        <w:rPr>
          <w:rFonts w:ascii="Times New Roman" w:hAnsi="Times New Roman" w:eastAsia="宋体"/>
          <w:b w:val="0"/>
          <w:sz w:val="24"/>
        </w:rPr>
        <w:t>下期：K210 视觉模块开发与工具链部署。</w:t>
      </w:r>
    </w:p>
    <w:sectPr w:rsidR="00FC693F" w:rsidRPr="0006063C" w:rsidSect="00034616">
      <w:footerReference w:type="default" r:id="rId9"/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 PAGE </w:instrText>
      <w:fldChar w:fldCharType="separate"/>
      <w:t>1</w: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360" w:lineRule="auto"/>
      <w:jc w:val="both"/>
    </w:pPr>
    <w:rPr>
      <w:rFonts w:ascii="Times New Roman" w:hAnsi="Times New Roman" w:eastAsia="宋体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Times New Roman" w:hAnsi="Times New Roman" w:eastAsia="黑体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100"/>
      <w:outlineLvl w:val="1"/>
    </w:pPr>
    <w:rPr>
      <w:rFonts w:asciiTheme="majorHAnsi" w:eastAsiaTheme="majorEastAsia" w:hAnsiTheme="majorHAnsi" w:cstheme="majorBidi" w:ascii="Times New Roman" w:hAnsi="Times New Roman" w:eastAsia="黑体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80" w:line="240" w:lineRule="auto"/>
      <w:contextualSpacing/>
      <w:jc w:val="center"/>
    </w:pPr>
    <w:rPr>
      <w:rFonts w:asciiTheme="majorHAnsi" w:eastAsiaTheme="majorEastAsia" w:hAnsiTheme="majorHAnsi" w:cstheme="majorBidi" w:ascii="Times New Roman" w:hAnsi="Times New Roman" w:eastAsia="黑体"/>
      <w:b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 w:before="80" w:after="80"/>
      <w:jc w:val="center"/>
    </w:pPr>
    <w:rPr>
      <w:rFonts w:ascii="Times New Roman" w:hAnsi="Times New Roman" w:eastAsia="宋体"/>
      <w:b/>
      <w:bCs/>
      <w:color w:val="000000"/>
      <w:sz w:val="2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