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Times New Roman" w:hAnsi="Times New Roman"/>
          <w:b/>
          <w:color w:val="1F3864"/>
          <w:sz w:val="32"/>
        </w:rPr>
        <w:t>Tablero de resultados del Prototipo II</w:t>
      </w:r>
    </w:p>
    <w:p>
      <w:pPr>
        <w:spacing w:after="160" w:line="360" w:lineRule="auto"/>
        <w:jc w:val="both"/>
      </w:pPr>
      <w:r>
        <w:rPr>
          <w:rFonts w:ascii="Times New Roman" w:hAnsi="Times New Roman"/>
          <w:color w:val="222830"/>
          <w:sz w:val="24"/>
        </w:rPr>
        <w:t>Laboratorio SIN · campaña de diez escenarios ejecutada en dos vueltas de la misma metodología, con las correcciones de la primera aplicadas en la segunda.</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Nota. Los cuatro indicadores destacados cambian entre la línea base y la medición final. Los cuatro restantes se conservan y sirven de contraste. Cada cifra procede de un archivo de evidencia del repositorio y ninguno es estimado.</w:t>
            </w:r>
          </w:p>
        </w:tc>
      </w:tr>
    </w:tbl>
    <w:p>
      <w:pPr>
        <w:spacing w:after="80"/>
      </w:pPr>
    </w:p>
    <w:p>
      <w:pPr>
        <w:keepNext/>
        <w:spacing w:before="280" w:after="160"/>
        <w:outlineLvl w:val="1"/>
      </w:pPr>
      <w:r>
        <w:rPr>
          <w:rFonts w:ascii="Times New Roman" w:hAnsi="Times New Roman"/>
          <w:b/>
          <w:color w:val="1F3864"/>
          <w:sz w:val="27"/>
        </w:rPr>
        <w:t>1. Indicadores principales</w:t>
      </w:r>
    </w:p>
    <w:p>
      <w:pPr>
        <w:spacing w:after="160" w:line="360" w:lineRule="auto"/>
        <w:jc w:val="both"/>
      </w:pPr>
      <w:r>
        <w:rPr>
          <w:rFonts w:ascii="Times New Roman" w:hAnsi="Times New Roman"/>
          <w:color w:val="222830"/>
          <w:sz w:val="24"/>
        </w:rPr>
        <w:t>Ocho cifras resumen el resultado de la metodología. Las cuatro destacadas en verde son las que cambian entre la línea base y la medición posterior; las demás se conservan y sirven de contraste.</w:t>
      </w:r>
    </w:p>
    <w:p>
      <w:pPr>
        <w:spacing w:before="200" w:after="80"/>
        <w:jc w:val="center"/>
      </w:pPr>
      <w:r>
        <w:drawing>
          <wp:inline xmlns:a="http://schemas.openxmlformats.org/drawingml/2006/main" xmlns:pic="http://schemas.openxmlformats.org/drawingml/2006/picture">
            <wp:extent cx="5760000" cy="1325121"/>
            <wp:docPr id="1" name="Picture 1"/>
            <wp:cNvGraphicFramePr>
              <a:graphicFrameLocks noChangeAspect="1"/>
            </wp:cNvGraphicFramePr>
            <a:graphic>
              <a:graphicData uri="http://schemas.openxmlformats.org/drawingml/2006/picture">
                <pic:pic>
                  <pic:nvPicPr>
                    <pic:cNvPr id="0" name="kpi.png"/>
                    <pic:cNvPicPr/>
                  </pic:nvPicPr>
                  <pic:blipFill>
                    <a:blip r:embed="rId9"/>
                    <a:stretch>
                      <a:fillRect/>
                    </a:stretch>
                  </pic:blipFill>
                  <pic:spPr>
                    <a:xfrm>
                      <a:off x="0" y="0"/>
                      <a:ext cx="5760000" cy="1325121"/>
                    </a:xfrm>
                    <a:prstGeom prst="rect"/>
                  </pic:spPr>
                </pic:pic>
              </a:graphicData>
            </a:graphic>
          </wp:inline>
        </w:drawing>
      </w:r>
    </w:p>
    <w:p>
      <w:pPr>
        <w:spacing w:before="40" w:after="40"/>
        <w:jc w:val="center"/>
      </w:pPr>
      <w:r>
        <w:rPr>
          <w:rFonts w:ascii="Times New Roman" w:hAnsi="Times New Roman"/>
          <w:color w:val="222830"/>
          <w:sz w:val="20"/>
        </w:rPr>
        <w:t xml:space="preserve">Figura 1. </w:t>
      </w:r>
      <w:r>
        <w:rPr>
          <w:rFonts w:ascii="Times New Roman" w:hAnsi="Times New Roman"/>
          <w:i/>
          <w:color w:val="222830"/>
          <w:sz w:val="20"/>
        </w:rPr>
        <w:t>Panel de indicadores principales del ciclo de corrección.</w:t>
      </w:r>
    </w:p>
    <w:p>
      <w:pPr>
        <w:spacing w:before="0" w:after="240"/>
        <w:ind w:left="283"/>
        <w:jc w:val="both"/>
      </w:pPr>
      <w:r>
        <w:rPr>
          <w:rFonts w:ascii="Times New Roman" w:hAnsi="Times New Roman"/>
          <w:color w:val="5A6878"/>
          <w:sz w:val="18"/>
        </w:rPr>
        <w:t>Nota. Los cuatro indicadores destacados cambian entre la línea base y la medición final. Los cuatro restantes se conservan. Fuente: reportes de indicadores de la vuelta 1 y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tiempo medio de las dos vueltas no se compara entre sí, porque la línea base se midió sobre cuatro escenarios y la medición posterior sobre los diez. La comparación válida es escenario por escenario y se presenta en el apartado siguiente.</w:t>
            </w:r>
          </w:p>
        </w:tc>
      </w:tr>
    </w:tbl>
    <w:p>
      <w:pPr>
        <w:spacing w:after="80"/>
      </w:pPr>
    </w:p>
    <w:p>
      <w:pPr>
        <w:keepNext/>
        <w:spacing w:before="280" w:after="160"/>
        <w:outlineLvl w:val="1"/>
      </w:pPr>
      <w:r>
        <w:rPr>
          <w:rFonts w:ascii="Times New Roman" w:hAnsi="Times New Roman"/>
          <w:b/>
          <w:color w:val="1F3864"/>
          <w:sz w:val="27"/>
        </w:rPr>
        <w:t>2. Antes y después de la medición</w:t>
      </w:r>
    </w:p>
    <w:p>
      <w:pPr>
        <w:spacing w:after="160" w:line="360" w:lineRule="auto"/>
        <w:jc w:val="both"/>
      </w:pPr>
      <w:r>
        <w:rPr>
          <w:rFonts w:ascii="Times New Roman" w:hAnsi="Times New Roman"/>
          <w:color w:val="222830"/>
          <w:sz w:val="24"/>
        </w:rPr>
        <w:t>La metodología transformó el instrumental de medición, no el señuelo. El señuelo ejecutó los mismos diez escenarios en las dos vueltas con las mismas técnicas, de modo que la diferencia entre las columnas corresponde al trabajo de la metodología.</w:t>
      </w:r>
    </w:p>
    <w:p>
      <w:pPr>
        <w:spacing w:before="200" w:after="80"/>
        <w:jc w:val="center"/>
      </w:pPr>
      <w:r>
        <w:drawing>
          <wp:inline xmlns:a="http://schemas.openxmlformats.org/drawingml/2006/main" xmlns:pic="http://schemas.openxmlformats.org/drawingml/2006/picture">
            <wp:extent cx="5760000" cy="3189421"/>
            <wp:docPr id="2" name="Picture 2"/>
            <wp:cNvGraphicFramePr>
              <a:graphicFrameLocks noChangeAspect="1"/>
            </wp:cNvGraphicFramePr>
            <a:graphic>
              <a:graphicData uri="http://schemas.openxmlformats.org/drawingml/2006/picture">
                <pic:pic>
                  <pic:nvPicPr>
                    <pic:cNvPr id="0" name="antes.png"/>
                    <pic:cNvPicPr/>
                  </pic:nvPicPr>
                  <pic:blipFill>
                    <a:blip r:embed="rId10"/>
                    <a:stretch>
                      <a:fillRect/>
                    </a:stretch>
                  </pic:blipFill>
                  <pic:spPr>
                    <a:xfrm>
                      <a:off x="0" y="0"/>
                      <a:ext cx="5760000" cy="3189421"/>
                    </a:xfrm>
                    <a:prstGeom prst="rect"/>
                  </pic:spPr>
                </pic:pic>
              </a:graphicData>
            </a:graphic>
          </wp:inline>
        </w:drawing>
      </w:r>
    </w:p>
    <w:p>
      <w:pPr>
        <w:spacing w:before="40" w:after="40"/>
        <w:jc w:val="center"/>
      </w:pPr>
      <w:r>
        <w:rPr>
          <w:rFonts w:ascii="Times New Roman" w:hAnsi="Times New Roman"/>
          <w:color w:val="222830"/>
          <w:sz w:val="20"/>
        </w:rPr>
        <w:t xml:space="preserve">Figura 2. </w:t>
      </w:r>
      <w:r>
        <w:rPr>
          <w:rFonts w:ascii="Times New Roman" w:hAnsi="Times New Roman"/>
          <w:i/>
          <w:color w:val="222830"/>
          <w:sz w:val="20"/>
        </w:rPr>
        <w:t>Cobertura de la medición, en valores absolutos.</w:t>
      </w:r>
    </w:p>
    <w:p>
      <w:pPr>
        <w:spacing w:before="0" w:after="240"/>
        <w:ind w:left="283"/>
        <w:jc w:val="both"/>
      </w:pPr>
      <w:r>
        <w:rPr>
          <w:rFonts w:ascii="Times New Roman" w:hAnsi="Times New Roman"/>
          <w:color w:val="5A6878"/>
          <w:sz w:val="18"/>
        </w:rPr>
        <w:t>Nota. Las cuatro primeras filas crecen porque el instrumental registra más. Las cuatro últimas no se mueven.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268"/>
        <w:gridCol w:w="2268"/>
        <w:gridCol w:w="2268"/>
        <w:gridCol w:w="2268"/>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Final</w:t>
            </w:r>
          </w:p>
        </w:tc>
        <w:tc>
          <w:tcPr>
            <w:tcW w:type="dxa" w:w="1814"/>
            <w:shd w:val="clear" w:fill="1F3864"/>
          </w:tcPr>
          <w:p>
            <w:pPr>
              <w:spacing w:before="40" w:after="40"/>
            </w:pPr>
            <w:r/>
            <w:r>
              <w:rPr>
                <w:rFonts w:ascii="Calibri" w:hAnsi="Calibri"/>
                <w:b/>
                <w:color w:val="FFFFFF"/>
                <w:sz w:val="18"/>
              </w:rPr>
              <w:t>Δ</w:t>
            </w:r>
          </w:p>
        </w:tc>
      </w:tr>
      <w:tr>
        <w:tc>
          <w:tcPr>
            <w:tcW w:type="dxa" w:w="3628"/>
          </w:tcPr>
          <w:p>
            <w:pPr>
              <w:spacing w:before="40" w:after="40"/>
            </w:pPr>
            <w:r/>
            <w:r>
              <w:rPr>
                <w:rFonts w:ascii="Calibri" w:hAnsi="Calibri"/>
                <w:color w:val="222830"/>
                <w:sz w:val="18"/>
              </w:rPr>
              <w:t>Escenarios con tiempo medido</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Fuentes de registro</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Técnicas con fuente</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Tácticas con fuente</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Escenarios ejecutados</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Técnicas del inventario</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w:t>
            </w:r>
          </w:p>
        </w:tc>
      </w:tr>
      <w:tr>
        <w:tc>
          <w:tcPr>
            <w:tcW w:type="dxa" w:w="3628"/>
          </w:tcPr>
          <w:p>
            <w:pPr>
              <w:spacing w:before="40" w:after="40"/>
            </w:pPr>
            <w:r/>
            <w:r>
              <w:rPr>
                <w:rFonts w:ascii="Calibri" w:hAnsi="Calibri"/>
                <w:color w:val="222830"/>
                <w:sz w:val="18"/>
              </w:rPr>
              <w:t>Archivos de evidencia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Calidad de la evidencia</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cuatro primeras filas crecen porque el instrumental registra más. Las cuatro últimas no se mueven, y esa es precisamente la prueba de que la diferencia procede de la corrección del instrumental y no de un cambio en el volumen de evidencia ni en el catálogo de amenazas.</w:t>
            </w:r>
          </w:p>
        </w:tc>
      </w:tr>
    </w:tbl>
    <w:p>
      <w:pPr>
        <w:spacing w:after="80"/>
      </w:pPr>
    </w:p>
    <w:p>
      <w:pPr>
        <w:keepNext/>
        <w:spacing w:before="280" w:after="160"/>
        <w:outlineLvl w:val="1"/>
      </w:pPr>
      <w:r>
        <w:rPr>
          <w:rFonts w:ascii="Times New Roman" w:hAnsi="Times New Roman"/>
          <w:b/>
          <w:color w:val="1F3864"/>
          <w:sz w:val="27"/>
        </w:rPr>
        <w:t>3. Tiempo de detección de los cuatro escenarios comparables</w:t>
      </w:r>
    </w:p>
    <w:p>
      <w:pPr>
        <w:spacing w:after="160" w:line="360" w:lineRule="auto"/>
        <w:jc w:val="both"/>
      </w:pPr>
      <w:r>
        <w:rPr>
          <w:rFonts w:ascii="Times New Roman" w:hAnsi="Times New Roman"/>
          <w:color w:val="222830"/>
          <w:sz w:val="24"/>
        </w:rPr>
        <w:t>Son los cuatro escenarios que produjeron medición en las dos vueltas, de modo que conservan el mismo número de muestras y el mismo criterio de cálculo. Los cuatro muestran reducción.</w:t>
      </w:r>
    </w:p>
    <w:p>
      <w:pPr>
        <w:spacing w:before="200" w:after="80"/>
        <w:jc w:val="center"/>
      </w:pPr>
      <w:r>
        <w:drawing>
          <wp:inline xmlns:a="http://schemas.openxmlformats.org/drawingml/2006/main" xmlns:pic="http://schemas.openxmlformats.org/drawingml/2006/picture">
            <wp:extent cx="5760000" cy="1255659"/>
            <wp:docPr id="3" name="Picture 3"/>
            <wp:cNvGraphicFramePr>
              <a:graphicFrameLocks noChangeAspect="1"/>
            </wp:cNvGraphicFramePr>
            <a:graphic>
              <a:graphicData uri="http://schemas.openxmlformats.org/drawingml/2006/picture">
                <pic:pic>
                  <pic:nvPicPr>
                    <pic:cNvPr id="0" name="tiempo.png"/>
                    <pic:cNvPicPr/>
                  </pic:nvPicPr>
                  <pic:blipFill>
                    <a:blip r:embed="rId11"/>
                    <a:stretch>
                      <a:fillRect/>
                    </a:stretch>
                  </pic:blipFill>
                  <pic:spPr>
                    <a:xfrm>
                      <a:off x="0" y="0"/>
                      <a:ext cx="5760000" cy="1255659"/>
                    </a:xfrm>
                    <a:prstGeom prst="rect"/>
                  </pic:spPr>
                </pic:pic>
              </a:graphicData>
            </a:graphic>
          </wp:inline>
        </w:drawing>
      </w:r>
    </w:p>
    <w:p>
      <w:pPr>
        <w:spacing w:before="40" w:after="40"/>
        <w:jc w:val="center"/>
      </w:pPr>
      <w:r>
        <w:rPr>
          <w:rFonts w:ascii="Times New Roman" w:hAnsi="Times New Roman"/>
          <w:color w:val="222830"/>
          <w:sz w:val="20"/>
        </w:rPr>
        <w:t xml:space="preserve">Figura 3. </w:t>
      </w:r>
      <w:r>
        <w:rPr>
          <w:rFonts w:ascii="Times New Roman" w:hAnsi="Times New Roman"/>
          <w:i/>
          <w:color w:val="222830"/>
          <w:sz w:val="20"/>
        </w:rPr>
        <w:t>Tiempo de detección de los cuatro escenarios comparables.</w:t>
      </w:r>
    </w:p>
    <w:p>
      <w:pPr>
        <w:spacing w:before="0" w:after="240"/>
        <w:ind w:left="283"/>
        <w:jc w:val="both"/>
      </w:pPr>
      <w:r>
        <w:rPr>
          <w:rFonts w:ascii="Times New Roman" w:hAnsi="Times New Roman"/>
          <w:color w:val="5A6878"/>
          <w:sz w:val="18"/>
        </w:rPr>
        <w:t>Nota. La reducción se calcula sobre los valores de origen con tres decimales, no sobre los valores redondeados de la tabla.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1512"/>
        <w:gridCol w:w="1512"/>
        <w:gridCol w:w="1512"/>
        <w:gridCol w:w="1512"/>
        <w:gridCol w:w="1512"/>
        <w:gridCol w:w="1512"/>
      </w:tblGrid>
      <w:tr>
        <w:trPr>
          <w:tblHeader w:val="true"/>
        </w:trPr>
        <w:tc>
          <w:tcPr>
            <w:tcW w:type="dxa" w:w="2494"/>
            <w:shd w:val="clear" w:fill="1F3864"/>
          </w:tcPr>
          <w:p>
            <w:pPr>
              <w:spacing w:before="40" w:after="40"/>
            </w:pPr>
            <w:r/>
            <w:r>
              <w:rPr>
                <w:rFonts w:ascii="Calibri" w:hAnsi="Calibri"/>
                <w:b/>
                <w:color w:val="FFFFFF"/>
                <w:sz w:val="18"/>
              </w:rPr>
              <w:t>Escenario</w:t>
            </w:r>
          </w:p>
        </w:tc>
        <w:tc>
          <w:tcPr>
            <w:tcW w:type="dxa" w:w="1134"/>
            <w:shd w:val="clear" w:fill="1F3864"/>
          </w:tcPr>
          <w:p>
            <w:pPr>
              <w:spacing w:before="40" w:after="40"/>
            </w:pPr>
            <w:r/>
            <w:r>
              <w:rPr>
                <w:rFonts w:ascii="Calibri" w:hAnsi="Calibri"/>
                <w:b/>
                <w:color w:val="FFFFFF"/>
                <w:sz w:val="18"/>
              </w:rPr>
              <w:t>Técnica</w:t>
            </w:r>
          </w:p>
        </w:tc>
        <w:tc>
          <w:tcPr>
            <w:tcW w:type="dxa" w:w="1304"/>
            <w:shd w:val="clear" w:fill="1F3864"/>
          </w:tcPr>
          <w:p>
            <w:pPr>
              <w:spacing w:before="40" w:after="40"/>
            </w:pPr>
            <w:r/>
            <w:r>
              <w:rPr>
                <w:rFonts w:ascii="Calibri" w:hAnsi="Calibri"/>
                <w:b/>
                <w:color w:val="FFFFFF"/>
                <w:sz w:val="18"/>
              </w:rPr>
              <w:t>Línea base</w:t>
            </w:r>
          </w:p>
        </w:tc>
        <w:tc>
          <w:tcPr>
            <w:tcW w:type="dxa" w:w="1304"/>
            <w:shd w:val="clear" w:fill="1F3864"/>
          </w:tcPr>
          <w:p>
            <w:pPr>
              <w:spacing w:before="40" w:after="40"/>
            </w:pPr>
            <w:r/>
            <w:r>
              <w:rPr>
                <w:rFonts w:ascii="Calibri" w:hAnsi="Calibri"/>
                <w:b/>
                <w:color w:val="FFFFFF"/>
                <w:sz w:val="18"/>
              </w:rPr>
              <w:t>Medición final</w:t>
            </w:r>
          </w:p>
        </w:tc>
        <w:tc>
          <w:tcPr>
            <w:tcW w:type="dxa" w:w="1134"/>
            <w:shd w:val="clear" w:fill="1F3864"/>
          </w:tcPr>
          <w:p>
            <w:pPr>
              <w:spacing w:before="40" w:after="40"/>
            </w:pPr>
            <w:r/>
            <w:r>
              <w:rPr>
                <w:rFonts w:ascii="Calibri" w:hAnsi="Calibri"/>
                <w:b/>
                <w:color w:val="FFFFFF"/>
                <w:sz w:val="18"/>
              </w:rPr>
              <w:t>Reducción</w:t>
            </w:r>
          </w:p>
        </w:tc>
        <w:tc>
          <w:tcPr>
            <w:tcW w:type="dxa" w:w="1701"/>
            <w:shd w:val="clear" w:fill="1F3864"/>
          </w:tcPr>
          <w:p>
            <w:pPr>
              <w:spacing w:before="40" w:after="40"/>
            </w:pPr>
            <w:r/>
            <w:r>
              <w:rPr>
                <w:rFonts w:ascii="Calibri" w:hAnsi="Calibri"/>
                <w:b/>
                <w:color w:val="FFFFFF"/>
                <w:sz w:val="18"/>
              </w:rPr>
              <w:t>Origen del dato</w:t>
            </w:r>
          </w:p>
        </w:tc>
      </w:tr>
      <w:tr>
        <w:tc>
          <w:tcPr>
            <w:tcW w:type="dxa" w:w="2494"/>
          </w:tcPr>
          <w:p>
            <w:pPr>
              <w:spacing w:before="40" w:after="40"/>
            </w:pPr>
            <w:r/>
            <w:r>
              <w:rPr>
                <w:rFonts w:ascii="Calibri" w:hAnsi="Calibri"/>
                <w:color w:val="222830"/>
                <w:sz w:val="18"/>
              </w:rPr>
              <w:t>S01 · Reconocimiento activo</w:t>
            </w:r>
          </w:p>
        </w:tc>
        <w:tc>
          <w:tcPr>
            <w:tcW w:type="dxa" w:w="1134"/>
          </w:tcPr>
          <w:p>
            <w:pPr>
              <w:spacing w:before="40" w:after="40"/>
            </w:pPr>
            <w:r/>
            <w:r>
              <w:rPr>
                <w:rFonts w:ascii="Calibri" w:hAnsi="Calibri"/>
                <w:color w:val="222830"/>
                <w:sz w:val="18"/>
              </w:rPr>
              <w:t>T1595</w:t>
            </w:r>
          </w:p>
        </w:tc>
        <w:tc>
          <w:tcPr>
            <w:tcW w:type="dxa" w:w="1304"/>
          </w:tcPr>
          <w:p>
            <w:pPr>
              <w:spacing w:before="40" w:after="40"/>
            </w:pPr>
            <w:r/>
            <w:r>
              <w:rPr>
                <w:rFonts w:ascii="Calibri" w:hAnsi="Calibri"/>
                <w:color w:val="222830"/>
                <w:sz w:val="18"/>
              </w:rPr>
              <w:t>16,851 s</w:t>
            </w:r>
          </w:p>
        </w:tc>
        <w:tc>
          <w:tcPr>
            <w:tcW w:type="dxa" w:w="1304"/>
          </w:tcPr>
          <w:p>
            <w:pPr>
              <w:spacing w:before="40" w:after="40"/>
            </w:pPr>
            <w:r/>
            <w:r>
              <w:rPr>
                <w:rFonts w:ascii="Calibri" w:hAnsi="Calibri"/>
                <w:color w:val="222830"/>
                <w:sz w:val="18"/>
              </w:rPr>
              <w:t>15,91 s</w:t>
            </w:r>
          </w:p>
        </w:tc>
        <w:tc>
          <w:tcPr>
            <w:tcW w:type="dxa" w:w="1134"/>
          </w:tcPr>
          <w:p>
            <w:pPr>
              <w:spacing w:before="40" w:after="40"/>
            </w:pPr>
            <w:r/>
            <w:r>
              <w:rPr>
                <w:rFonts w:ascii="Calibri" w:hAnsi="Calibri"/>
                <w:color w:val="222830"/>
                <w:sz w:val="18"/>
              </w:rPr>
              <w:t>5,6 %</w:t>
            </w:r>
          </w:p>
        </w:tc>
        <w:tc>
          <w:tcPr>
            <w:tcW w:type="dxa" w:w="1701"/>
          </w:tcPr>
          <w:p>
            <w:pPr>
              <w:spacing w:before="40" w:after="40"/>
            </w:pPr>
            <w:r/>
            <w:r>
              <w:rPr>
                <w:rFonts w:ascii="Calibri" w:hAnsi="Calibri"/>
                <w:color w:val="222830"/>
                <w:sz w:val="18"/>
              </w:rPr>
              <w:t>Interfaz de servicios del atacante</w:t>
            </w:r>
          </w:p>
        </w:tc>
      </w:tr>
      <w:tr>
        <w:tc>
          <w:tcPr>
            <w:tcW w:type="dxa" w:w="2494"/>
            <w:shd w:val="clear" w:fill="EDF2F8"/>
          </w:tcPr>
          <w:p>
            <w:pPr>
              <w:spacing w:before="40" w:after="40"/>
            </w:pPr>
            <w:r/>
            <w:r>
              <w:rPr>
                <w:rFonts w:ascii="Calibri" w:hAnsi="Calibri"/>
                <w:color w:val="222830"/>
                <w:sz w:val="18"/>
              </w:rPr>
              <w:t>S02 · Escaneo web</w:t>
            </w:r>
          </w:p>
        </w:tc>
        <w:tc>
          <w:tcPr>
            <w:tcW w:type="dxa" w:w="1134"/>
            <w:shd w:val="clear" w:fill="EDF2F8"/>
          </w:tcPr>
          <w:p>
            <w:pPr>
              <w:spacing w:before="40" w:after="40"/>
            </w:pPr>
            <w:r/>
            <w:r>
              <w:rPr>
                <w:rFonts w:ascii="Calibri" w:hAnsi="Calibri"/>
                <w:color w:val="222830"/>
                <w:sz w:val="18"/>
              </w:rPr>
              <w:t>T1595.002</w:t>
            </w:r>
          </w:p>
        </w:tc>
        <w:tc>
          <w:tcPr>
            <w:tcW w:type="dxa" w:w="1304"/>
            <w:shd w:val="clear" w:fill="EDF2F8"/>
          </w:tcPr>
          <w:p>
            <w:pPr>
              <w:spacing w:before="40" w:after="40"/>
            </w:pPr>
            <w:r/>
            <w:r>
              <w:rPr>
                <w:rFonts w:ascii="Calibri" w:hAnsi="Calibri"/>
                <w:color w:val="222830"/>
                <w:sz w:val="18"/>
              </w:rPr>
              <w:t>1,214 s</w:t>
            </w:r>
          </w:p>
        </w:tc>
        <w:tc>
          <w:tcPr>
            <w:tcW w:type="dxa" w:w="1304"/>
            <w:shd w:val="clear" w:fill="EDF2F8"/>
          </w:tcPr>
          <w:p>
            <w:pPr>
              <w:spacing w:before="40" w:after="40"/>
            </w:pPr>
            <w:r/>
            <w:r>
              <w:rPr>
                <w:rFonts w:ascii="Calibri" w:hAnsi="Calibri"/>
                <w:color w:val="222830"/>
                <w:sz w:val="18"/>
              </w:rPr>
              <w:t>1,095 s</w:t>
            </w:r>
          </w:p>
        </w:tc>
        <w:tc>
          <w:tcPr>
            <w:tcW w:type="dxa" w:w="1134"/>
            <w:shd w:val="clear" w:fill="EDF2F8"/>
          </w:tcPr>
          <w:p>
            <w:pPr>
              <w:spacing w:before="40" w:after="40"/>
            </w:pPr>
            <w:r/>
            <w:r>
              <w:rPr>
                <w:rFonts w:ascii="Calibri" w:hAnsi="Calibri"/>
                <w:color w:val="222830"/>
                <w:sz w:val="18"/>
              </w:rPr>
              <w:t>9,8 %</w:t>
            </w:r>
          </w:p>
        </w:tc>
        <w:tc>
          <w:tcPr>
            <w:tcW w:type="dxa" w:w="1701"/>
            <w:shd w:val="clear" w:fill="EDF2F8"/>
          </w:tcPr>
          <w:p>
            <w:pPr>
              <w:spacing w:before="40" w:after="40"/>
            </w:pPr>
            <w:r/>
            <w:r>
              <w:rPr>
                <w:rFonts w:ascii="Calibri" w:hAnsi="Calibri"/>
                <w:color w:val="222830"/>
                <w:sz w:val="18"/>
              </w:rPr>
              <w:t>Portal del señuelo</w:t>
            </w:r>
          </w:p>
        </w:tc>
      </w:tr>
      <w:tr>
        <w:tc>
          <w:tcPr>
            <w:tcW w:type="dxa" w:w="2494"/>
          </w:tcPr>
          <w:p>
            <w:pPr>
              <w:spacing w:before="40" w:after="40"/>
            </w:pPr>
            <w:r/>
            <w:r>
              <w:rPr>
                <w:rFonts w:ascii="Calibri" w:hAnsi="Calibri"/>
                <w:color w:val="222830"/>
                <w:sz w:val="18"/>
              </w:rPr>
              <w:t>S05 · Suplantación de credenciales</w:t>
            </w:r>
          </w:p>
        </w:tc>
        <w:tc>
          <w:tcPr>
            <w:tcW w:type="dxa" w:w="1134"/>
          </w:tcPr>
          <w:p>
            <w:pPr>
              <w:spacing w:before="40" w:after="40"/>
            </w:pPr>
            <w:r/>
            <w:r>
              <w:rPr>
                <w:rFonts w:ascii="Calibri" w:hAnsi="Calibri"/>
                <w:color w:val="222830"/>
                <w:sz w:val="18"/>
              </w:rPr>
              <w:t>T1110.004</w:t>
            </w:r>
          </w:p>
        </w:tc>
        <w:tc>
          <w:tcPr>
            <w:tcW w:type="dxa" w:w="1304"/>
          </w:tcPr>
          <w:p>
            <w:pPr>
              <w:spacing w:before="40" w:after="40"/>
            </w:pPr>
            <w:r/>
            <w:r>
              <w:rPr>
                <w:rFonts w:ascii="Calibri" w:hAnsi="Calibri"/>
                <w:color w:val="222830"/>
                <w:sz w:val="18"/>
              </w:rPr>
              <w:t>1,734 s</w:t>
            </w:r>
          </w:p>
        </w:tc>
        <w:tc>
          <w:tcPr>
            <w:tcW w:type="dxa" w:w="1304"/>
          </w:tcPr>
          <w:p>
            <w:pPr>
              <w:spacing w:before="40" w:after="40"/>
            </w:pPr>
            <w:r/>
            <w:r>
              <w:rPr>
                <w:rFonts w:ascii="Calibri" w:hAnsi="Calibri"/>
                <w:color w:val="222830"/>
                <w:sz w:val="18"/>
              </w:rPr>
              <w:t>1,145 s</w:t>
            </w:r>
          </w:p>
        </w:tc>
        <w:tc>
          <w:tcPr>
            <w:tcW w:type="dxa" w:w="1134"/>
          </w:tcPr>
          <w:p>
            <w:pPr>
              <w:spacing w:before="40" w:after="40"/>
            </w:pPr>
            <w:r/>
            <w:r>
              <w:rPr>
                <w:rFonts w:ascii="Calibri" w:hAnsi="Calibri"/>
                <w:color w:val="222830"/>
                <w:sz w:val="18"/>
              </w:rPr>
              <w:t>34,0 %</w:t>
            </w:r>
          </w:p>
        </w:tc>
        <w:tc>
          <w:tcPr>
            <w:tcW w:type="dxa" w:w="1701"/>
          </w:tcPr>
          <w:p>
            <w:pPr>
              <w:spacing w:before="40" w:after="40"/>
            </w:pPr>
            <w:r/>
            <w:r>
              <w:rPr>
                <w:rFonts w:ascii="Calibri" w:hAnsi="Calibri"/>
                <w:color w:val="222830"/>
                <w:sz w:val="18"/>
              </w:rPr>
              <w:t>Interfaz de servicios del señuelo</w:t>
            </w:r>
          </w:p>
        </w:tc>
      </w:tr>
      <w:tr>
        <w:tc>
          <w:tcPr>
            <w:tcW w:type="dxa" w:w="2494"/>
            <w:shd w:val="clear" w:fill="EDF2F8"/>
          </w:tcPr>
          <w:p>
            <w:pPr>
              <w:spacing w:before="40" w:after="40"/>
            </w:pPr>
            <w:r/>
            <w:r>
              <w:rPr>
                <w:rFonts w:ascii="Calibri" w:hAnsi="Calibri"/>
                <w:color w:val="222830"/>
                <w:sz w:val="18"/>
              </w:rPr>
              <w:t>S07 · Abuso de la interfaz</w:t>
            </w:r>
          </w:p>
        </w:tc>
        <w:tc>
          <w:tcPr>
            <w:tcW w:type="dxa" w:w="1134"/>
            <w:shd w:val="clear" w:fill="EDF2F8"/>
          </w:tcPr>
          <w:p>
            <w:pPr>
              <w:spacing w:before="40" w:after="40"/>
            </w:pPr>
            <w:r/>
            <w:r>
              <w:rPr>
                <w:rFonts w:ascii="Calibri" w:hAnsi="Calibri"/>
                <w:color w:val="222830"/>
                <w:sz w:val="18"/>
              </w:rPr>
              <w:t>T1078</w:t>
            </w:r>
          </w:p>
        </w:tc>
        <w:tc>
          <w:tcPr>
            <w:tcW w:type="dxa" w:w="1304"/>
            <w:shd w:val="clear" w:fill="EDF2F8"/>
          </w:tcPr>
          <w:p>
            <w:pPr>
              <w:spacing w:before="40" w:after="40"/>
            </w:pPr>
            <w:r/>
            <w:r>
              <w:rPr>
                <w:rFonts w:ascii="Calibri" w:hAnsi="Calibri"/>
                <w:color w:val="222830"/>
                <w:sz w:val="18"/>
              </w:rPr>
              <w:t>1,063 s</w:t>
            </w:r>
          </w:p>
        </w:tc>
        <w:tc>
          <w:tcPr>
            <w:tcW w:type="dxa" w:w="1304"/>
            <w:shd w:val="clear" w:fill="EDF2F8"/>
          </w:tcPr>
          <w:p>
            <w:pPr>
              <w:spacing w:before="40" w:after="40"/>
            </w:pPr>
            <w:r/>
            <w:r>
              <w:rPr>
                <w:rFonts w:ascii="Calibri" w:hAnsi="Calibri"/>
                <w:color w:val="222830"/>
                <w:sz w:val="18"/>
              </w:rPr>
              <w:t>0,264 s</w:t>
            </w:r>
          </w:p>
        </w:tc>
        <w:tc>
          <w:tcPr>
            <w:tcW w:type="dxa" w:w="1134"/>
            <w:shd w:val="clear" w:fill="EDF2F8"/>
          </w:tcPr>
          <w:p>
            <w:pPr>
              <w:spacing w:before="40" w:after="40"/>
            </w:pPr>
            <w:r/>
            <w:r>
              <w:rPr>
                <w:rFonts w:ascii="Calibri" w:hAnsi="Calibri"/>
                <w:color w:val="222830"/>
                <w:sz w:val="18"/>
              </w:rPr>
              <w:t>75,2 %</w:t>
            </w:r>
          </w:p>
        </w:tc>
        <w:tc>
          <w:tcPr>
            <w:tcW w:type="dxa" w:w="1701"/>
            <w:shd w:val="clear" w:fill="EDF2F8"/>
          </w:tcPr>
          <w:p>
            <w:pPr>
              <w:spacing w:before="40" w:after="40"/>
            </w:pPr>
            <w:r/>
            <w:r>
              <w:rPr>
                <w:rFonts w:ascii="Calibri" w:hAnsi="Calibri"/>
                <w:color w:val="222830"/>
                <w:sz w:val="18"/>
              </w:rPr>
              <w:t>Interfaz de servicios del señuelo</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reducción se calcula sobre los valores de origen con tres decimales, no sobre los valores redondeados de la tabla. La media del percentil 95 baja de 14,58 s a 9,27 s, lo que confirma que la mejora se sostiene en la cola de la distribución y no solo en el promedio.</w:t>
            </w:r>
          </w:p>
        </w:tc>
      </w:tr>
    </w:tbl>
    <w:p>
      <w:pPr>
        <w:spacing w:after="80"/>
      </w:pPr>
    </w:p>
    <w:p>
      <w:pPr>
        <w:keepNext/>
        <w:spacing w:before="280" w:after="160"/>
        <w:outlineLvl w:val="1"/>
      </w:pPr>
      <w:r>
        <w:rPr>
          <w:rFonts w:ascii="Times New Roman" w:hAnsi="Times New Roman"/>
          <w:b/>
          <w:color w:val="1F3864"/>
          <w:sz w:val="27"/>
        </w:rPr>
        <w:t>4. Distribución del tiempo de detección en la medición final</w:t>
      </w:r>
    </w:p>
    <w:p>
      <w:pPr>
        <w:spacing w:after="160" w:line="360" w:lineRule="auto"/>
        <w:jc w:val="both"/>
      </w:pPr>
      <w:r>
        <w:rPr>
          <w:rFonts w:ascii="Times New Roman" w:hAnsi="Times New Roman"/>
          <w:color w:val="222830"/>
          <w:sz w:val="24"/>
        </w:rPr>
        <w:t>Los diez escenarios de la medición posterior. Cada barra indica cuántos escenarios caen en cada tramo de tiempo.</w:t>
      </w:r>
    </w:p>
    <w:p>
      <w:pPr>
        <w:spacing w:before="200" w:after="80"/>
        <w:jc w:val="center"/>
      </w:pPr>
      <w:r>
        <w:drawing>
          <wp:inline xmlns:a="http://schemas.openxmlformats.org/drawingml/2006/main" xmlns:pic="http://schemas.openxmlformats.org/drawingml/2006/picture">
            <wp:extent cx="5760000" cy="1234286"/>
            <wp:docPr id="4" name="Picture 4"/>
            <wp:cNvGraphicFramePr>
              <a:graphicFrameLocks noChangeAspect="1"/>
            </wp:cNvGraphicFramePr>
            <a:graphic>
              <a:graphicData uri="http://schemas.openxmlformats.org/drawingml/2006/picture">
                <pic:pic>
                  <pic:nvPicPr>
                    <pic:cNvPr id="0" name="dist.png"/>
                    <pic:cNvPicPr/>
                  </pic:nvPicPr>
                  <pic:blipFill>
                    <a:blip r:embed="rId12"/>
                    <a:stretch>
                      <a:fillRect/>
                    </a:stretch>
                  </pic:blipFill>
                  <pic:spPr>
                    <a:xfrm>
                      <a:off x="0" y="0"/>
                      <a:ext cx="5760000" cy="1234286"/>
                    </a:xfrm>
                    <a:prstGeom prst="rect"/>
                  </pic:spPr>
                </pic:pic>
              </a:graphicData>
            </a:graphic>
          </wp:inline>
        </w:drawing>
      </w:r>
    </w:p>
    <w:p>
      <w:pPr>
        <w:spacing w:before="40" w:after="40"/>
        <w:jc w:val="center"/>
      </w:pPr>
      <w:r>
        <w:rPr>
          <w:rFonts w:ascii="Times New Roman" w:hAnsi="Times New Roman"/>
          <w:color w:val="222830"/>
          <w:sz w:val="20"/>
        </w:rPr>
        <w:t xml:space="preserve">Figura 4. </w:t>
      </w:r>
      <w:r>
        <w:rPr>
          <w:rFonts w:ascii="Times New Roman" w:hAnsi="Times New Roman"/>
          <w:i/>
          <w:color w:val="222830"/>
          <w:sz w:val="20"/>
        </w:rPr>
        <w:t>Distribución del tiempo de detección en la medición final.</w:t>
      </w:r>
    </w:p>
    <w:p>
      <w:pPr>
        <w:spacing w:before="0" w:after="240"/>
        <w:ind w:left="283"/>
        <w:jc w:val="both"/>
      </w:pPr>
      <w:r>
        <w:rPr>
          <w:rFonts w:ascii="Times New Roman" w:hAnsi="Times New Roman"/>
          <w:color w:val="5A6878"/>
          <w:sz w:val="18"/>
        </w:rPr>
        <w:t>Nota. Ocho de los diez escenarios se detectan por debajo de un segundo. Fuente: reporte de indicadores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Ocho de los diez escenarios se detectan por debajo de un segundo. Los dos más lentos, S01 y S02, son los de reconocimiento activo, donde el primer evento del atacante tarda en llegar al señuelo porque la actividad se ejecuta por red.</w:t>
            </w:r>
          </w:p>
        </w:tc>
      </w:tr>
    </w:tbl>
    <w:p>
      <w:pPr>
        <w:spacing w:after="80"/>
      </w:pPr>
    </w:p>
    <w:p>
      <w:pPr>
        <w:keepNext/>
        <w:spacing w:before="280" w:after="160"/>
        <w:outlineLvl w:val="1"/>
      </w:pPr>
      <w:r>
        <w:rPr>
          <w:rFonts w:ascii="Times New Roman" w:hAnsi="Times New Roman"/>
          <w:b/>
          <w:color w:val="1F3864"/>
          <w:sz w:val="27"/>
        </w:rPr>
        <w:t>5. Fuentes que registran la detección</w:t>
      </w:r>
    </w:p>
    <w:p>
      <w:pPr>
        <w:spacing w:after="160" w:line="360" w:lineRule="auto"/>
        <w:jc w:val="both"/>
      </w:pPr>
      <w:r>
        <w:rPr>
          <w:rFonts w:ascii="Times New Roman" w:hAnsi="Times New Roman"/>
          <w:color w:val="222830"/>
          <w:sz w:val="24"/>
        </w:rPr>
        <w:t>Cada escenario es detectado por un componente distinto. La línea base tenía tres componentes y la medición final seis, y esa ampliación es la que devuelve la medición a los seis escenarios que la primera vuelta no tenía.</w:t>
      </w:r>
    </w:p>
    <w:p>
      <w:pPr>
        <w:spacing w:before="200" w:after="80"/>
        <w:jc w:val="center"/>
      </w:pPr>
      <w:r>
        <w:drawing>
          <wp:inline xmlns:a="http://schemas.openxmlformats.org/drawingml/2006/main" xmlns:pic="http://schemas.openxmlformats.org/drawingml/2006/picture">
            <wp:extent cx="5760000" cy="1597625"/>
            <wp:docPr id="5" name="Picture 5"/>
            <wp:cNvGraphicFramePr>
              <a:graphicFrameLocks noChangeAspect="1"/>
            </wp:cNvGraphicFramePr>
            <a:graphic>
              <a:graphicData uri="http://schemas.openxmlformats.org/drawingml/2006/picture">
                <pic:pic>
                  <pic:nvPicPr>
                    <pic:cNvPr id="0" name="fuentes.png"/>
                    <pic:cNvPicPr/>
                  </pic:nvPicPr>
                  <pic:blipFill>
                    <a:blip r:embed="rId13"/>
                    <a:stretch>
                      <a:fillRect/>
                    </a:stretch>
                  </pic:blipFill>
                  <pic:spPr>
                    <a:xfrm>
                      <a:off x="0" y="0"/>
                      <a:ext cx="5760000" cy="1597625"/>
                    </a:xfrm>
                    <a:prstGeom prst="rect"/>
                  </pic:spPr>
                </pic:pic>
              </a:graphicData>
            </a:graphic>
          </wp:inline>
        </w:drawing>
      </w:r>
    </w:p>
    <w:p>
      <w:pPr>
        <w:spacing w:before="40" w:after="40"/>
        <w:jc w:val="center"/>
      </w:pPr>
      <w:r>
        <w:rPr>
          <w:rFonts w:ascii="Times New Roman" w:hAnsi="Times New Roman"/>
          <w:color w:val="222830"/>
          <w:sz w:val="20"/>
        </w:rPr>
        <w:t xml:space="preserve">Figura 5. </w:t>
      </w:r>
      <w:r>
        <w:rPr>
          <w:rFonts w:ascii="Times New Roman" w:hAnsi="Times New Roman"/>
          <w:i/>
          <w:color w:val="222830"/>
          <w:sz w:val="20"/>
        </w:rPr>
        <w:t>Fuentes que registran la detección.</w:t>
      </w:r>
    </w:p>
    <w:p>
      <w:pPr>
        <w:spacing w:before="0" w:after="240"/>
        <w:ind w:left="283"/>
        <w:jc w:val="both"/>
      </w:pPr>
      <w:r>
        <w:rPr>
          <w:rFonts w:ascii="Times New Roman" w:hAnsi="Times New Roman"/>
          <w:color w:val="5A6878"/>
          <w:sz w:val="18"/>
        </w:rPr>
        <w:t>Nota. Los tres componentes añadidos durante el ciclo son el emulador de acceso remoto, el archivo señuelo y el sensor de red. Fuente: reportes de indicadores de las dos vueltas.</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tres componentes añadidos durante el ciclo son el emulador de acceso remoto, el archivo señuelo y el sensor de red. Cada uno responde a una lección concreta: L13, L14 y L14 respectivamente.</w:t>
            </w:r>
          </w:p>
        </w:tc>
      </w:tr>
    </w:tbl>
    <w:p>
      <w:pPr>
        <w:spacing w:after="80"/>
      </w:pPr>
    </w:p>
    <w:p>
      <w:pPr>
        <w:keepNext/>
        <w:spacing w:before="280" w:after="160"/>
        <w:outlineLvl w:val="1"/>
      </w:pPr>
      <w:r>
        <w:rPr>
          <w:rFonts w:ascii="Times New Roman" w:hAnsi="Times New Roman"/>
          <w:b/>
          <w:color w:val="1F3864"/>
          <w:sz w:val="27"/>
        </w:rPr>
        <w:t>6. Cobertura de MITRE ATT&amp;CK</w:t>
      </w:r>
    </w:p>
    <w:p>
      <w:pPr>
        <w:spacing w:after="160" w:line="360" w:lineRule="auto"/>
        <w:jc w:val="both"/>
      </w:pPr>
      <w:r>
        <w:rPr>
          <w:rFonts w:ascii="Times New Roman" w:hAnsi="Times New Roman"/>
          <w:color w:val="222830"/>
          <w:sz w:val="24"/>
        </w:rPr>
        <w:t>El inventario del señuelo comprende diecisiete técnicas distribuidas en ocho tácticas. Diez las activa algún escenario de la campaña y todas diez reciben fuente de detección en la medición final.</w:t>
      </w:r>
    </w:p>
    <w:p>
      <w:pPr>
        <w:spacing w:before="200" w:after="80"/>
        <w:jc w:val="center"/>
      </w:pPr>
      <w:r>
        <w:drawing>
          <wp:inline xmlns:a="http://schemas.openxmlformats.org/drawingml/2006/main" xmlns:pic="http://schemas.openxmlformats.org/drawingml/2006/picture">
            <wp:extent cx="5760000" cy="3379649"/>
            <wp:docPr id="6" name="Picture 6"/>
            <wp:cNvGraphicFramePr>
              <a:graphicFrameLocks noChangeAspect="1"/>
            </wp:cNvGraphicFramePr>
            <a:graphic>
              <a:graphicData uri="http://schemas.openxmlformats.org/drawingml/2006/picture">
                <pic:pic>
                  <pic:nvPicPr>
                    <pic:cNvPr id="0" name="attack.png"/>
                    <pic:cNvPicPr/>
                  </pic:nvPicPr>
                  <pic:blipFill>
                    <a:blip r:embed="rId14"/>
                    <a:stretch>
                      <a:fillRect/>
                    </a:stretch>
                  </pic:blipFill>
                  <pic:spPr>
                    <a:xfrm>
                      <a:off x="0" y="0"/>
                      <a:ext cx="5760000" cy="3379649"/>
                    </a:xfrm>
                    <a:prstGeom prst="rect"/>
                  </pic:spPr>
                </pic:pic>
              </a:graphicData>
            </a:graphic>
          </wp:inline>
        </w:drawing>
      </w:r>
    </w:p>
    <w:p>
      <w:pPr>
        <w:spacing w:before="40" w:after="40"/>
        <w:jc w:val="center"/>
      </w:pPr>
      <w:r>
        <w:rPr>
          <w:rFonts w:ascii="Times New Roman" w:hAnsi="Times New Roman"/>
          <w:color w:val="222830"/>
          <w:sz w:val="20"/>
        </w:rPr>
        <w:t xml:space="preserve">Figura 6. </w:t>
      </w:r>
      <w:r>
        <w:rPr>
          <w:rFonts w:ascii="Times New Roman" w:hAnsi="Times New Roman"/>
          <w:i/>
          <w:color w:val="222830"/>
          <w:sz w:val="20"/>
        </w:rPr>
        <w:t>Inventario y detección de técnicas del marco de comportamiento adversario.</w:t>
      </w:r>
    </w:p>
    <w:p>
      <w:pPr>
        <w:spacing w:before="0" w:after="240"/>
        <w:ind w:left="283"/>
        <w:jc w:val="both"/>
      </w:pPr>
      <w:r>
        <w:rPr>
          <w:rFonts w:ascii="Times New Roman" w:hAnsi="Times New Roman"/>
          <w:color w:val="5A6878"/>
          <w:sz w:val="18"/>
        </w:rPr>
        <w:t>Nota. El inventario permanece en diecisiete técnicas y ocho tácticas. Lo que cambia es la atribución de detección. Fuente: mitre_coverage.json y reporte de la vuelta 2.</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268"/>
        <w:gridCol w:w="2268"/>
        <w:gridCol w:w="2268"/>
        <w:gridCol w:w="2268"/>
      </w:tblGrid>
      <w:tr>
        <w:trPr>
          <w:tblHeader w:val="true"/>
        </w:trPr>
        <w:tc>
          <w:tcPr>
            <w:tcW w:type="dxa" w:w="1361"/>
            <w:shd w:val="clear" w:fill="1F3864"/>
          </w:tcPr>
          <w:p>
            <w:pPr>
              <w:spacing w:before="40" w:after="40"/>
            </w:pPr>
            <w:r/>
            <w:r>
              <w:rPr>
                <w:rFonts w:ascii="Calibri" w:hAnsi="Calibri"/>
                <w:b/>
                <w:color w:val="FFFFFF"/>
                <w:sz w:val="18"/>
              </w:rPr>
              <w:t>Técnica</w:t>
            </w:r>
          </w:p>
        </w:tc>
        <w:tc>
          <w:tcPr>
            <w:tcW w:type="dxa" w:w="2041"/>
            <w:shd w:val="clear" w:fill="1F3864"/>
          </w:tcPr>
          <w:p>
            <w:pPr>
              <w:spacing w:before="40" w:after="40"/>
            </w:pPr>
            <w:r/>
            <w:r>
              <w:rPr>
                <w:rFonts w:ascii="Calibri" w:hAnsi="Calibri"/>
                <w:b/>
                <w:color w:val="FFFFFF"/>
                <w:sz w:val="18"/>
              </w:rPr>
              <w:t>Táctica</w:t>
            </w:r>
          </w:p>
        </w:tc>
        <w:tc>
          <w:tcPr>
            <w:tcW w:type="dxa" w:w="1020"/>
            <w:shd w:val="clear" w:fill="1F3864"/>
          </w:tcPr>
          <w:p>
            <w:pPr>
              <w:spacing w:before="40" w:after="40"/>
            </w:pPr>
            <w:r/>
            <w:r>
              <w:rPr>
                <w:rFonts w:ascii="Calibri" w:hAnsi="Calibri"/>
                <w:b/>
                <w:color w:val="FFFFFF"/>
                <w:sz w:val="18"/>
              </w:rPr>
              <w:t>Escenario</w:t>
            </w:r>
          </w:p>
        </w:tc>
        <w:tc>
          <w:tcPr>
            <w:tcW w:type="dxa" w:w="4649"/>
            <w:shd w:val="clear" w:fill="1F3864"/>
          </w:tcPr>
          <w:p>
            <w:pPr>
              <w:spacing w:before="40" w:after="40"/>
            </w:pPr>
            <w:r/>
            <w:r>
              <w:rPr>
                <w:rFonts w:ascii="Calibri" w:hAnsi="Calibri"/>
                <w:b/>
                <w:color w:val="FFFFFF"/>
                <w:sz w:val="18"/>
              </w:rPr>
              <w:t>Fuente en la medición final</w:t>
            </w:r>
          </w:p>
        </w:tc>
      </w:tr>
      <w:tr>
        <w:tc>
          <w:tcPr>
            <w:tcW w:type="dxa" w:w="1361"/>
          </w:tcPr>
          <w:p>
            <w:pPr>
              <w:spacing w:before="40" w:after="40"/>
            </w:pPr>
            <w:r/>
            <w:r>
              <w:rPr>
                <w:rFonts w:ascii="Calibri" w:hAnsi="Calibri"/>
                <w:color w:val="222830"/>
                <w:sz w:val="18"/>
              </w:rPr>
              <w:t>T1048.003</w:t>
            </w:r>
          </w:p>
        </w:tc>
        <w:tc>
          <w:tcPr>
            <w:tcW w:type="dxa" w:w="2041"/>
          </w:tcPr>
          <w:p>
            <w:pPr>
              <w:spacing w:before="40" w:after="40"/>
            </w:pPr>
            <w:r/>
            <w:r>
              <w:rPr>
                <w:rFonts w:ascii="Calibri" w:hAnsi="Calibri"/>
                <w:color w:val="222830"/>
                <w:sz w:val="18"/>
              </w:rPr>
              <w:t>Exfiltration</w:t>
            </w:r>
          </w:p>
        </w:tc>
        <w:tc>
          <w:tcPr>
            <w:tcW w:type="dxa" w:w="1020"/>
          </w:tcPr>
          <w:p>
            <w:pPr>
              <w:spacing w:before="40" w:after="40"/>
            </w:pPr>
            <w:r/>
            <w:r>
              <w:rPr>
                <w:rFonts w:ascii="Calibri" w:hAnsi="Calibri"/>
                <w:color w:val="222830"/>
                <w:sz w:val="18"/>
              </w:rPr>
              <w:t>S10</w:t>
            </w:r>
          </w:p>
        </w:tc>
        <w:tc>
          <w:tcPr>
            <w:tcW w:type="dxa" w:w="4649"/>
          </w:tcPr>
          <w:p>
            <w:pPr>
              <w:spacing w:before="40" w:after="40"/>
            </w:pPr>
            <w:r/>
            <w:r>
              <w:rPr>
                <w:rFonts w:ascii="Calibri" w:hAnsi="Calibri"/>
                <w:color w:val="222830"/>
                <w:sz w:val="18"/>
              </w:rPr>
              <w:t>Sensor de red</w:t>
            </w:r>
          </w:p>
        </w:tc>
      </w:tr>
      <w:tr>
        <w:tc>
          <w:tcPr>
            <w:tcW w:type="dxa" w:w="1361"/>
            <w:shd w:val="clear" w:fill="EDF2F8"/>
          </w:tcPr>
          <w:p>
            <w:pPr>
              <w:spacing w:before="40" w:after="40"/>
            </w:pPr>
            <w:r/>
            <w:r>
              <w:rPr>
                <w:rFonts w:ascii="Calibri" w:hAnsi="Calibri"/>
                <w:color w:val="222830"/>
                <w:sz w:val="18"/>
              </w:rPr>
              <w:t>T1059</w:t>
            </w:r>
          </w:p>
        </w:tc>
        <w:tc>
          <w:tcPr>
            <w:tcW w:type="dxa" w:w="2041"/>
            <w:shd w:val="clear" w:fill="EDF2F8"/>
          </w:tcPr>
          <w:p>
            <w:pPr>
              <w:spacing w:before="40" w:after="40"/>
            </w:pPr>
            <w:r/>
            <w:r>
              <w:rPr>
                <w:rFonts w:ascii="Calibri" w:hAnsi="Calibri"/>
                <w:color w:val="222830"/>
                <w:sz w:val="18"/>
              </w:rPr>
              <w:t>Execution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T1059.004</w:t>
            </w:r>
          </w:p>
        </w:tc>
        <w:tc>
          <w:tcPr>
            <w:tcW w:type="dxa" w:w="2041"/>
          </w:tcPr>
          <w:p>
            <w:pPr>
              <w:spacing w:before="40" w:after="40"/>
            </w:pPr>
            <w:r/>
            <w:r>
              <w:rPr>
                <w:rFonts w:ascii="Calibri" w:hAnsi="Calibri"/>
                <w:color w:val="222830"/>
                <w:sz w:val="18"/>
              </w:rPr>
              <w:t>Execution</w:t>
            </w:r>
          </w:p>
        </w:tc>
        <w:tc>
          <w:tcPr>
            <w:tcW w:type="dxa" w:w="1020"/>
          </w:tcPr>
          <w:p>
            <w:pPr>
              <w:spacing w:before="40" w:after="40"/>
            </w:pPr>
            <w:r/>
            <w:r>
              <w:rPr>
                <w:rFonts w:ascii="Calibri" w:hAnsi="Calibri"/>
                <w:color w:val="222830"/>
                <w:sz w:val="18"/>
              </w:rPr>
              <w:t>S09</w:t>
            </w:r>
          </w:p>
        </w:tc>
        <w:tc>
          <w:tcPr>
            <w:tcW w:type="dxa" w:w="4649"/>
          </w:tcPr>
          <w:p>
            <w:pPr>
              <w:spacing w:before="40" w:after="40"/>
            </w:pPr>
            <w:r/>
            <w:r>
              <w:rPr>
                <w:rFonts w:ascii="Calibri" w:hAnsi="Calibri"/>
                <w:color w:val="222830"/>
                <w:sz w:val="18"/>
              </w:rPr>
              <w:t>Emulador de acceso remoto</w:t>
            </w:r>
          </w:p>
        </w:tc>
      </w:tr>
      <w:tr>
        <w:tc>
          <w:tcPr>
            <w:tcW w:type="dxa" w:w="1361"/>
            <w:shd w:val="clear" w:fill="EDF2F8"/>
          </w:tcPr>
          <w:p>
            <w:pPr>
              <w:spacing w:before="40" w:after="40"/>
            </w:pPr>
            <w:r/>
            <w:r>
              <w:rPr>
                <w:rFonts w:ascii="Calibri" w:hAnsi="Calibri"/>
                <w:color w:val="222830"/>
                <w:sz w:val="18"/>
              </w:rPr>
              <w:t>T1059.006</w:t>
            </w:r>
          </w:p>
        </w:tc>
        <w:tc>
          <w:tcPr>
            <w:tcW w:type="dxa" w:w="2041"/>
            <w:shd w:val="clear" w:fill="EDF2F8"/>
          </w:tcPr>
          <w:p>
            <w:pPr>
              <w:spacing w:before="40" w:after="40"/>
            </w:pPr>
            <w:r/>
            <w:r>
              <w:rPr>
                <w:rFonts w:ascii="Calibri" w:hAnsi="Calibri"/>
                <w:color w:val="222830"/>
                <w:sz w:val="18"/>
              </w:rPr>
              <w:t>Execution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T1059.007</w:t>
            </w:r>
          </w:p>
        </w:tc>
        <w:tc>
          <w:tcPr>
            <w:tcW w:type="dxa" w:w="2041"/>
          </w:tcPr>
          <w:p>
            <w:pPr>
              <w:spacing w:before="40" w:after="40"/>
            </w:pPr>
            <w:r/>
            <w:r>
              <w:rPr>
                <w:rFonts w:ascii="Calibri" w:hAnsi="Calibri"/>
                <w:color w:val="222830"/>
                <w:sz w:val="18"/>
              </w:rPr>
              <w:t>Execution</w:t>
            </w:r>
          </w:p>
        </w:tc>
        <w:tc>
          <w:tcPr>
            <w:tcW w:type="dxa" w:w="1020"/>
          </w:tcPr>
          <w:p>
            <w:pPr>
              <w:spacing w:before="40" w:after="40"/>
            </w:pPr>
            <w:r/>
            <w:r>
              <w:rPr>
                <w:rFonts w:ascii="Calibri" w:hAnsi="Calibri"/>
                <w:color w:val="222830"/>
                <w:sz w:val="18"/>
              </w:rPr>
              <w:t>S06</w:t>
            </w:r>
          </w:p>
        </w:tc>
        <w:tc>
          <w:tcPr>
            <w:tcW w:type="dxa" w:w="4649"/>
          </w:tcPr>
          <w:p>
            <w:pPr>
              <w:spacing w:before="40" w:after="40"/>
            </w:pPr>
            <w:r/>
            <w:r>
              <w:rPr>
                <w:rFonts w:ascii="Calibri" w:hAnsi="Calibri"/>
                <w:color w:val="222830"/>
                <w:sz w:val="18"/>
              </w:rPr>
              <w:t>Portal del señuelo</w:t>
            </w:r>
          </w:p>
        </w:tc>
      </w:tr>
      <w:tr>
        <w:tc>
          <w:tcPr>
            <w:tcW w:type="dxa" w:w="1361"/>
            <w:shd w:val="clear" w:fill="EDF2F8"/>
          </w:tcPr>
          <w:p>
            <w:pPr>
              <w:spacing w:before="40" w:after="40"/>
            </w:pPr>
            <w:r/>
            <w:r>
              <w:rPr>
                <w:rFonts w:ascii="Calibri" w:hAnsi="Calibri"/>
                <w:color w:val="222830"/>
                <w:sz w:val="18"/>
              </w:rPr>
              <w:t>T1078</w:t>
            </w:r>
          </w:p>
        </w:tc>
        <w:tc>
          <w:tcPr>
            <w:tcW w:type="dxa" w:w="2041"/>
            <w:shd w:val="clear" w:fill="EDF2F8"/>
          </w:tcPr>
          <w:p>
            <w:pPr>
              <w:spacing w:before="40" w:after="40"/>
            </w:pPr>
            <w:r/>
            <w:r>
              <w:rPr>
                <w:rFonts w:ascii="Calibri" w:hAnsi="Calibri"/>
                <w:color w:val="222830"/>
                <w:sz w:val="18"/>
              </w:rPr>
              <w:t>Initial Access</w:t>
            </w:r>
          </w:p>
        </w:tc>
        <w:tc>
          <w:tcPr>
            <w:tcW w:type="dxa" w:w="1020"/>
            <w:shd w:val="clear" w:fill="EDF2F8"/>
          </w:tcPr>
          <w:p>
            <w:pPr>
              <w:spacing w:before="40" w:after="40"/>
            </w:pPr>
            <w:r/>
            <w:r>
              <w:rPr>
                <w:rFonts w:ascii="Calibri" w:hAnsi="Calibri"/>
                <w:color w:val="222830"/>
                <w:sz w:val="18"/>
              </w:rPr>
              <w:t>S07</w:t>
            </w:r>
          </w:p>
        </w:tc>
        <w:tc>
          <w:tcPr>
            <w:tcW w:type="dxa" w:w="4649"/>
            <w:shd w:val="clear" w:fill="EDF2F8"/>
          </w:tcPr>
          <w:p>
            <w:pPr>
              <w:spacing w:before="40" w:after="40"/>
            </w:pPr>
            <w:r/>
            <w:r>
              <w:rPr>
                <w:rFonts w:ascii="Calibri" w:hAnsi="Calibri"/>
                <w:color w:val="222830"/>
                <w:sz w:val="18"/>
              </w:rPr>
              <w:t>Interfaz de servicios del señuelo</w:t>
            </w:r>
          </w:p>
        </w:tc>
      </w:tr>
      <w:tr>
        <w:tc>
          <w:tcPr>
            <w:tcW w:type="dxa" w:w="1361"/>
          </w:tcPr>
          <w:p>
            <w:pPr>
              <w:spacing w:before="40" w:after="40"/>
            </w:pPr>
            <w:r/>
            <w:r>
              <w:rPr>
                <w:rFonts w:ascii="Calibri" w:hAnsi="Calibri"/>
                <w:color w:val="222830"/>
                <w:sz w:val="18"/>
              </w:rPr>
              <w:t>T1078.001</w:t>
            </w:r>
          </w:p>
        </w:tc>
        <w:tc>
          <w:tcPr>
            <w:tcW w:type="dxa" w:w="2041"/>
          </w:tcPr>
          <w:p>
            <w:pPr>
              <w:spacing w:before="40" w:after="40"/>
            </w:pPr>
            <w:r/>
            <w:r>
              <w:rPr>
                <w:rFonts w:ascii="Calibri" w:hAnsi="Calibri"/>
                <w:color w:val="222830"/>
                <w:sz w:val="18"/>
              </w:rPr>
              <w:t>Initial Access</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r>
        <w:tc>
          <w:tcPr>
            <w:tcW w:type="dxa" w:w="1361"/>
            <w:shd w:val="clear" w:fill="EDF2F8"/>
          </w:tcPr>
          <w:p>
            <w:pPr>
              <w:spacing w:before="40" w:after="40"/>
            </w:pPr>
            <w:r/>
            <w:r>
              <w:rPr>
                <w:rFonts w:ascii="Calibri" w:hAnsi="Calibri"/>
                <w:color w:val="222830"/>
                <w:sz w:val="18"/>
              </w:rPr>
              <w:t>T1083</w:t>
            </w:r>
          </w:p>
        </w:tc>
        <w:tc>
          <w:tcPr>
            <w:tcW w:type="dxa" w:w="2041"/>
            <w:shd w:val="clear" w:fill="EDF2F8"/>
          </w:tcPr>
          <w:p>
            <w:pPr>
              <w:spacing w:before="40" w:after="40"/>
            </w:pPr>
            <w:r/>
            <w:r>
              <w:rPr>
                <w:rFonts w:ascii="Calibri" w:hAnsi="Calibri"/>
                <w:color w:val="222830"/>
                <w:sz w:val="18"/>
              </w:rPr>
              <w:t>Discovery</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T1105</w:t>
            </w:r>
          </w:p>
        </w:tc>
        <w:tc>
          <w:tcPr>
            <w:tcW w:type="dxa" w:w="2041"/>
          </w:tcPr>
          <w:p>
            <w:pPr>
              <w:spacing w:before="40" w:after="40"/>
            </w:pPr>
            <w:r/>
            <w:r>
              <w:rPr>
                <w:rFonts w:ascii="Calibri" w:hAnsi="Calibri"/>
                <w:color w:val="222830"/>
                <w:sz w:val="18"/>
              </w:rPr>
              <w:t>Command and Control</w:t>
            </w:r>
          </w:p>
        </w:tc>
        <w:tc>
          <w:tcPr>
            <w:tcW w:type="dxa" w:w="1020"/>
          </w:tcPr>
          <w:p>
            <w:pPr>
              <w:spacing w:before="40" w:after="40"/>
            </w:pPr>
            <w:r/>
            <w:r>
              <w:rPr>
                <w:rFonts w:ascii="Calibri" w:hAnsi="Calibri"/>
                <w:color w:val="222830"/>
                <w:sz w:val="18"/>
              </w:rPr>
              <w:t>S08</w:t>
            </w:r>
          </w:p>
        </w:tc>
        <w:tc>
          <w:tcPr>
            <w:tcW w:type="dxa" w:w="4649"/>
          </w:tcPr>
          <w:p>
            <w:pPr>
              <w:spacing w:before="40" w:after="40"/>
            </w:pPr>
            <w:r/>
            <w:r>
              <w:rPr>
                <w:rFonts w:ascii="Calibri" w:hAnsi="Calibri"/>
                <w:color w:val="222830"/>
                <w:sz w:val="18"/>
              </w:rPr>
              <w:t>Archivo señuelo</w:t>
            </w:r>
          </w:p>
        </w:tc>
      </w:tr>
      <w:tr>
        <w:tc>
          <w:tcPr>
            <w:tcW w:type="dxa" w:w="1361"/>
            <w:shd w:val="clear" w:fill="EDF2F8"/>
          </w:tcPr>
          <w:p>
            <w:pPr>
              <w:spacing w:before="40" w:after="40"/>
            </w:pPr>
            <w:r/>
            <w:r>
              <w:rPr>
                <w:rFonts w:ascii="Calibri" w:hAnsi="Calibri"/>
                <w:color w:val="222830"/>
                <w:sz w:val="18"/>
              </w:rPr>
              <w:t>T1110.001</w:t>
            </w:r>
          </w:p>
        </w:tc>
        <w:tc>
          <w:tcPr>
            <w:tcW w:type="dxa" w:w="2041"/>
            <w:shd w:val="clear" w:fill="EDF2F8"/>
          </w:tcPr>
          <w:p>
            <w:pPr>
              <w:spacing w:before="40" w:after="40"/>
            </w:pPr>
            <w:r/>
            <w:r>
              <w:rPr>
                <w:rFonts w:ascii="Calibri" w:hAnsi="Calibri"/>
                <w:color w:val="222830"/>
                <w:sz w:val="18"/>
              </w:rPr>
              <w:t>Credential Access</w:t>
            </w:r>
          </w:p>
        </w:tc>
        <w:tc>
          <w:tcPr>
            <w:tcW w:type="dxa" w:w="1020"/>
            <w:shd w:val="clear" w:fill="EDF2F8"/>
          </w:tcPr>
          <w:p>
            <w:pPr>
              <w:spacing w:before="40" w:after="40"/>
            </w:pPr>
            <w:r/>
            <w:r>
              <w:rPr>
                <w:rFonts w:ascii="Calibri" w:hAnsi="Calibri"/>
                <w:color w:val="222830"/>
                <w:sz w:val="18"/>
              </w:rPr>
              <w:t>S03</w:t>
            </w:r>
          </w:p>
        </w:tc>
        <w:tc>
          <w:tcPr>
            <w:tcW w:type="dxa" w:w="4649"/>
            <w:shd w:val="clear" w:fill="EDF2F8"/>
          </w:tcPr>
          <w:p>
            <w:pPr>
              <w:spacing w:before="40" w:after="40"/>
            </w:pPr>
            <w:r/>
            <w:r>
              <w:rPr>
                <w:rFonts w:ascii="Calibri" w:hAnsi="Calibri"/>
                <w:color w:val="222830"/>
                <w:sz w:val="18"/>
              </w:rPr>
              <w:t>Emulador de acceso remoto</w:t>
            </w:r>
          </w:p>
        </w:tc>
      </w:tr>
      <w:tr>
        <w:tc>
          <w:tcPr>
            <w:tcW w:type="dxa" w:w="1361"/>
          </w:tcPr>
          <w:p>
            <w:pPr>
              <w:spacing w:before="40" w:after="40"/>
            </w:pPr>
            <w:r/>
            <w:r>
              <w:rPr>
                <w:rFonts w:ascii="Calibri" w:hAnsi="Calibri"/>
                <w:color w:val="222830"/>
                <w:sz w:val="18"/>
              </w:rPr>
              <w:t>T1110.004</w:t>
            </w:r>
          </w:p>
        </w:tc>
        <w:tc>
          <w:tcPr>
            <w:tcW w:type="dxa" w:w="2041"/>
          </w:tcPr>
          <w:p>
            <w:pPr>
              <w:spacing w:before="40" w:after="40"/>
            </w:pPr>
            <w:r/>
            <w:r>
              <w:rPr>
                <w:rFonts w:ascii="Calibri" w:hAnsi="Calibri"/>
                <w:color w:val="222830"/>
                <w:sz w:val="18"/>
              </w:rPr>
              <w:t>Credential Access</w:t>
            </w:r>
          </w:p>
        </w:tc>
        <w:tc>
          <w:tcPr>
            <w:tcW w:type="dxa" w:w="1020"/>
          </w:tcPr>
          <w:p>
            <w:pPr>
              <w:spacing w:before="40" w:after="40"/>
            </w:pPr>
            <w:r/>
            <w:r>
              <w:rPr>
                <w:rFonts w:ascii="Calibri" w:hAnsi="Calibri"/>
                <w:color w:val="222830"/>
                <w:sz w:val="18"/>
              </w:rPr>
              <w:t>S05</w:t>
            </w:r>
          </w:p>
        </w:tc>
        <w:tc>
          <w:tcPr>
            <w:tcW w:type="dxa" w:w="4649"/>
          </w:tcPr>
          <w:p>
            <w:pPr>
              <w:spacing w:before="40" w:after="40"/>
            </w:pPr>
            <w:r/>
            <w:r>
              <w:rPr>
                <w:rFonts w:ascii="Calibri" w:hAnsi="Calibri"/>
                <w:color w:val="222830"/>
                <w:sz w:val="18"/>
              </w:rPr>
              <w:t>Interfaz de servicios del señuelo</w:t>
            </w:r>
          </w:p>
        </w:tc>
      </w:tr>
      <w:tr>
        <w:tc>
          <w:tcPr>
            <w:tcW w:type="dxa" w:w="1361"/>
            <w:shd w:val="clear" w:fill="EDF2F8"/>
          </w:tcPr>
          <w:p>
            <w:pPr>
              <w:spacing w:before="40" w:after="40"/>
            </w:pPr>
            <w:r/>
            <w:r>
              <w:rPr>
                <w:rFonts w:ascii="Calibri" w:hAnsi="Calibri"/>
                <w:color w:val="222830"/>
                <w:sz w:val="18"/>
              </w:rPr>
              <w:t>T1190</w:t>
            </w:r>
          </w:p>
        </w:tc>
        <w:tc>
          <w:tcPr>
            <w:tcW w:type="dxa" w:w="2041"/>
            <w:shd w:val="clear" w:fill="EDF2F8"/>
          </w:tcPr>
          <w:p>
            <w:pPr>
              <w:spacing w:before="40" w:after="40"/>
            </w:pPr>
            <w:r/>
            <w:r>
              <w:rPr>
                <w:rFonts w:ascii="Calibri" w:hAnsi="Calibri"/>
                <w:color w:val="222830"/>
                <w:sz w:val="18"/>
              </w:rPr>
              <w:t>Initial Access</w:t>
            </w:r>
          </w:p>
        </w:tc>
        <w:tc>
          <w:tcPr>
            <w:tcW w:type="dxa" w:w="1020"/>
            <w:shd w:val="clear" w:fill="EDF2F8"/>
          </w:tcPr>
          <w:p>
            <w:pPr>
              <w:spacing w:before="40" w:after="40"/>
            </w:pPr>
            <w:r/>
            <w:r>
              <w:rPr>
                <w:rFonts w:ascii="Calibri" w:hAnsi="Calibri"/>
                <w:color w:val="222830"/>
                <w:sz w:val="18"/>
              </w:rPr>
              <w:t>S04</w:t>
            </w:r>
          </w:p>
        </w:tc>
        <w:tc>
          <w:tcPr>
            <w:tcW w:type="dxa" w:w="4649"/>
            <w:shd w:val="clear" w:fill="EDF2F8"/>
          </w:tcPr>
          <w:p>
            <w:pPr>
              <w:spacing w:before="40" w:after="40"/>
            </w:pPr>
            <w:r/>
            <w:r>
              <w:rPr>
                <w:rFonts w:ascii="Calibri" w:hAnsi="Calibri"/>
                <w:color w:val="222830"/>
                <w:sz w:val="18"/>
              </w:rPr>
              <w:t>Portal del señuelo</w:t>
            </w:r>
          </w:p>
        </w:tc>
      </w:tr>
      <w:tr>
        <w:tc>
          <w:tcPr>
            <w:tcW w:type="dxa" w:w="1361"/>
          </w:tcPr>
          <w:p>
            <w:pPr>
              <w:spacing w:before="40" w:after="40"/>
            </w:pPr>
            <w:r/>
            <w:r>
              <w:rPr>
                <w:rFonts w:ascii="Calibri" w:hAnsi="Calibri"/>
                <w:color w:val="222830"/>
                <w:sz w:val="18"/>
              </w:rPr>
              <w:t>T1213</w:t>
            </w:r>
          </w:p>
        </w:tc>
        <w:tc>
          <w:tcPr>
            <w:tcW w:type="dxa" w:w="2041"/>
          </w:tcPr>
          <w:p>
            <w:pPr>
              <w:spacing w:before="40" w:after="40"/>
            </w:pPr>
            <w:r/>
            <w:r>
              <w:rPr>
                <w:rFonts w:ascii="Calibri" w:hAnsi="Calibri"/>
                <w:color w:val="222830"/>
                <w:sz w:val="18"/>
              </w:rPr>
              <w:t>Collection</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r>
        <w:tc>
          <w:tcPr>
            <w:tcW w:type="dxa" w:w="1361"/>
            <w:shd w:val="clear" w:fill="EDF2F8"/>
          </w:tcPr>
          <w:p>
            <w:pPr>
              <w:spacing w:before="40" w:after="40"/>
            </w:pPr>
            <w:r/>
            <w:r>
              <w:rPr>
                <w:rFonts w:ascii="Calibri" w:hAnsi="Calibri"/>
                <w:color w:val="222830"/>
                <w:sz w:val="18"/>
              </w:rPr>
              <w:t>T1530</w:t>
            </w:r>
          </w:p>
        </w:tc>
        <w:tc>
          <w:tcPr>
            <w:tcW w:type="dxa" w:w="2041"/>
            <w:shd w:val="clear" w:fill="EDF2F8"/>
          </w:tcPr>
          <w:p>
            <w:pPr>
              <w:spacing w:before="40" w:after="40"/>
            </w:pPr>
            <w:r/>
            <w:r>
              <w:rPr>
                <w:rFonts w:ascii="Calibri" w:hAnsi="Calibri"/>
                <w:color w:val="222830"/>
                <w:sz w:val="18"/>
              </w:rPr>
              <w:t>Collection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T1595</w:t>
            </w:r>
          </w:p>
        </w:tc>
        <w:tc>
          <w:tcPr>
            <w:tcW w:type="dxa" w:w="2041"/>
          </w:tcPr>
          <w:p>
            <w:pPr>
              <w:spacing w:before="40" w:after="40"/>
            </w:pPr>
            <w:r/>
            <w:r>
              <w:rPr>
                <w:rFonts w:ascii="Calibri" w:hAnsi="Calibri"/>
                <w:color w:val="222830"/>
                <w:sz w:val="18"/>
              </w:rPr>
              <w:t>Reconnaissance</w:t>
            </w:r>
          </w:p>
        </w:tc>
        <w:tc>
          <w:tcPr>
            <w:tcW w:type="dxa" w:w="1020"/>
          </w:tcPr>
          <w:p>
            <w:pPr>
              <w:spacing w:before="40" w:after="40"/>
            </w:pPr>
            <w:r/>
            <w:r>
              <w:rPr>
                <w:rFonts w:ascii="Calibri" w:hAnsi="Calibri"/>
                <w:color w:val="222830"/>
                <w:sz w:val="18"/>
              </w:rPr>
              <w:t>S01</w:t>
            </w:r>
          </w:p>
        </w:tc>
        <w:tc>
          <w:tcPr>
            <w:tcW w:type="dxa" w:w="4649"/>
          </w:tcPr>
          <w:p>
            <w:pPr>
              <w:spacing w:before="40" w:after="40"/>
            </w:pPr>
            <w:r/>
            <w:r>
              <w:rPr>
                <w:rFonts w:ascii="Calibri" w:hAnsi="Calibri"/>
                <w:color w:val="222830"/>
                <w:sz w:val="18"/>
              </w:rPr>
              <w:t>Interfaz de servicios del atacante</w:t>
            </w:r>
          </w:p>
        </w:tc>
      </w:tr>
      <w:tr>
        <w:tc>
          <w:tcPr>
            <w:tcW w:type="dxa" w:w="1361"/>
            <w:shd w:val="clear" w:fill="EDF2F8"/>
          </w:tcPr>
          <w:p>
            <w:pPr>
              <w:spacing w:before="40" w:after="40"/>
            </w:pPr>
            <w:r/>
            <w:r>
              <w:rPr>
                <w:rFonts w:ascii="Calibri" w:hAnsi="Calibri"/>
                <w:color w:val="222830"/>
                <w:sz w:val="18"/>
              </w:rPr>
              <w:t>T1595.002</w:t>
            </w:r>
          </w:p>
        </w:tc>
        <w:tc>
          <w:tcPr>
            <w:tcW w:type="dxa" w:w="2041"/>
            <w:shd w:val="clear" w:fill="EDF2F8"/>
          </w:tcPr>
          <w:p>
            <w:pPr>
              <w:spacing w:before="40" w:after="40"/>
            </w:pPr>
            <w:r/>
            <w:r>
              <w:rPr>
                <w:rFonts w:ascii="Calibri" w:hAnsi="Calibri"/>
                <w:color w:val="222830"/>
                <w:sz w:val="18"/>
              </w:rPr>
              <w:t>Reconnaissance</w:t>
            </w:r>
          </w:p>
        </w:tc>
        <w:tc>
          <w:tcPr>
            <w:tcW w:type="dxa" w:w="1020"/>
            <w:shd w:val="clear" w:fill="EDF2F8"/>
          </w:tcPr>
          <w:p>
            <w:pPr>
              <w:spacing w:before="40" w:after="40"/>
            </w:pPr>
            <w:r/>
            <w:r>
              <w:rPr>
                <w:rFonts w:ascii="Calibri" w:hAnsi="Calibri"/>
                <w:color w:val="222830"/>
                <w:sz w:val="18"/>
              </w:rPr>
              <w:t>S02</w:t>
            </w:r>
          </w:p>
        </w:tc>
        <w:tc>
          <w:tcPr>
            <w:tcW w:type="dxa" w:w="4649"/>
            <w:shd w:val="clear" w:fill="EDF2F8"/>
          </w:tcPr>
          <w:p>
            <w:pPr>
              <w:spacing w:before="40" w:after="40"/>
            </w:pPr>
            <w:r/>
            <w:r>
              <w:rPr>
                <w:rFonts w:ascii="Calibri" w:hAnsi="Calibri"/>
                <w:color w:val="222830"/>
                <w:sz w:val="18"/>
              </w:rPr>
              <w:t>Portal del señuelo</w:t>
            </w:r>
          </w:p>
        </w:tc>
      </w:tr>
      <w:tr>
        <w:tc>
          <w:tcPr>
            <w:tcW w:type="dxa" w:w="1361"/>
          </w:tcPr>
          <w:p>
            <w:pPr>
              <w:spacing w:before="40" w:after="40"/>
            </w:pPr>
            <w:r/>
            <w:r>
              <w:rPr>
                <w:rFonts w:ascii="Calibri" w:hAnsi="Calibri"/>
                <w:color w:val="222830"/>
                <w:sz w:val="18"/>
              </w:rPr>
              <w:t>T1595.003</w:t>
            </w:r>
          </w:p>
        </w:tc>
        <w:tc>
          <w:tcPr>
            <w:tcW w:type="dxa" w:w="2041"/>
          </w:tcPr>
          <w:p>
            <w:pPr>
              <w:spacing w:before="40" w:after="40"/>
            </w:pPr>
            <w:r/>
            <w:r>
              <w:rPr>
                <w:rFonts w:ascii="Calibri" w:hAnsi="Calibri"/>
                <w:color w:val="222830"/>
                <w:sz w:val="18"/>
              </w:rPr>
              <w:t>Reconnaissance</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siete técnicas que ningún escenario activa permanecen en el inventario del señuelo porque forman parte de su superficie de ataque. Su presencia en el inventario y su ausencia en la medición son dos hechos distintos y el tablero los separa.</w:t>
            </w:r>
          </w:p>
        </w:tc>
      </w:tr>
    </w:tbl>
    <w:p>
      <w:pPr>
        <w:spacing w:after="80"/>
      </w:pPr>
    </w:p>
    <w:p>
      <w:pPr>
        <w:keepNext/>
        <w:spacing w:before="280" w:after="160"/>
        <w:outlineLvl w:val="1"/>
      </w:pPr>
      <w:r>
        <w:rPr>
          <w:rFonts w:ascii="Times New Roman" w:hAnsi="Times New Roman"/>
          <w:b/>
          <w:color w:val="1F3864"/>
          <w:sz w:val="27"/>
        </w:rPr>
        <w:t>7. Ciclo de iteraciones</w:t>
      </w:r>
    </w:p>
    <w:p>
      <w:pPr>
        <w:spacing w:after="160" w:line="360" w:lineRule="auto"/>
        <w:jc w:val="both"/>
      </w:pPr>
      <w:r>
        <w:rPr>
          <w:rFonts w:ascii="Times New Roman" w:hAnsi="Times New Roman"/>
          <w:color w:val="222830"/>
          <w:sz w:val="24"/>
        </w:rPr>
        <w:t>La metodología se aplicó dos veces sobre el mismo señuelo. La primera medición produjo el conjunto de lecciones que originó las correcciones, y la segunda midió el efecto de esas correcciones.</w:t>
      </w:r>
    </w:p>
    <w:p>
      <w:pPr>
        <w:spacing w:before="200" w:after="80"/>
        <w:jc w:val="center"/>
      </w:pPr>
      <w:r>
        <w:drawing>
          <wp:inline xmlns:a="http://schemas.openxmlformats.org/drawingml/2006/main" xmlns:pic="http://schemas.openxmlformats.org/drawingml/2006/picture">
            <wp:extent cx="5760000" cy="1020557"/>
            <wp:docPr id="7" name="Picture 7"/>
            <wp:cNvGraphicFramePr>
              <a:graphicFrameLocks noChangeAspect="1"/>
            </wp:cNvGraphicFramePr>
            <a:graphic>
              <a:graphicData uri="http://schemas.openxmlformats.org/drawingml/2006/picture">
                <pic:pic>
                  <pic:nvPicPr>
                    <pic:cNvPr id="0" name="ciclo.png"/>
                    <pic:cNvPicPr/>
                  </pic:nvPicPr>
                  <pic:blipFill>
                    <a:blip r:embed="rId15"/>
                    <a:stretch>
                      <a:fillRect/>
                    </a:stretch>
                  </pic:blipFill>
                  <pic:spPr>
                    <a:xfrm>
                      <a:off x="0" y="0"/>
                      <a:ext cx="5760000" cy="1020557"/>
                    </a:xfrm>
                    <a:prstGeom prst="rect"/>
                  </pic:spPr>
                </pic:pic>
              </a:graphicData>
            </a:graphic>
          </wp:inline>
        </w:drawing>
      </w:r>
    </w:p>
    <w:p>
      <w:pPr>
        <w:spacing w:before="40" w:after="40"/>
        <w:jc w:val="center"/>
      </w:pPr>
      <w:r>
        <w:rPr>
          <w:rFonts w:ascii="Times New Roman" w:hAnsi="Times New Roman"/>
          <w:color w:val="222830"/>
          <w:sz w:val="20"/>
        </w:rPr>
        <w:t xml:space="preserve">Figura 7. </w:t>
      </w:r>
      <w:r>
        <w:rPr>
          <w:rFonts w:ascii="Times New Roman" w:hAnsi="Times New Roman"/>
          <w:i/>
          <w:color w:val="222830"/>
          <w:sz w:val="20"/>
        </w:rPr>
        <w:t>Ciclo de iteraciones de la metodología sobre el mismo señuelo.</w:t>
      </w:r>
    </w:p>
    <w:p>
      <w:pPr>
        <w:spacing w:before="0" w:after="240"/>
        <w:ind w:left="283"/>
        <w:jc w:val="both"/>
      </w:pPr>
      <w:r>
        <w:rPr>
          <w:rFonts w:ascii="Times New Roman" w:hAnsi="Times New Roman"/>
          <w:color w:val="5A6878"/>
          <w:sz w:val="18"/>
        </w:rPr>
        <w:t>Nota. La metodología se aplicó dos veces sobre el mismo señuelo. La primera medición produjo las catorce lecciones que originaron las correcciones de la segunda. Fuente: marcas de tiempo de ambos reportes.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268"/>
        <w:gridCol w:w="2268"/>
        <w:gridCol w:w="2268"/>
        <w:gridCol w:w="2268"/>
      </w:tblGrid>
      <w:tr>
        <w:trPr>
          <w:tblHeader w:val="true"/>
        </w:trPr>
        <w:tc>
          <w:tcPr>
            <w:tcW w:type="dxa" w:w="2608"/>
            <w:shd w:val="clear" w:fill="1F3864"/>
          </w:tcPr>
          <w:p>
            <w:pPr>
              <w:spacing w:before="40" w:after="40"/>
            </w:pPr>
            <w:r/>
            <w:r>
              <w:rPr>
                <w:rFonts w:ascii="Calibri" w:hAnsi="Calibri"/>
                <w:b/>
                <w:color w:val="FFFFFF"/>
                <w:sz w:val="18"/>
              </w:rPr>
              <w:t>Hito</w:t>
            </w:r>
          </w:p>
        </w:tc>
        <w:tc>
          <w:tcPr>
            <w:tcW w:type="dxa" w:w="1928"/>
            <w:shd w:val="clear" w:fill="1F3864"/>
          </w:tcPr>
          <w:p>
            <w:pPr>
              <w:spacing w:before="40" w:after="40"/>
            </w:pPr>
            <w:r/>
            <w:r>
              <w:rPr>
                <w:rFonts w:ascii="Calibri" w:hAnsi="Calibri"/>
                <w:b/>
                <w:color w:val="FFFFFF"/>
                <w:sz w:val="18"/>
              </w:rPr>
              <w:t>Momento</w:t>
            </w:r>
          </w:p>
        </w:tc>
        <w:tc>
          <w:tcPr>
            <w:tcW w:type="dxa" w:w="2608"/>
            <w:shd w:val="clear" w:fill="1F3864"/>
          </w:tcPr>
          <w:p>
            <w:pPr>
              <w:spacing w:before="40" w:after="40"/>
            </w:pPr>
            <w:r/>
            <w:r>
              <w:rPr>
                <w:rFonts w:ascii="Calibri" w:hAnsi="Calibri"/>
                <w:b/>
                <w:color w:val="FFFFFF"/>
                <w:sz w:val="18"/>
              </w:rPr>
              <w:t>Qué ocurrió</w:t>
            </w:r>
          </w:p>
        </w:tc>
        <w:tc>
          <w:tcPr>
            <w:tcW w:type="dxa" w:w="1928"/>
            <w:shd w:val="clear" w:fill="1F3864"/>
          </w:tcPr>
          <w:p>
            <w:pPr>
              <w:spacing w:before="40" w:after="40"/>
            </w:pPr>
            <w:r/>
            <w:r>
              <w:rPr>
                <w:rFonts w:ascii="Calibri" w:hAnsi="Calibri"/>
                <w:b/>
                <w:color w:val="FFFFFF"/>
                <w:sz w:val="18"/>
              </w:rPr>
              <w:t>Evidencia</w:t>
            </w:r>
          </w:p>
        </w:tc>
      </w:tr>
      <w:tr>
        <w:tc>
          <w:tcPr>
            <w:tcW w:type="dxa" w:w="2608"/>
          </w:tcPr>
          <w:p>
            <w:pPr>
              <w:spacing w:before="40" w:after="40"/>
            </w:pPr>
            <w:r/>
            <w:r>
              <w:rPr>
                <w:rFonts w:ascii="Calibri" w:hAnsi="Calibri"/>
                <w:color w:val="222830"/>
                <w:sz w:val="18"/>
              </w:rPr>
              <w:t>Medición de la línea base</w:t>
            </w:r>
          </w:p>
        </w:tc>
        <w:tc>
          <w:tcPr>
            <w:tcW w:type="dxa" w:w="1928"/>
          </w:tcPr>
          <w:p>
            <w:pPr>
              <w:spacing w:before="40" w:after="40"/>
            </w:pPr>
            <w:r/>
            <w:r>
              <w:rPr>
                <w:rFonts w:ascii="Calibri" w:hAnsi="Calibri"/>
                <w:color w:val="222830"/>
                <w:sz w:val="18"/>
              </w:rPr>
              <w:t>4 oct 2026 · 16:07 UTC</w:t>
            </w:r>
          </w:p>
        </w:tc>
        <w:tc>
          <w:tcPr>
            <w:tcW w:type="dxa" w:w="2608"/>
          </w:tcPr>
          <w:p>
            <w:pPr>
              <w:spacing w:before="40" w:after="40"/>
            </w:pPr>
            <w:r/>
            <w:r>
              <w:rPr>
                <w:rFonts w:ascii="Calibri" w:hAnsi="Calibri"/>
                <w:color w:val="222830"/>
                <w:sz w:val="18"/>
              </w:rPr>
              <w:t>Diez escenarios ejecutados, medición en cuatro de ellos</w:t>
            </w:r>
          </w:p>
        </w:tc>
        <w:tc>
          <w:tcPr>
            <w:tcW w:type="dxa" w:w="1928"/>
          </w:tcPr>
          <w:p>
            <w:pPr>
              <w:spacing w:before="40" w:after="40"/>
            </w:pPr>
            <w:r/>
            <w:r>
              <w:rPr>
                <w:rFonts w:ascii="Calibri" w:hAnsi="Calibri"/>
                <w:color w:val="222830"/>
                <w:sz w:val="18"/>
              </w:rPr>
              <w:t>Reporte de indicadores de la vuelta 1</w:t>
            </w:r>
          </w:p>
        </w:tc>
      </w:tr>
      <w:tr>
        <w:tc>
          <w:tcPr>
            <w:tcW w:type="dxa" w:w="2608"/>
            <w:shd w:val="clear" w:fill="EDF2F8"/>
          </w:tcPr>
          <w:p>
            <w:pPr>
              <w:spacing w:before="40" w:after="40"/>
            </w:pPr>
            <w:r/>
            <w:r>
              <w:rPr>
                <w:rFonts w:ascii="Calibri" w:hAnsi="Calibri"/>
                <w:color w:val="222830"/>
                <w:sz w:val="18"/>
              </w:rPr>
              <w:t>Cadena de alertas y indexación</w:t>
            </w:r>
          </w:p>
        </w:tc>
        <w:tc>
          <w:tcPr>
            <w:tcW w:type="dxa" w:w="1928"/>
            <w:shd w:val="clear" w:fill="EDF2F8"/>
          </w:tcPr>
          <w:p>
            <w:pPr>
              <w:spacing w:before="40" w:after="40"/>
            </w:pPr>
            <w:r/>
            <w:r>
              <w:rPr>
                <w:rFonts w:ascii="Calibri" w:hAnsi="Calibri"/>
                <w:color w:val="222830"/>
                <w:sz w:val="18"/>
              </w:rPr>
              <w:t>4 oct 2026 · 16:08 UTC</w:t>
            </w:r>
          </w:p>
        </w:tc>
        <w:tc>
          <w:tcPr>
            <w:tcW w:type="dxa" w:w="2608"/>
            <w:shd w:val="clear" w:fill="EDF2F8"/>
          </w:tcPr>
          <w:p>
            <w:pPr>
              <w:spacing w:before="40" w:after="40"/>
            </w:pPr>
            <w:r/>
            <w:r>
              <w:rPr>
                <w:rFonts w:ascii="Calibri" w:hAnsi="Calibri"/>
                <w:color w:val="222830"/>
                <w:sz w:val="18"/>
              </w:rPr>
              <w:t>Publicador propio operativo, tablero con datos reales</w:t>
            </w:r>
          </w:p>
        </w:tc>
        <w:tc>
          <w:tcPr>
            <w:tcW w:type="dxa" w:w="1928"/>
            <w:shd w:val="clear" w:fill="EDF2F8"/>
          </w:tcPr>
          <w:p>
            <w:pPr>
              <w:spacing w:before="40" w:after="40"/>
            </w:pPr>
            <w:r/>
            <w:r>
              <w:rPr>
                <w:rFonts w:ascii="Calibri" w:hAnsi="Calibri"/>
                <w:color w:val="222830"/>
                <w:sz w:val="18"/>
              </w:rPr>
              <w:t>Commits 20ee788 y 2d13573</w:t>
            </w:r>
          </w:p>
        </w:tc>
      </w:tr>
      <w:tr>
        <w:tc>
          <w:tcPr>
            <w:tcW w:type="dxa" w:w="2608"/>
          </w:tcPr>
          <w:p>
            <w:pPr>
              <w:spacing w:before="40" w:after="40"/>
            </w:pPr>
            <w:r/>
            <w:r>
              <w:rPr>
                <w:rFonts w:ascii="Calibri" w:hAnsi="Calibri"/>
                <w:color w:val="222830"/>
                <w:sz w:val="18"/>
              </w:rPr>
              <w:t>Registro de lecciones cerrado</w:t>
            </w:r>
          </w:p>
        </w:tc>
        <w:tc>
          <w:tcPr>
            <w:tcW w:type="dxa" w:w="1928"/>
          </w:tcPr>
          <w:p>
            <w:pPr>
              <w:spacing w:before="40" w:after="40"/>
            </w:pPr>
            <w:r/>
            <w:r>
              <w:rPr>
                <w:rFonts w:ascii="Calibri" w:hAnsi="Calibri"/>
                <w:color w:val="222830"/>
                <w:sz w:val="18"/>
              </w:rPr>
              <w:t>4 oct 2026 · 18:32 UTC</w:t>
            </w:r>
          </w:p>
        </w:tc>
        <w:tc>
          <w:tcPr>
            <w:tcW w:type="dxa" w:w="2608"/>
          </w:tcPr>
          <w:p>
            <w:pPr>
              <w:spacing w:before="40" w:after="40"/>
            </w:pPr>
            <w:r/>
            <w:r>
              <w:rPr>
                <w:rFonts w:ascii="Calibri" w:hAnsi="Calibri"/>
                <w:color w:val="222830"/>
                <w:sz w:val="18"/>
              </w:rPr>
              <w:t>Catorce lecciones con hallazgo, causa raíz y mejora aplicada</w:t>
            </w:r>
          </w:p>
        </w:tc>
        <w:tc>
          <w:tcPr>
            <w:tcW w:type="dxa" w:w="1928"/>
          </w:tcPr>
          <w:p>
            <w:pPr>
              <w:spacing w:before="40" w:after="40"/>
            </w:pPr>
            <w:r/>
            <w:r>
              <w:rPr>
                <w:rFonts w:ascii="Calibri" w:hAnsi="Calibri"/>
                <w:color w:val="222830"/>
                <w:sz w:val="18"/>
              </w:rPr>
              <w:t>Registro de lecciones aprendidas</w:t>
            </w:r>
          </w:p>
        </w:tc>
      </w:tr>
      <w:tr>
        <w:tc>
          <w:tcPr>
            <w:tcW w:type="dxa" w:w="2608"/>
            <w:shd w:val="clear" w:fill="EDF2F8"/>
          </w:tcPr>
          <w:p>
            <w:pPr>
              <w:spacing w:before="40" w:after="40"/>
            </w:pPr>
            <w:r/>
            <w:r>
              <w:rPr>
                <w:rFonts w:ascii="Calibri" w:hAnsi="Calibri"/>
                <w:color w:val="222830"/>
                <w:sz w:val="18"/>
              </w:rPr>
              <w:t>Medición posterior</w:t>
            </w:r>
          </w:p>
        </w:tc>
        <w:tc>
          <w:tcPr>
            <w:tcW w:type="dxa" w:w="1928"/>
            <w:shd w:val="clear" w:fill="EDF2F8"/>
          </w:tcPr>
          <w:p>
            <w:pPr>
              <w:spacing w:before="40" w:after="40"/>
            </w:pPr>
            <w:r/>
            <w:r>
              <w:rPr>
                <w:rFonts w:ascii="Calibri" w:hAnsi="Calibri"/>
                <w:color w:val="222830"/>
                <w:sz w:val="18"/>
              </w:rPr>
              <w:t>4 oct 2026 · 20:33 UTC</w:t>
            </w:r>
          </w:p>
        </w:tc>
        <w:tc>
          <w:tcPr>
            <w:tcW w:type="dxa" w:w="2608"/>
            <w:shd w:val="clear" w:fill="EDF2F8"/>
          </w:tcPr>
          <w:p>
            <w:pPr>
              <w:spacing w:before="40" w:after="40"/>
            </w:pPr>
            <w:r/>
            <w:r>
              <w:rPr>
                <w:rFonts w:ascii="Calibri" w:hAnsi="Calibri"/>
                <w:color w:val="222830"/>
                <w:sz w:val="18"/>
              </w:rPr>
              <w:t>Diez escenarios ejecutados, medición en los diez</w:t>
            </w:r>
          </w:p>
        </w:tc>
        <w:tc>
          <w:tcPr>
            <w:tcW w:type="dxa" w:w="1928"/>
            <w:shd w:val="clear" w:fill="EDF2F8"/>
          </w:tcPr>
          <w:p>
            <w:pPr>
              <w:spacing w:before="40" w:after="40"/>
            </w:pPr>
            <w:r/>
            <w:r>
              <w:rPr>
                <w:rFonts w:ascii="Calibri" w:hAnsi="Calibri"/>
                <w:color w:val="222830"/>
                <w:sz w:val="18"/>
              </w:rPr>
              <w:t>Reporte de indicadores de la vuelta 2</w:t>
            </w:r>
          </w:p>
        </w:tc>
      </w:tr>
      <w:tr>
        <w:tc>
          <w:tcPr>
            <w:tcW w:type="dxa" w:w="2608"/>
          </w:tcPr>
          <w:p>
            <w:pPr>
              <w:spacing w:before="40" w:after="40"/>
            </w:pPr>
            <w:r/>
            <w:r>
              <w:rPr>
                <w:rFonts w:ascii="Calibri" w:hAnsi="Calibri"/>
                <w:color w:val="222830"/>
                <w:sz w:val="18"/>
              </w:rPr>
              <w:t>Duración total del ciclo</w:t>
            </w:r>
          </w:p>
        </w:tc>
        <w:tc>
          <w:tcPr>
            <w:tcW w:type="dxa" w:w="1928"/>
          </w:tcPr>
          <w:p>
            <w:pPr>
              <w:spacing w:before="40" w:after="40"/>
            </w:pPr>
            <w:r/>
            <w:r>
              <w:rPr>
                <w:rFonts w:ascii="Calibri" w:hAnsi="Calibri"/>
                <w:color w:val="222830"/>
                <w:sz w:val="18"/>
              </w:rPr>
              <w:t>4 h 26 min</w:t>
            </w:r>
          </w:p>
        </w:tc>
        <w:tc>
          <w:tcPr>
            <w:tcW w:type="dxa" w:w="2608"/>
          </w:tcPr>
          <w:p>
            <w:pPr>
              <w:spacing w:before="40" w:after="40"/>
            </w:pPr>
            <w:r/>
            <w:r>
              <w:rPr>
                <w:rFonts w:ascii="Calibri" w:hAnsi="Calibri"/>
                <w:color w:val="222830"/>
                <w:sz w:val="18"/>
              </w:rPr>
              <w:t>De la línea base a la medición final</w:t>
            </w:r>
          </w:p>
        </w:tc>
        <w:tc>
          <w:tcPr>
            <w:tcW w:type="dxa" w:w="1928"/>
          </w:tcPr>
          <w:p>
            <w:pPr>
              <w:spacing w:before="40" w:after="40"/>
            </w:pPr>
            <w:r/>
            <w:r>
              <w:rPr>
                <w:rFonts w:ascii="Calibri" w:hAnsi="Calibri"/>
                <w:color w:val="222830"/>
                <w:sz w:val="18"/>
              </w:rPr>
              <w:t>Marcas de ambos reportes</w:t>
            </w:r>
          </w:p>
        </w:tc>
      </w:tr>
    </w:tbl>
    <w:p>
      <w:pPr>
        <w:spacing w:after="80"/>
      </w:pPr>
    </w:p>
    <w:p>
      <w:pPr>
        <w:keepNext/>
        <w:spacing w:before="280" w:after="160"/>
        <w:outlineLvl w:val="1"/>
      </w:pPr>
      <w:r>
        <w:rPr>
          <w:rFonts w:ascii="Times New Roman" w:hAnsi="Times New Roman"/>
          <w:b/>
          <w:color w:val="1F3864"/>
          <w:sz w:val="27"/>
        </w:rPr>
        <w:t>8. Aportación de cada fase de la metodología</w:t>
      </w:r>
    </w:p>
    <w:p>
      <w:pPr>
        <w:spacing w:after="160" w:line="360" w:lineRule="auto"/>
        <w:jc w:val="both"/>
      </w:pPr>
      <w:r>
        <w:rPr>
          <w:rFonts w:ascii="Times New Roman" w:hAnsi="Times New Roman"/>
          <w:color w:val="222830"/>
          <w:sz w:val="24"/>
        </w:rPr>
        <w:t>Cada fase produce un cambio comprobable. La columna de indicador recoge el valor que la fase entrega al resultado final.</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1814"/>
        <w:gridCol w:w="1814"/>
        <w:gridCol w:w="1814"/>
        <w:gridCol w:w="1814"/>
        <w:gridCol w:w="1814"/>
      </w:tblGrid>
      <w:tr>
        <w:trPr>
          <w:tblHeader w:val="true"/>
        </w:trPr>
        <w:tc>
          <w:tcPr>
            <w:tcW w:type="dxa" w:w="1814"/>
            <w:shd w:val="clear" w:fill="1F3864"/>
          </w:tcPr>
          <w:p>
            <w:pPr>
              <w:spacing w:before="40" w:after="40"/>
            </w:pPr>
            <w:r/>
            <w:r>
              <w:rPr>
                <w:rFonts w:ascii="Calibri" w:hAnsi="Calibri"/>
                <w:b/>
                <w:color w:val="FFFFFF"/>
                <w:sz w:val="18"/>
              </w:rPr>
              <w:t>Fase</w:t>
            </w:r>
          </w:p>
        </w:tc>
        <w:tc>
          <w:tcPr>
            <w:tcW w:type="dxa" w:w="3061"/>
            <w:shd w:val="clear" w:fill="1F3864"/>
          </w:tcPr>
          <w:p>
            <w:pPr>
              <w:spacing w:before="40" w:after="40"/>
            </w:pPr>
            <w:r/>
            <w:r>
              <w:rPr>
                <w:rFonts w:ascii="Calibri" w:hAnsi="Calibri"/>
                <w:b/>
                <w:color w:val="FFFFFF"/>
                <w:sz w:val="18"/>
              </w:rPr>
              <w:t>Qué aporta</w:t>
            </w:r>
          </w:p>
        </w:tc>
        <w:tc>
          <w:tcPr>
            <w:tcW w:type="dxa" w:w="1814"/>
            <w:shd w:val="clear" w:fill="1F3864"/>
          </w:tcPr>
          <w:p>
            <w:pPr>
              <w:spacing w:before="40" w:after="40"/>
            </w:pPr>
            <w:r/>
            <w:r>
              <w:rPr>
                <w:rFonts w:ascii="Calibri" w:hAnsi="Calibri"/>
                <w:b/>
                <w:color w:val="FFFFFF"/>
                <w:sz w:val="18"/>
              </w:rPr>
              <w:t>Indicador</w:t>
            </w:r>
          </w:p>
        </w:tc>
        <w:tc>
          <w:tcPr>
            <w:tcW w:type="dxa" w:w="1191"/>
            <w:shd w:val="clear" w:fill="1F3864"/>
          </w:tcPr>
          <w:p>
            <w:pPr>
              <w:spacing w:before="40" w:after="40"/>
            </w:pPr>
            <w:r/>
            <w:r>
              <w:rPr>
                <w:rFonts w:ascii="Calibri" w:hAnsi="Calibri"/>
                <w:b/>
                <w:color w:val="FFFFFF"/>
                <w:sz w:val="18"/>
              </w:rPr>
              <w:t>Línea base</w:t>
            </w:r>
          </w:p>
        </w:tc>
        <w:tc>
          <w:tcPr>
            <w:tcW w:type="dxa" w:w="1191"/>
            <w:shd w:val="clear" w:fill="1F3864"/>
          </w:tcPr>
          <w:p>
            <w:pPr>
              <w:spacing w:before="40" w:after="40"/>
            </w:pPr>
            <w:r/>
            <w:r>
              <w:rPr>
                <w:rFonts w:ascii="Calibri" w:hAnsi="Calibri"/>
                <w:b/>
                <w:color w:val="FFFFFF"/>
                <w:sz w:val="18"/>
              </w:rPr>
              <w:t>Final</w:t>
            </w:r>
          </w:p>
        </w:tc>
      </w:tr>
      <w:tr>
        <w:tc>
          <w:tcPr>
            <w:tcW w:type="dxa" w:w="1814"/>
          </w:tcPr>
          <w:p>
            <w:pPr>
              <w:spacing w:before="40" w:after="40"/>
            </w:pPr>
            <w:r/>
            <w:r>
              <w:rPr>
                <w:rFonts w:ascii="Calibri" w:hAnsi="Calibri"/>
                <w:color w:val="222830"/>
                <w:sz w:val="18"/>
              </w:rPr>
              <w:t>1 · Diseño del señuelo</w:t>
            </w:r>
          </w:p>
        </w:tc>
        <w:tc>
          <w:tcPr>
            <w:tcW w:type="dxa" w:w="3061"/>
          </w:tcPr>
          <w:p>
            <w:pPr>
              <w:spacing w:before="40" w:after="40"/>
            </w:pPr>
            <w:r/>
            <w:r>
              <w:rPr>
                <w:rFonts w:ascii="Calibri" w:hAnsi="Calibri"/>
                <w:color w:val="222830"/>
                <w:sz w:val="18"/>
              </w:rPr>
              <w:t>Portal tributario con acceso en dos pasos y un escenario por técnica del marco de comportamiento adversario</w:t>
            </w:r>
          </w:p>
        </w:tc>
        <w:tc>
          <w:tcPr>
            <w:tcW w:type="dxa" w:w="1814"/>
          </w:tcPr>
          <w:p>
            <w:pPr>
              <w:spacing w:before="40" w:after="40"/>
            </w:pPr>
            <w:r/>
            <w:r>
              <w:rPr>
                <w:rFonts w:ascii="Calibri" w:hAnsi="Calibri"/>
                <w:color w:val="222830"/>
                <w:sz w:val="18"/>
              </w:rPr>
              <w:t>Escenarios ejecutados</w:t>
            </w:r>
          </w:p>
        </w:tc>
        <w:tc>
          <w:tcPr>
            <w:tcW w:type="dxa" w:w="1191"/>
          </w:tcPr>
          <w:p>
            <w:pPr>
              <w:spacing w:before="40" w:after="40"/>
            </w:pPr>
            <w:r/>
            <w:r>
              <w:rPr>
                <w:rFonts w:ascii="Calibri" w:hAnsi="Calibri"/>
                <w:color w:val="222830"/>
                <w:sz w:val="18"/>
              </w:rPr>
              <w:t>10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2 · Despliegue aislado</w:t>
            </w:r>
          </w:p>
        </w:tc>
        <w:tc>
          <w:tcPr>
            <w:tcW w:type="dxa" w:w="3061"/>
            <w:shd w:val="clear" w:fill="EDF2F8"/>
          </w:tcPr>
          <w:p>
            <w:pPr>
              <w:spacing w:before="40" w:after="40"/>
            </w:pPr>
            <w:r/>
            <w:r>
              <w:rPr>
                <w:rFonts w:ascii="Calibri" w:hAnsi="Calibri"/>
                <w:color w:val="222830"/>
                <w:sz w:val="18"/>
              </w:rPr>
              <w:t>Tres segmentos de red y verificación del aislamiento ejecutada desde el contenedor atacante</w:t>
            </w:r>
          </w:p>
        </w:tc>
        <w:tc>
          <w:tcPr>
            <w:tcW w:type="dxa" w:w="1814"/>
            <w:shd w:val="clear" w:fill="EDF2F8"/>
          </w:tcPr>
          <w:p>
            <w:pPr>
              <w:spacing w:before="40" w:after="40"/>
            </w:pPr>
            <w:r/>
            <w:r>
              <w:rPr>
                <w:rFonts w:ascii="Calibri" w:hAnsi="Calibri"/>
                <w:color w:val="222830"/>
                <w:sz w:val="18"/>
              </w:rPr>
              <w:t>Objetivos alcanzables desde el atacante</w:t>
            </w:r>
          </w:p>
        </w:tc>
        <w:tc>
          <w:tcPr>
            <w:tcW w:type="dxa" w:w="1191"/>
            <w:shd w:val="clear" w:fill="EDF2F8"/>
          </w:tcPr>
          <w:p>
            <w:pPr>
              <w:spacing w:before="40" w:after="40"/>
            </w:pPr>
            <w:r/>
            <w:r>
              <w:rPr>
                <w:rFonts w:ascii="Calibri" w:hAnsi="Calibri"/>
                <w:color w:val="222830"/>
                <w:sz w:val="18"/>
              </w:rPr>
              <w:t>—</w:t>
            </w:r>
          </w:p>
        </w:tc>
        <w:tc>
          <w:tcPr>
            <w:tcW w:type="dxa" w:w="1191"/>
            <w:shd w:val="clear" w:fill="EDF2F8"/>
          </w:tcPr>
          <w:p>
            <w:pPr>
              <w:spacing w:before="40" w:after="40"/>
            </w:pPr>
            <w:r/>
            <w:r>
              <w:rPr>
                <w:rFonts w:ascii="Calibri" w:hAnsi="Calibri"/>
                <w:color w:val="222830"/>
                <w:sz w:val="18"/>
              </w:rPr>
              <w:t>2 de 6 segmentos</w:t>
            </w:r>
          </w:p>
        </w:tc>
      </w:tr>
      <w:tr>
        <w:tc>
          <w:tcPr>
            <w:tcW w:type="dxa" w:w="1814"/>
          </w:tcPr>
          <w:p>
            <w:pPr>
              <w:spacing w:before="40" w:after="40"/>
            </w:pPr>
            <w:r/>
            <w:r>
              <w:rPr>
                <w:rFonts w:ascii="Calibri" w:hAnsi="Calibri"/>
                <w:color w:val="222830"/>
                <w:sz w:val="18"/>
              </w:rPr>
              <w:t>3 · Captura y custodia</w:t>
            </w:r>
          </w:p>
        </w:tc>
        <w:tc>
          <w:tcPr>
            <w:tcW w:type="dxa" w:w="3061"/>
          </w:tcPr>
          <w:p>
            <w:pPr>
              <w:spacing w:before="40" w:after="40"/>
            </w:pPr>
            <w:r/>
            <w:r>
              <w:rPr>
                <w:rFonts w:ascii="Calibri" w:hAnsi="Calibri"/>
                <w:color w:val="222830"/>
                <w:sz w:val="18"/>
              </w:rPr>
              <w:t>La función de atribución reconoce las tres variantes de clave e incorpora el archivo señuelo y el sensor de red</w:t>
            </w:r>
          </w:p>
        </w:tc>
        <w:tc>
          <w:tcPr>
            <w:tcW w:type="dxa" w:w="1814"/>
          </w:tcPr>
          <w:p>
            <w:pPr>
              <w:spacing w:before="40" w:after="40"/>
            </w:pPr>
            <w:r/>
            <w:r>
              <w:rPr>
                <w:rFonts w:ascii="Calibri" w:hAnsi="Calibri"/>
                <w:color w:val="222830"/>
                <w:sz w:val="18"/>
              </w:rPr>
              <w:t>Escenarios con medición</w:t>
            </w:r>
          </w:p>
        </w:tc>
        <w:tc>
          <w:tcPr>
            <w:tcW w:type="dxa" w:w="1191"/>
          </w:tcPr>
          <w:p>
            <w:pPr>
              <w:spacing w:before="40" w:after="40"/>
            </w:pPr>
            <w:r/>
            <w:r>
              <w:rPr>
                <w:rFonts w:ascii="Calibri" w:hAnsi="Calibri"/>
                <w:color w:val="222830"/>
                <w:sz w:val="18"/>
              </w:rPr>
              <w:t>4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4 · Correlación</w:t>
            </w:r>
          </w:p>
        </w:tc>
        <w:tc>
          <w:tcPr>
            <w:tcW w:type="dxa" w:w="3061"/>
            <w:shd w:val="clear" w:fill="EDF2F8"/>
          </w:tcPr>
          <w:p>
            <w:pPr>
              <w:spacing w:before="40" w:after="40"/>
            </w:pPr>
            <w:r/>
            <w:r>
              <w:rPr>
                <w:rFonts w:ascii="Calibri" w:hAnsi="Calibri"/>
                <w:color w:val="222830"/>
                <w:sz w:val="18"/>
              </w:rPr>
              <w:t>La alerta clasificada con su técnica y su severidad encadena con la gestión de incidentes mediante el flujo de orquestación</w:t>
            </w:r>
          </w:p>
        </w:tc>
        <w:tc>
          <w:tcPr>
            <w:tcW w:type="dxa" w:w="1814"/>
            <w:shd w:val="clear" w:fill="EDF2F8"/>
          </w:tcPr>
          <w:p>
            <w:pPr>
              <w:spacing w:before="40" w:after="40"/>
            </w:pPr>
            <w:r/>
            <w:r>
              <w:rPr>
                <w:rFonts w:ascii="Calibri" w:hAnsi="Calibri"/>
                <w:color w:val="222830"/>
                <w:sz w:val="18"/>
              </w:rPr>
              <w:t>Alertas clasificadas con técnica</w:t>
            </w:r>
          </w:p>
        </w:tc>
        <w:tc>
          <w:tcPr>
            <w:tcW w:type="dxa" w:w="1191"/>
            <w:shd w:val="clear" w:fill="EDF2F8"/>
          </w:tcPr>
          <w:p>
            <w:pPr>
              <w:spacing w:before="40" w:after="40"/>
            </w:pPr>
            <w:r/>
            <w:r>
              <w:rPr>
                <w:rFonts w:ascii="Calibri" w:hAnsi="Calibri"/>
                <w:color w:val="222830"/>
                <w:sz w:val="18"/>
              </w:rPr>
              <w:t>10 de 10</w:t>
            </w:r>
          </w:p>
        </w:tc>
        <w:tc>
          <w:tcPr>
            <w:tcW w:type="dxa" w:w="1191"/>
            <w:shd w:val="clear" w:fill="EDF2F8"/>
          </w:tcPr>
          <w:p>
            <w:pPr>
              <w:spacing w:before="40" w:after="40"/>
            </w:pPr>
            <w:r/>
            <w:r>
              <w:rPr>
                <w:rFonts w:ascii="Calibri" w:hAnsi="Calibri"/>
                <w:color w:val="222830"/>
                <w:sz w:val="18"/>
              </w:rPr>
              <w:t>10 de 10</w:t>
            </w:r>
          </w:p>
        </w:tc>
      </w:tr>
      <w:tr>
        <w:tc>
          <w:tcPr>
            <w:tcW w:type="dxa" w:w="1814"/>
          </w:tcPr>
          <w:p>
            <w:pPr>
              <w:spacing w:before="40" w:after="40"/>
            </w:pPr>
            <w:r/>
            <w:r>
              <w:rPr>
                <w:rFonts w:ascii="Calibri" w:hAnsi="Calibri"/>
                <w:color w:val="222830"/>
                <w:sz w:val="18"/>
              </w:rPr>
              <w:t>5 · Medición y mejora</w:t>
            </w:r>
          </w:p>
        </w:tc>
        <w:tc>
          <w:tcPr>
            <w:tcW w:type="dxa" w:w="3061"/>
          </w:tcPr>
          <w:p>
            <w:pPr>
              <w:spacing w:before="40" w:after="40"/>
            </w:pPr>
            <w:r/>
            <w:r>
              <w:rPr>
                <w:rFonts w:ascii="Calibri" w:hAnsi="Calibri"/>
                <w:color w:val="222830"/>
                <w:sz w:val="18"/>
              </w:rPr>
              <w:t>Catorce lecciones con causa raíz, cambio aplicado y cierre verificado</w:t>
            </w:r>
          </w:p>
        </w:tc>
        <w:tc>
          <w:tcPr>
            <w:tcW w:type="dxa" w:w="1814"/>
          </w:tcPr>
          <w:p>
            <w:pPr>
              <w:spacing w:before="40" w:after="40"/>
            </w:pPr>
            <w:r/>
            <w:r>
              <w:rPr>
                <w:rFonts w:ascii="Calibri" w:hAnsi="Calibri"/>
                <w:color w:val="222830"/>
                <w:sz w:val="18"/>
              </w:rPr>
              <w:t>Lecciones cerradas</w:t>
            </w:r>
          </w:p>
        </w:tc>
        <w:tc>
          <w:tcPr>
            <w:tcW w:type="dxa" w:w="1191"/>
          </w:tcPr>
          <w:p>
            <w:pPr>
              <w:spacing w:before="40" w:after="40"/>
            </w:pPr>
            <w:r/>
            <w:r>
              <w:rPr>
                <w:rFonts w:ascii="Calibri" w:hAnsi="Calibri"/>
                <w:color w:val="222830"/>
                <w:sz w:val="18"/>
              </w:rPr>
              <w:t>7</w:t>
            </w:r>
          </w:p>
        </w:tc>
        <w:tc>
          <w:tcPr>
            <w:tcW w:type="dxa" w:w="1191"/>
          </w:tcPr>
          <w:p>
            <w:pPr>
              <w:spacing w:before="40" w:after="40"/>
            </w:pPr>
            <w:r/>
            <w:r>
              <w:rPr>
                <w:rFonts w:ascii="Calibri" w:hAnsi="Calibri"/>
                <w:color w:val="222830"/>
                <w:sz w:val="18"/>
              </w:rPr>
              <w:t>14</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fase 3 concentra la mejora cuantificable porque es la que repara el instrumental de atribución. La fase 5 la sostiene, porque es la que produjo las lecciones que dieron origen a esas reparaciones.</w:t>
            </w:r>
          </w:p>
        </w:tc>
      </w:tr>
    </w:tbl>
    <w:p>
      <w:pPr>
        <w:spacing w:after="80"/>
      </w:pPr>
    </w:p>
    <w:p>
      <w:pPr>
        <w:keepNext/>
        <w:spacing w:before="280" w:after="160"/>
        <w:outlineLvl w:val="1"/>
      </w:pPr>
      <w:r>
        <w:rPr>
          <w:rFonts w:ascii="Times New Roman" w:hAnsi="Times New Roman"/>
          <w:b/>
          <w:color w:val="1F3864"/>
          <w:sz w:val="27"/>
        </w:rPr>
        <w:t>9. Registro de lecciones aprendidas</w:t>
      </w:r>
    </w:p>
    <w:p>
      <w:pPr>
        <w:spacing w:after="160" w:line="360" w:lineRule="auto"/>
        <w:jc w:val="both"/>
      </w:pPr>
      <w:r>
        <w:rPr>
          <w:rFonts w:ascii="Times New Roman" w:hAnsi="Times New Roman"/>
          <w:color w:val="222830"/>
          <w:sz w:val="24"/>
        </w:rPr>
        <w:t>Catorce lecciones, todas cerradas. La columna de fase muestra dónde se produjo cada una.</w:t>
      </w:r>
    </w:p>
    <w:p>
      <w:pPr>
        <w:spacing w:before="200" w:after="80"/>
        <w:jc w:val="center"/>
      </w:pPr>
      <w:r>
        <w:drawing>
          <wp:inline xmlns:a="http://schemas.openxmlformats.org/drawingml/2006/main" xmlns:pic="http://schemas.openxmlformats.org/drawingml/2006/picture">
            <wp:extent cx="5760000" cy="2294479"/>
            <wp:docPr id="8" name="Picture 8"/>
            <wp:cNvGraphicFramePr>
              <a:graphicFrameLocks noChangeAspect="1"/>
            </wp:cNvGraphicFramePr>
            <a:graphic>
              <a:graphicData uri="http://schemas.openxmlformats.org/drawingml/2006/picture">
                <pic:pic>
                  <pic:nvPicPr>
                    <pic:cNvPr id="0" name="lecciones.png"/>
                    <pic:cNvPicPr/>
                  </pic:nvPicPr>
                  <pic:blipFill>
                    <a:blip r:embed="rId16"/>
                    <a:stretch>
                      <a:fillRect/>
                    </a:stretch>
                  </pic:blipFill>
                  <pic:spPr>
                    <a:xfrm>
                      <a:off x="0" y="0"/>
                      <a:ext cx="5760000" cy="2294479"/>
                    </a:xfrm>
                    <a:prstGeom prst="rect"/>
                  </pic:spPr>
                </pic:pic>
              </a:graphicData>
            </a:graphic>
          </wp:inline>
        </w:drawing>
      </w:r>
    </w:p>
    <w:p>
      <w:pPr>
        <w:spacing w:before="40" w:after="40"/>
        <w:jc w:val="center"/>
      </w:pPr>
      <w:r>
        <w:rPr>
          <w:rFonts w:ascii="Times New Roman" w:hAnsi="Times New Roman"/>
          <w:color w:val="222830"/>
          <w:sz w:val="20"/>
        </w:rPr>
        <w:t xml:space="preserve">Figura 8. </w:t>
      </w:r>
      <w:r>
        <w:rPr>
          <w:rFonts w:ascii="Times New Roman" w:hAnsi="Times New Roman"/>
          <w:i/>
          <w:color w:val="222830"/>
          <w:sz w:val="20"/>
        </w:rPr>
        <w:t>Distribución de las lecciones aprendidas por fase.</w:t>
      </w:r>
    </w:p>
    <w:p>
      <w:pPr>
        <w:spacing w:before="0" w:after="240"/>
        <w:ind w:left="283"/>
        <w:jc w:val="both"/>
      </w:pPr>
      <w:r>
        <w:rPr>
          <w:rFonts w:ascii="Times New Roman" w:hAnsi="Times New Roman"/>
          <w:color w:val="5A6878"/>
          <w:sz w:val="18"/>
        </w:rPr>
        <w:t>Nota. Catorce lecciones, todas cerradas. La columna de fase muestra dónde se produjo cada una. Fuente: evidencias/lecciones-aprendidas.md.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268"/>
        <w:gridCol w:w="2268"/>
        <w:gridCol w:w="2268"/>
        <w:gridCol w:w="2268"/>
      </w:tblGrid>
      <w:tr>
        <w:trPr>
          <w:tblHeader w:val="true"/>
        </w:trPr>
        <w:tc>
          <w:tcPr>
            <w:tcW w:type="dxa" w:w="794"/>
            <w:shd w:val="clear" w:fill="1F3864"/>
          </w:tcPr>
          <w:p>
            <w:pPr>
              <w:spacing w:before="40" w:after="40"/>
            </w:pPr>
            <w:r/>
            <w:r>
              <w:rPr>
                <w:rFonts w:ascii="Calibri" w:hAnsi="Calibri"/>
                <w:b/>
                <w:color w:val="FFFFFF"/>
                <w:sz w:val="18"/>
              </w:rPr>
              <w:t>ID</w:t>
            </w:r>
          </w:p>
        </w:tc>
        <w:tc>
          <w:tcPr>
            <w:tcW w:type="dxa" w:w="907"/>
            <w:shd w:val="clear" w:fill="1F3864"/>
          </w:tcPr>
          <w:p>
            <w:pPr>
              <w:spacing w:before="40" w:after="40"/>
            </w:pPr>
            <w:r/>
            <w:r>
              <w:rPr>
                <w:rFonts w:ascii="Calibri" w:hAnsi="Calibri"/>
                <w:b/>
                <w:color w:val="FFFFFF"/>
                <w:sz w:val="18"/>
              </w:rPr>
              <w:t>Fase</w:t>
            </w:r>
          </w:p>
        </w:tc>
        <w:tc>
          <w:tcPr>
            <w:tcW w:type="dxa" w:w="3402"/>
            <w:shd w:val="clear" w:fill="1F3864"/>
          </w:tcPr>
          <w:p>
            <w:pPr>
              <w:spacing w:before="40" w:after="40"/>
            </w:pPr>
            <w:r/>
            <w:r>
              <w:rPr>
                <w:rFonts w:ascii="Calibri" w:hAnsi="Calibri"/>
                <w:b/>
                <w:color w:val="FFFFFF"/>
                <w:sz w:val="18"/>
              </w:rPr>
              <w:t>Hallazgo</w:t>
            </w:r>
          </w:p>
        </w:tc>
        <w:tc>
          <w:tcPr>
            <w:tcW w:type="dxa" w:w="3969"/>
            <w:shd w:val="clear" w:fill="1F3864"/>
          </w:tcPr>
          <w:p>
            <w:pPr>
              <w:spacing w:before="40" w:after="40"/>
            </w:pPr>
            <w:r/>
            <w:r>
              <w:rPr>
                <w:rFonts w:ascii="Calibri" w:hAnsi="Calibri"/>
                <w:b/>
                <w:color w:val="FFFFFF"/>
                <w:sz w:val="18"/>
              </w:rPr>
              <w:t>Cierre</w:t>
            </w:r>
          </w:p>
        </w:tc>
      </w:tr>
      <w:tr>
        <w:tc>
          <w:tcPr>
            <w:tcW w:type="dxa" w:w="794"/>
          </w:tcPr>
          <w:p>
            <w:pPr>
              <w:spacing w:before="40" w:after="40"/>
            </w:pPr>
            <w:r/>
            <w:r>
              <w:rPr>
                <w:rFonts w:ascii="Calibri" w:hAnsi="Calibri"/>
                <w:color w:val="222830"/>
                <w:sz w:val="18"/>
              </w:rPr>
              <w:t>L1</w:t>
            </w:r>
          </w:p>
        </w:tc>
        <w:tc>
          <w:tcPr>
            <w:tcW w:type="dxa" w:w="907"/>
          </w:tcPr>
          <w:p>
            <w:pPr>
              <w:spacing w:before="40" w:after="40"/>
            </w:pPr>
            <w:r/>
            <w:r>
              <w:rPr>
                <w:rFonts w:ascii="Calibri" w:hAnsi="Calibri"/>
                <w:color w:val="222830"/>
                <w:sz w:val="18"/>
              </w:rPr>
              <w:t>F3</w:t>
            </w:r>
          </w:p>
        </w:tc>
        <w:tc>
          <w:tcPr>
            <w:tcW w:type="dxa" w:w="3402"/>
          </w:tcPr>
          <w:p>
            <w:pPr>
              <w:spacing w:before="40" w:after="40"/>
            </w:pPr>
            <w:r/>
            <w:r>
              <w:rPr>
                <w:rFonts w:ascii="Calibri" w:hAnsi="Calibri"/>
                <w:color w:val="222830"/>
                <w:sz w:val="18"/>
              </w:rPr>
              <w:t>El módulo de análisis no tenía configuración válida</w:t>
            </w:r>
          </w:p>
        </w:tc>
        <w:tc>
          <w:tcPr>
            <w:tcW w:type="dxa" w:w="3969"/>
          </w:tcPr>
          <w:p>
            <w:pPr>
              <w:spacing w:before="40" w:after="40"/>
            </w:pPr>
            <w:r/>
            <w:r>
              <w:rPr>
                <w:rFonts w:ascii="Calibri" w:hAnsi="Calibri"/>
                <w:color w:val="222830"/>
                <w:sz w:val="18"/>
              </w:rPr>
              <w:t>cerradaRutas de lectura insertadas en el elemento correcto</w:t>
            </w:r>
          </w:p>
        </w:tc>
      </w:tr>
      <w:tr>
        <w:tc>
          <w:tcPr>
            <w:tcW w:type="dxa" w:w="794"/>
            <w:shd w:val="clear" w:fill="EDF2F8"/>
          </w:tcPr>
          <w:p>
            <w:pPr>
              <w:spacing w:before="40" w:after="40"/>
            </w:pPr>
            <w:r/>
            <w:r>
              <w:rPr>
                <w:rFonts w:ascii="Calibri" w:hAnsi="Calibri"/>
                <w:color w:val="222830"/>
                <w:sz w:val="18"/>
              </w:rPr>
              <w:t>L2</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Las alertas no llegaban al índice</w:t>
            </w:r>
          </w:p>
        </w:tc>
        <w:tc>
          <w:tcPr>
            <w:tcW w:type="dxa" w:w="3969"/>
            <w:shd w:val="clear" w:fill="EDF2F8"/>
          </w:tcPr>
          <w:p>
            <w:pPr>
              <w:spacing w:before="40" w:after="40"/>
            </w:pPr>
            <w:r/>
            <w:r>
              <w:rPr>
                <w:rFonts w:ascii="Calibri" w:hAnsi="Calibri"/>
                <w:color w:val="222830"/>
                <w:sz w:val="18"/>
              </w:rPr>
              <w:t>cerradaPublicador propio que indexa por HTTP</w:t>
            </w:r>
          </w:p>
        </w:tc>
      </w:tr>
      <w:tr>
        <w:tc>
          <w:tcPr>
            <w:tcW w:type="dxa" w:w="794"/>
          </w:tcPr>
          <w:p>
            <w:pPr>
              <w:spacing w:before="40" w:after="40"/>
            </w:pPr>
            <w:r/>
            <w:r>
              <w:rPr>
                <w:rFonts w:ascii="Calibri" w:hAnsi="Calibri"/>
                <w:color w:val="222830"/>
                <w:sz w:val="18"/>
              </w:rPr>
              <w:t>L3</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El gestor se reiniciaba cada dos minutos</w:t>
            </w:r>
          </w:p>
        </w:tc>
        <w:tc>
          <w:tcPr>
            <w:tcW w:type="dxa" w:w="3969"/>
          </w:tcPr>
          <w:p>
            <w:pPr>
              <w:spacing w:before="40" w:after="40"/>
            </w:pPr>
            <w:r/>
            <w:r>
              <w:rPr>
                <w:rFonts w:ascii="Calibri" w:hAnsi="Calibri"/>
                <w:color w:val="222830"/>
                <w:sz w:val="18"/>
              </w:rPr>
              <w:t>cerradaColector sin función de envío</w:t>
            </w:r>
          </w:p>
        </w:tc>
      </w:tr>
      <w:tr>
        <w:tc>
          <w:tcPr>
            <w:tcW w:type="dxa" w:w="794"/>
            <w:shd w:val="clear" w:fill="EDF2F8"/>
          </w:tcPr>
          <w:p>
            <w:pPr>
              <w:spacing w:before="40" w:after="40"/>
            </w:pPr>
            <w:r/>
            <w:r>
              <w:rPr>
                <w:rFonts w:ascii="Calibri" w:hAnsi="Calibri"/>
                <w:color w:val="222830"/>
                <w:sz w:val="18"/>
              </w:rPr>
              <w:t>L4</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El motor de red seguía detectando sin alertar</w:t>
            </w:r>
          </w:p>
        </w:tc>
        <w:tc>
          <w:tcPr>
            <w:tcW w:type="dxa" w:w="3969"/>
            <w:shd w:val="clear" w:fill="EDF2F8"/>
          </w:tcPr>
          <w:p>
            <w:pPr>
              <w:spacing w:before="40" w:after="40"/>
            </w:pPr>
            <w:r/>
            <w:r>
              <w:rPr>
                <w:rFonts w:ascii="Calibri" w:hAnsi="Calibri"/>
                <w:color w:val="222830"/>
                <w:sz w:val="18"/>
              </w:rPr>
              <w:t>cerradaReinicio programado de la posición de lectura</w:t>
            </w:r>
          </w:p>
        </w:tc>
      </w:tr>
      <w:tr>
        <w:tc>
          <w:tcPr>
            <w:tcW w:type="dxa" w:w="794"/>
          </w:tcPr>
          <w:p>
            <w:pPr>
              <w:spacing w:before="40" w:after="40"/>
            </w:pPr>
            <w:r/>
            <w:r>
              <w:rPr>
                <w:rFonts w:ascii="Calibri" w:hAnsi="Calibri"/>
                <w:color w:val="222830"/>
                <w:sz w:val="18"/>
              </w:rPr>
              <w:t>L5</w:t>
            </w:r>
          </w:p>
        </w:tc>
        <w:tc>
          <w:tcPr>
            <w:tcW w:type="dxa" w:w="907"/>
          </w:tcPr>
          <w:p>
            <w:pPr>
              <w:spacing w:before="40" w:after="40"/>
            </w:pPr>
            <w:r/>
            <w:r>
              <w:rPr>
                <w:rFonts w:ascii="Calibri" w:hAnsi="Calibri"/>
                <w:color w:val="222830"/>
                <w:sz w:val="18"/>
              </w:rPr>
              <w:t>F5</w:t>
            </w:r>
          </w:p>
        </w:tc>
        <w:tc>
          <w:tcPr>
            <w:tcW w:type="dxa" w:w="3402"/>
          </w:tcPr>
          <w:p>
            <w:pPr>
              <w:spacing w:before="40" w:after="40"/>
            </w:pPr>
            <w:r/>
            <w:r>
              <w:rPr>
                <w:rFonts w:ascii="Calibri" w:hAnsi="Calibri"/>
                <w:color w:val="222830"/>
                <w:sz w:val="18"/>
              </w:rPr>
              <w:t>Los paneles mostraban ausencia de datos</w:t>
            </w:r>
          </w:p>
        </w:tc>
        <w:tc>
          <w:tcPr>
            <w:tcW w:type="dxa" w:w="3969"/>
          </w:tcPr>
          <w:p>
            <w:pPr>
              <w:spacing w:before="40" w:after="40"/>
            </w:pPr>
            <w:r/>
            <w:r>
              <w:rPr>
                <w:rFonts w:ascii="Calibri" w:hAnsi="Calibri"/>
                <w:color w:val="222830"/>
                <w:sz w:val="18"/>
              </w:rPr>
              <w:t>cerradaConversión de la consulta al formato admitido</w:t>
            </w:r>
          </w:p>
        </w:tc>
      </w:tr>
      <w:tr>
        <w:tc>
          <w:tcPr>
            <w:tcW w:type="dxa" w:w="794"/>
            <w:shd w:val="clear" w:fill="EDF2F8"/>
          </w:tcPr>
          <w:p>
            <w:pPr>
              <w:spacing w:before="40" w:after="40"/>
            </w:pPr>
            <w:r/>
            <w:r>
              <w:rPr>
                <w:rFonts w:ascii="Calibri" w:hAnsi="Calibri"/>
                <w:color w:val="222830"/>
                <w:sz w:val="18"/>
              </w:rPr>
              <w:t>L6</w:t>
            </w:r>
          </w:p>
        </w:tc>
        <w:tc>
          <w:tcPr>
            <w:tcW w:type="dxa" w:w="907"/>
            <w:shd w:val="clear" w:fill="EDF2F8"/>
          </w:tcPr>
          <w:p>
            <w:pPr>
              <w:spacing w:before="40" w:after="40"/>
            </w:pPr>
            <w:r/>
            <w:r>
              <w:rPr>
                <w:rFonts w:ascii="Calibri" w:hAnsi="Calibri"/>
                <w:color w:val="222830"/>
                <w:sz w:val="18"/>
              </w:rPr>
              <w:t>F5</w:t>
            </w:r>
          </w:p>
        </w:tc>
        <w:tc>
          <w:tcPr>
            <w:tcW w:type="dxa" w:w="3402"/>
            <w:shd w:val="clear" w:fill="EDF2F8"/>
          </w:tcPr>
          <w:p>
            <w:pPr>
              <w:spacing w:before="40" w:after="40"/>
            </w:pPr>
            <w:r/>
            <w:r>
              <w:rPr>
                <w:rFonts w:ascii="Calibri" w:hAnsi="Calibri"/>
                <w:color w:val="222830"/>
                <w:sz w:val="18"/>
              </w:rPr>
              <w:t>Los paneles devolvían cero con documentos indexados</w:t>
            </w:r>
          </w:p>
        </w:tc>
        <w:tc>
          <w:tcPr>
            <w:tcW w:type="dxa" w:w="3969"/>
            <w:shd w:val="clear" w:fill="EDF2F8"/>
          </w:tcPr>
          <w:p>
            <w:pPr>
              <w:spacing w:before="40" w:after="40"/>
            </w:pPr>
            <w:r/>
            <w:r>
              <w:rPr>
                <w:rFonts w:ascii="Calibri" w:hAnsi="Calibri"/>
                <w:color w:val="222830"/>
                <w:sz w:val="18"/>
              </w:rPr>
              <w:t>cerradaEl publicador copia el campo de tiempo</w:t>
            </w:r>
          </w:p>
        </w:tc>
      </w:tr>
      <w:tr>
        <w:tc>
          <w:tcPr>
            <w:tcW w:type="dxa" w:w="794"/>
          </w:tcPr>
          <w:p>
            <w:pPr>
              <w:spacing w:before="40" w:after="40"/>
            </w:pPr>
            <w:r/>
            <w:r>
              <w:rPr>
                <w:rFonts w:ascii="Calibri" w:hAnsi="Calibri"/>
                <w:color w:val="222830"/>
                <w:sz w:val="18"/>
              </w:rPr>
              <w:t>L7</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Un fallo de arranque tumbaba el laboratorio</w:t>
            </w:r>
          </w:p>
        </w:tc>
        <w:tc>
          <w:tcPr>
            <w:tcW w:type="dxa" w:w="3969"/>
          </w:tcPr>
          <w:p>
            <w:pPr>
              <w:spacing w:before="40" w:after="40"/>
            </w:pPr>
            <w:r/>
            <w:r>
              <w:rPr>
                <w:rFonts w:ascii="Calibri" w:hAnsi="Calibri"/>
                <w:color w:val="222830"/>
                <w:sz w:val="18"/>
              </w:rPr>
              <w:t>cerradaTres scripts que restauran y terminan</w:t>
            </w:r>
          </w:p>
        </w:tc>
      </w:tr>
      <w:tr>
        <w:tc>
          <w:tcPr>
            <w:tcW w:type="dxa" w:w="794"/>
            <w:shd w:val="clear" w:fill="EDF2F8"/>
          </w:tcPr>
          <w:p>
            <w:pPr>
              <w:spacing w:before="40" w:after="40"/>
            </w:pPr>
            <w:r/>
            <w:r>
              <w:rPr>
                <w:rFonts w:ascii="Calibri" w:hAnsi="Calibri"/>
                <w:color w:val="222830"/>
                <w:sz w:val="18"/>
              </w:rPr>
              <w:t>L8</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El tablero nativo no representaba los datos</w:t>
            </w:r>
          </w:p>
        </w:tc>
        <w:tc>
          <w:tcPr>
            <w:tcW w:type="dxa" w:w="3969"/>
            <w:shd w:val="clear" w:fill="EDF2F8"/>
          </w:tcPr>
          <w:p>
            <w:pPr>
              <w:spacing w:before="40" w:after="40"/>
            </w:pPr>
            <w:r/>
            <w:r>
              <w:rPr>
                <w:rFonts w:ascii="Calibri" w:hAnsi="Calibri"/>
                <w:color w:val="222830"/>
                <w:sz w:val="18"/>
              </w:rPr>
              <w:t>cerradaSustituido por el tablero de métricas</w:t>
            </w:r>
          </w:p>
        </w:tc>
      </w:tr>
      <w:tr>
        <w:tc>
          <w:tcPr>
            <w:tcW w:type="dxa" w:w="794"/>
          </w:tcPr>
          <w:p>
            <w:pPr>
              <w:spacing w:before="40" w:after="40"/>
            </w:pPr>
            <w:r/>
            <w:r>
              <w:rPr>
                <w:rFonts w:ascii="Calibri" w:hAnsi="Calibri"/>
                <w:color w:val="222830"/>
                <w:sz w:val="18"/>
              </w:rPr>
              <w:t>L9</w:t>
            </w:r>
          </w:p>
        </w:tc>
        <w:tc>
          <w:tcPr>
            <w:tcW w:type="dxa" w:w="907"/>
          </w:tcPr>
          <w:p>
            <w:pPr>
              <w:spacing w:before="40" w:after="40"/>
            </w:pPr>
            <w:r/>
            <w:r>
              <w:rPr>
                <w:rFonts w:ascii="Calibri" w:hAnsi="Calibri"/>
                <w:color w:val="222830"/>
                <w:sz w:val="18"/>
              </w:rPr>
              <w:t>F4</w:t>
            </w:r>
          </w:p>
        </w:tc>
        <w:tc>
          <w:tcPr>
            <w:tcW w:type="dxa" w:w="3402"/>
          </w:tcPr>
          <w:p>
            <w:pPr>
              <w:spacing w:before="40" w:after="40"/>
            </w:pPr>
            <w:r/>
            <w:r>
              <w:rPr>
                <w:rFonts w:ascii="Calibri" w:hAnsi="Calibri"/>
                <w:color w:val="222830"/>
                <w:sz w:val="18"/>
              </w:rPr>
              <w:t>La plataforma redirigía al módulo de organizaciones</w:t>
            </w:r>
          </w:p>
        </w:tc>
        <w:tc>
          <w:tcPr>
            <w:tcW w:type="dxa" w:w="3969"/>
          </w:tcPr>
          <w:p>
            <w:pPr>
              <w:spacing w:before="40" w:after="40"/>
            </w:pPr>
            <w:r/>
            <w:r>
              <w:rPr>
                <w:rFonts w:ascii="Calibri" w:hAnsi="Calibri"/>
                <w:color w:val="222830"/>
                <w:sz w:val="18"/>
              </w:rPr>
              <w:t>cerradaFlujo de orquestación verificado hasta la alerta</w:t>
            </w:r>
          </w:p>
        </w:tc>
      </w:tr>
      <w:tr>
        <w:tc>
          <w:tcPr>
            <w:tcW w:type="dxa" w:w="794"/>
            <w:shd w:val="clear" w:fill="EDF2F8"/>
          </w:tcPr>
          <w:p>
            <w:pPr>
              <w:spacing w:before="40" w:after="40"/>
            </w:pPr>
            <w:r/>
            <w:r>
              <w:rPr>
                <w:rFonts w:ascii="Calibri" w:hAnsi="Calibri"/>
                <w:color w:val="222830"/>
                <w:sz w:val="18"/>
              </w:rPr>
              <w:t>L10</w:t>
            </w:r>
          </w:p>
        </w:tc>
        <w:tc>
          <w:tcPr>
            <w:tcW w:type="dxa" w:w="907"/>
            <w:shd w:val="clear" w:fill="EDF2F8"/>
          </w:tcPr>
          <w:p>
            <w:pPr>
              <w:spacing w:before="40" w:after="40"/>
            </w:pPr>
            <w:r/>
            <w:r>
              <w:rPr>
                <w:rFonts w:ascii="Calibri" w:hAnsi="Calibri"/>
                <w:color w:val="222830"/>
                <w:sz w:val="18"/>
              </w:rPr>
              <w:t>F2</w:t>
            </w:r>
          </w:p>
        </w:tc>
        <w:tc>
          <w:tcPr>
            <w:tcW w:type="dxa" w:w="3402"/>
            <w:shd w:val="clear" w:fill="EDF2F8"/>
          </w:tcPr>
          <w:p>
            <w:pPr>
              <w:spacing w:before="40" w:after="40"/>
            </w:pPr>
            <w:r/>
            <w:r>
              <w:rPr>
                <w:rFonts w:ascii="Calibri" w:hAnsi="Calibri"/>
                <w:color w:val="222830"/>
                <w:sz w:val="18"/>
              </w:rPr>
              <w:t>El segmento de sensores no llegaba a crearse</w:t>
            </w:r>
          </w:p>
        </w:tc>
        <w:tc>
          <w:tcPr>
            <w:tcW w:type="dxa" w:w="3969"/>
            <w:shd w:val="clear" w:fill="EDF2F8"/>
          </w:tcPr>
          <w:p>
            <w:pPr>
              <w:spacing w:before="40" w:after="40"/>
            </w:pPr>
            <w:r/>
            <w:r>
              <w:rPr>
                <w:rFonts w:ascii="Calibri" w:hAnsi="Calibri"/>
                <w:color w:val="222830"/>
                <w:sz w:val="18"/>
              </w:rPr>
              <w:t>cerradaComposición efectiva documentada en tres segmentos</w:t>
            </w:r>
          </w:p>
        </w:tc>
      </w:tr>
      <w:tr>
        <w:tc>
          <w:tcPr>
            <w:tcW w:type="dxa" w:w="794"/>
          </w:tcPr>
          <w:p>
            <w:pPr>
              <w:spacing w:before="40" w:after="40"/>
            </w:pPr>
            <w:r/>
            <w:r>
              <w:rPr>
                <w:rFonts w:ascii="Calibri" w:hAnsi="Calibri"/>
                <w:color w:val="222830"/>
                <w:sz w:val="18"/>
              </w:rPr>
              <w:t>L11</w:t>
            </w:r>
          </w:p>
        </w:tc>
        <w:tc>
          <w:tcPr>
            <w:tcW w:type="dxa" w:w="907"/>
          </w:tcPr>
          <w:p>
            <w:pPr>
              <w:spacing w:before="40" w:after="40"/>
            </w:pPr>
            <w:r/>
            <w:r>
              <w:rPr>
                <w:rFonts w:ascii="Calibri" w:hAnsi="Calibri"/>
                <w:color w:val="222830"/>
                <w:sz w:val="18"/>
              </w:rPr>
              <w:t>F5</w:t>
            </w:r>
          </w:p>
        </w:tc>
        <w:tc>
          <w:tcPr>
            <w:tcW w:type="dxa" w:w="3402"/>
          </w:tcPr>
          <w:p>
            <w:pPr>
              <w:spacing w:before="40" w:after="40"/>
            </w:pPr>
            <w:r/>
            <w:r>
              <w:rPr>
                <w:rFonts w:ascii="Calibri" w:hAnsi="Calibri"/>
                <w:color w:val="222830"/>
                <w:sz w:val="18"/>
              </w:rPr>
              <w:t>Seis escenarios sin fuente de atribución</w:t>
            </w:r>
          </w:p>
        </w:tc>
        <w:tc>
          <w:tcPr>
            <w:tcW w:type="dxa" w:w="3969"/>
          </w:tcPr>
          <w:p>
            <w:pPr>
              <w:spacing w:before="40" w:after="40"/>
            </w:pPr>
            <w:r/>
            <w:r>
              <w:rPr>
                <w:rFonts w:ascii="Calibri" w:hAnsi="Calibri"/>
                <w:color w:val="222830"/>
                <w:sz w:val="18"/>
              </w:rPr>
              <w:t>cerradaAceptación de las tres variantes de clave</w:t>
            </w:r>
          </w:p>
        </w:tc>
      </w:tr>
      <w:tr>
        <w:tc>
          <w:tcPr>
            <w:tcW w:type="dxa" w:w="794"/>
            <w:shd w:val="clear" w:fill="EDF2F8"/>
          </w:tcPr>
          <w:p>
            <w:pPr>
              <w:spacing w:before="40" w:after="40"/>
            </w:pPr>
            <w:r/>
            <w:r>
              <w:rPr>
                <w:rFonts w:ascii="Calibri" w:hAnsi="Calibri"/>
                <w:color w:val="222830"/>
                <w:sz w:val="18"/>
              </w:rPr>
              <w:t>L12</w:t>
            </w:r>
          </w:p>
        </w:tc>
        <w:tc>
          <w:tcPr>
            <w:tcW w:type="dxa" w:w="907"/>
            <w:shd w:val="clear" w:fill="EDF2F8"/>
          </w:tcPr>
          <w:p>
            <w:pPr>
              <w:spacing w:before="40" w:after="40"/>
            </w:pPr>
            <w:r/>
            <w:r>
              <w:rPr>
                <w:rFonts w:ascii="Calibri" w:hAnsi="Calibri"/>
                <w:color w:val="222830"/>
                <w:sz w:val="18"/>
              </w:rPr>
              <w:t>F2</w:t>
            </w:r>
          </w:p>
        </w:tc>
        <w:tc>
          <w:tcPr>
            <w:tcW w:type="dxa" w:w="3402"/>
            <w:shd w:val="clear" w:fill="EDF2F8"/>
          </w:tcPr>
          <w:p>
            <w:pPr>
              <w:spacing w:before="40" w:after="40"/>
            </w:pPr>
            <w:r/>
            <w:r>
              <w:rPr>
                <w:rFonts w:ascii="Calibri" w:hAnsi="Calibri"/>
                <w:color w:val="222830"/>
                <w:sz w:val="18"/>
              </w:rPr>
              <w:t>La campaña se detenía en el cuarto escenario</w:t>
            </w:r>
          </w:p>
        </w:tc>
        <w:tc>
          <w:tcPr>
            <w:tcW w:type="dxa" w:w="3969"/>
            <w:shd w:val="clear" w:fill="EDF2F8"/>
          </w:tcPr>
          <w:p>
            <w:pPr>
              <w:spacing w:before="40" w:after="40"/>
            </w:pPr>
            <w:r/>
            <w:r>
              <w:rPr>
                <w:rFonts w:ascii="Calibri" w:hAnsi="Calibri"/>
                <w:color w:val="222830"/>
                <w:sz w:val="18"/>
              </w:rPr>
              <w:t>cerradaLímite de tiempo en las herramientas</w:t>
            </w:r>
          </w:p>
        </w:tc>
      </w:tr>
      <w:tr>
        <w:tc>
          <w:tcPr>
            <w:tcW w:type="dxa" w:w="794"/>
          </w:tcPr>
          <w:p>
            <w:pPr>
              <w:spacing w:before="40" w:after="40"/>
            </w:pPr>
            <w:r/>
            <w:r>
              <w:rPr>
                <w:rFonts w:ascii="Calibri" w:hAnsi="Calibri"/>
                <w:color w:val="222830"/>
                <w:sz w:val="18"/>
              </w:rPr>
              <w:t>L13</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Un escenario informaba captura inexistente</w:t>
            </w:r>
          </w:p>
        </w:tc>
        <w:tc>
          <w:tcPr>
            <w:tcW w:type="dxa" w:w="3969"/>
          </w:tcPr>
          <w:p>
            <w:pPr>
              <w:spacing w:before="40" w:after="40"/>
            </w:pPr>
            <w:r/>
            <w:r>
              <w:rPr>
                <w:rFonts w:ascii="Calibri" w:hAnsi="Calibri"/>
                <w:color w:val="222830"/>
                <w:sz w:val="18"/>
              </w:rPr>
              <w:t>cerradaComprobación de la herramienta al inicio</w:t>
            </w:r>
          </w:p>
        </w:tc>
      </w:tr>
      <w:tr>
        <w:tc>
          <w:tcPr>
            <w:tcW w:type="dxa" w:w="794"/>
            <w:shd w:val="clear" w:fill="EDF2F8"/>
          </w:tcPr>
          <w:p>
            <w:pPr>
              <w:spacing w:before="40" w:after="40"/>
            </w:pPr>
            <w:r/>
            <w:r>
              <w:rPr>
                <w:rFonts w:ascii="Calibri" w:hAnsi="Calibri"/>
                <w:color w:val="222830"/>
                <w:sz w:val="18"/>
              </w:rPr>
              <w:t>L14</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Dos escenarios sin fuente de detección</w:t>
            </w:r>
          </w:p>
        </w:tc>
        <w:tc>
          <w:tcPr>
            <w:tcW w:type="dxa" w:w="3969"/>
            <w:shd w:val="clear" w:fill="EDF2F8"/>
          </w:tcPr>
          <w:p>
            <w:pPr>
              <w:spacing w:before="40" w:after="40"/>
            </w:pPr>
            <w:r/>
            <w:r>
              <w:rPr>
                <w:rFonts w:ascii="Calibri" w:hAnsi="Calibri"/>
                <w:color w:val="222830"/>
                <w:sz w:val="18"/>
              </w:rPr>
              <w:t>cerradaLectura del archivo señuelo y del sensor de red</w:t>
            </w:r>
          </w:p>
        </w:tc>
      </w:tr>
    </w:tbl>
    <w:p>
      <w:pPr>
        <w:spacing w:after="80"/>
      </w:pPr>
    </w:p>
    <w:p>
      <w:pPr>
        <w:keepNext/>
        <w:spacing w:before="280" w:after="160"/>
        <w:outlineLvl w:val="1"/>
      </w:pPr>
      <w:r>
        <w:rPr>
          <w:rFonts w:ascii="Times New Roman" w:hAnsi="Times New Roman"/>
          <w:b/>
          <w:color w:val="1F3864"/>
          <w:sz w:val="27"/>
        </w:rPr>
        <w:t>10. Volumen de actividad de la campaña</w:t>
      </w:r>
    </w:p>
    <w:p>
      <w:pPr>
        <w:spacing w:after="160" w:line="360" w:lineRule="auto"/>
        <w:jc w:val="both"/>
      </w:pPr>
      <w:r>
        <w:rPr>
          <w:rFonts w:ascii="Times New Roman" w:hAnsi="Times New Roman"/>
          <w:color w:val="222830"/>
          <w:sz w:val="24"/>
        </w:rPr>
        <w:t>Registros que el señuelo y los sensores produjeron en cada vuelta. El volumen crece porque los escenarios que antes no generaban evento ahora lo hacen.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268"/>
        <w:gridCol w:w="2268"/>
        <w:gridCol w:w="2268"/>
        <w:gridCol w:w="2268"/>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Medición final</w:t>
            </w:r>
          </w:p>
        </w:tc>
        <w:tc>
          <w:tcPr>
            <w:tcW w:type="dxa" w:w="1814"/>
            <w:shd w:val="clear" w:fill="1F3864"/>
          </w:tcPr>
          <w:p>
            <w:pPr>
              <w:spacing w:before="40" w:after="40"/>
            </w:pPr>
            <w:r/>
            <w:r>
              <w:rPr>
                <w:rFonts w:ascii="Calibri" w:hAnsi="Calibri"/>
                <w:b/>
                <w:color w:val="FFFFFF"/>
                <w:sz w:val="18"/>
              </w:rPr>
              <w:t>Variación</w:t>
            </w:r>
          </w:p>
        </w:tc>
      </w:tr>
      <w:tr>
        <w:tc>
          <w:tcPr>
            <w:tcW w:type="dxa" w:w="3628"/>
          </w:tcPr>
          <w:p>
            <w:pPr>
              <w:spacing w:before="40" w:after="40"/>
            </w:pPr>
            <w:r/>
            <w:r>
              <w:rPr>
                <w:rFonts w:ascii="Calibri" w:hAnsi="Calibri"/>
                <w:color w:val="222830"/>
                <w:sz w:val="18"/>
              </w:rPr>
              <w:t>Ataques registrados en el señuelo</w:t>
            </w:r>
          </w:p>
        </w:tc>
        <w:tc>
          <w:tcPr>
            <w:tcW w:type="dxa" w:w="1814"/>
          </w:tcPr>
          <w:p>
            <w:pPr>
              <w:spacing w:before="40" w:after="40"/>
            </w:pPr>
            <w:r/>
            <w:r>
              <w:rPr>
                <w:rFonts w:ascii="Calibri" w:hAnsi="Calibri"/>
                <w:color w:val="222830"/>
                <w:sz w:val="18"/>
              </w:rPr>
              <w:t>54</w:t>
            </w:r>
          </w:p>
        </w:tc>
        <w:tc>
          <w:tcPr>
            <w:tcW w:type="dxa" w:w="1814"/>
          </w:tcPr>
          <w:p>
            <w:pPr>
              <w:spacing w:before="40" w:after="40"/>
            </w:pPr>
            <w:r/>
            <w:r>
              <w:rPr>
                <w:rFonts w:ascii="Calibri" w:hAnsi="Calibri"/>
                <w:color w:val="222830"/>
                <w:sz w:val="18"/>
              </w:rPr>
              <w:t>254</w:t>
            </w:r>
          </w:p>
        </w:tc>
        <w:tc>
          <w:tcPr>
            <w:tcW w:type="dxa" w:w="1814"/>
          </w:tcPr>
          <w:p>
            <w:pPr>
              <w:spacing w:before="40" w:after="40"/>
            </w:pPr>
            <w:r/>
            <w:r>
              <w:rPr>
                <w:rFonts w:ascii="Calibri" w:hAnsi="Calibri"/>
                <w:color w:val="222830"/>
                <w:sz w:val="18"/>
              </w:rPr>
              <w:t>+370 %</w:t>
            </w:r>
          </w:p>
        </w:tc>
      </w:tr>
      <w:tr>
        <w:tc>
          <w:tcPr>
            <w:tcW w:type="dxa" w:w="3628"/>
            <w:shd w:val="clear" w:fill="EDF2F8"/>
          </w:tcPr>
          <w:p>
            <w:pPr>
              <w:spacing w:before="40" w:after="40"/>
            </w:pPr>
            <w:r/>
            <w:r>
              <w:rPr>
                <w:rFonts w:ascii="Calibri" w:hAnsi="Calibri"/>
                <w:color w:val="222830"/>
                <w:sz w:val="18"/>
              </w:rPr>
              <w:t>Solicitudes atendidas por la interfaz de servicios</w:t>
            </w:r>
          </w:p>
        </w:tc>
        <w:tc>
          <w:tcPr>
            <w:tcW w:type="dxa" w:w="1814"/>
            <w:shd w:val="clear" w:fill="EDF2F8"/>
          </w:tcPr>
          <w:p>
            <w:pPr>
              <w:spacing w:before="40" w:after="40"/>
            </w:pPr>
            <w:r/>
            <w:r>
              <w:rPr>
                <w:rFonts w:ascii="Calibri" w:hAnsi="Calibri"/>
                <w:color w:val="222830"/>
                <w:sz w:val="18"/>
              </w:rPr>
              <w:t>725</w:t>
            </w:r>
          </w:p>
        </w:tc>
        <w:tc>
          <w:tcPr>
            <w:tcW w:type="dxa" w:w="1814"/>
            <w:shd w:val="clear" w:fill="EDF2F8"/>
          </w:tcPr>
          <w:p>
            <w:pPr>
              <w:spacing w:before="40" w:after="40"/>
            </w:pPr>
            <w:r/>
            <w:r>
              <w:rPr>
                <w:rFonts w:ascii="Calibri" w:hAnsi="Calibri"/>
                <w:color w:val="222830"/>
                <w:sz w:val="18"/>
              </w:rPr>
              <w:t>1 508</w:t>
            </w:r>
          </w:p>
        </w:tc>
        <w:tc>
          <w:tcPr>
            <w:tcW w:type="dxa" w:w="1814"/>
            <w:shd w:val="clear" w:fill="EDF2F8"/>
          </w:tcPr>
          <w:p>
            <w:pPr>
              <w:spacing w:before="40" w:after="40"/>
            </w:pPr>
            <w:r/>
            <w:r>
              <w:rPr>
                <w:rFonts w:ascii="Calibri" w:hAnsi="Calibri"/>
                <w:color w:val="222830"/>
                <w:sz w:val="18"/>
              </w:rPr>
              <w:t>+108 %</w:t>
            </w:r>
          </w:p>
        </w:tc>
      </w:tr>
      <w:tr>
        <w:tc>
          <w:tcPr>
            <w:tcW w:type="dxa" w:w="3628"/>
          </w:tcPr>
          <w:p>
            <w:pPr>
              <w:spacing w:before="40" w:after="40"/>
            </w:pPr>
            <w:r/>
            <w:r>
              <w:rPr>
                <w:rFonts w:ascii="Calibri" w:hAnsi="Calibri"/>
                <w:color w:val="222830"/>
                <w:sz w:val="18"/>
              </w:rPr>
              <w:t>Conexiones capturadas por el emulador</w:t>
            </w:r>
          </w:p>
        </w:tc>
        <w:tc>
          <w:tcPr>
            <w:tcW w:type="dxa" w:w="1814"/>
          </w:tcPr>
          <w:p>
            <w:pPr>
              <w:spacing w:before="40" w:after="40"/>
            </w:pPr>
            <w:r/>
            <w:r>
              <w:rPr>
                <w:rFonts w:ascii="Calibri" w:hAnsi="Calibri"/>
                <w:color w:val="222830"/>
                <w:sz w:val="18"/>
              </w:rPr>
              <w:t>7</w:t>
            </w:r>
          </w:p>
        </w:tc>
        <w:tc>
          <w:tcPr>
            <w:tcW w:type="dxa" w:w="1814"/>
          </w:tcPr>
          <w:p>
            <w:pPr>
              <w:spacing w:before="40" w:after="40"/>
            </w:pPr>
            <w:r/>
            <w:r>
              <w:rPr>
                <w:rFonts w:ascii="Calibri" w:hAnsi="Calibri"/>
                <w:color w:val="222830"/>
                <w:sz w:val="18"/>
              </w:rPr>
              <w:t>38</w:t>
            </w:r>
          </w:p>
        </w:tc>
        <w:tc>
          <w:tcPr>
            <w:tcW w:type="dxa" w:w="1814"/>
          </w:tcPr>
          <w:p>
            <w:pPr>
              <w:spacing w:before="40" w:after="40"/>
            </w:pPr>
            <w:r/>
            <w:r>
              <w:rPr>
                <w:rFonts w:ascii="Calibri" w:hAnsi="Calibri"/>
                <w:color w:val="222830"/>
                <w:sz w:val="18"/>
              </w:rPr>
              <w:t>+443 %</w:t>
            </w:r>
          </w:p>
        </w:tc>
      </w:tr>
      <w:tr>
        <w:tc>
          <w:tcPr>
            <w:tcW w:type="dxa" w:w="3628"/>
            <w:shd w:val="clear" w:fill="EDF2F8"/>
          </w:tcPr>
          <w:p>
            <w:pPr>
              <w:spacing w:before="40" w:after="40"/>
            </w:pPr>
            <w:r/>
            <w:r>
              <w:rPr>
                <w:rFonts w:ascii="Calibri" w:hAnsi="Calibri"/>
                <w:color w:val="222830"/>
                <w:sz w:val="18"/>
              </w:rPr>
              <w:t>Peticiones recibidas por el portal</w:t>
            </w:r>
          </w:p>
        </w:tc>
        <w:tc>
          <w:tcPr>
            <w:tcW w:type="dxa" w:w="1814"/>
            <w:shd w:val="clear" w:fill="EDF2F8"/>
          </w:tcPr>
          <w:p>
            <w:pPr>
              <w:spacing w:before="40" w:after="40"/>
            </w:pPr>
            <w:r/>
            <w:r>
              <w:rPr>
                <w:rFonts w:ascii="Calibri" w:hAnsi="Calibri"/>
                <w:color w:val="222830"/>
                <w:sz w:val="18"/>
              </w:rPr>
              <w:t>15 765</w:t>
            </w:r>
          </w:p>
        </w:tc>
        <w:tc>
          <w:tcPr>
            <w:tcW w:type="dxa" w:w="1814"/>
            <w:shd w:val="clear" w:fill="EDF2F8"/>
          </w:tcPr>
          <w:p>
            <w:pPr>
              <w:spacing w:before="40" w:after="40"/>
            </w:pPr>
            <w:r/>
            <w:r>
              <w:rPr>
                <w:rFonts w:ascii="Calibri" w:hAnsi="Calibri"/>
                <w:color w:val="222830"/>
                <w:sz w:val="18"/>
              </w:rPr>
              <w:t>78 186</w:t>
            </w:r>
          </w:p>
        </w:tc>
        <w:tc>
          <w:tcPr>
            <w:tcW w:type="dxa" w:w="1814"/>
            <w:shd w:val="clear" w:fill="EDF2F8"/>
          </w:tcPr>
          <w:p>
            <w:pPr>
              <w:spacing w:before="40" w:after="40"/>
            </w:pPr>
            <w:r/>
            <w:r>
              <w:rPr>
                <w:rFonts w:ascii="Calibri" w:hAnsi="Calibri"/>
                <w:color w:val="222830"/>
                <w:sz w:val="18"/>
              </w:rPr>
              <w:t>+396 %</w:t>
            </w:r>
          </w:p>
        </w:tc>
      </w:tr>
      <w:tr>
        <w:tc>
          <w:tcPr>
            <w:tcW w:type="dxa" w:w="3628"/>
          </w:tcPr>
          <w:p>
            <w:pPr>
              <w:spacing w:before="40" w:after="40"/>
            </w:pPr>
            <w:r/>
            <w:r>
              <w:rPr>
                <w:rFonts w:ascii="Calibri" w:hAnsi="Calibri"/>
                <w:color w:val="222830"/>
                <w:sz w:val="18"/>
              </w:rPr>
              <w:t>Archivos de evidencia con huella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Constante</w:t>
            </w:r>
          </w:p>
        </w:tc>
      </w:tr>
      <w:tr>
        <w:tc>
          <w:tcPr>
            <w:tcW w:type="dxa" w:w="3628"/>
            <w:shd w:val="clear" w:fill="EDF2F8"/>
          </w:tcPr>
          <w:p>
            <w:pPr>
              <w:spacing w:before="40" w:after="40"/>
            </w:pPr>
            <w:r/>
            <w:r>
              <w:rPr>
                <w:rFonts w:ascii="Calibri" w:hAnsi="Calibri"/>
                <w:color w:val="222830"/>
                <w:sz w:val="18"/>
              </w:rPr>
              <w:t>Calidad de la evidencia verificada</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Constante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aumento del volumen se explica por la ampliación de la cobertura de medición: los seis escenarios que la línea base dejó sin atribución producen ahora eventos que antes no llegaban a ningún componente de registro.</w:t>
            </w:r>
          </w:p>
        </w:tc>
      </w:tr>
    </w:tbl>
    <w:p>
      <w:pPr>
        <w:spacing w:after="80"/>
      </w:pPr>
    </w:p>
    <w:p>
      <w:pPr>
        <w:keepNext/>
        <w:spacing w:before="280" w:after="160"/>
        <w:outlineLvl w:val="1"/>
      </w:pPr>
      <w:r>
        <w:rPr>
          <w:rFonts w:ascii="Times New Roman" w:hAnsi="Times New Roman"/>
          <w:b/>
          <w:color w:val="1F3864"/>
          <w:sz w:val="27"/>
        </w:rPr>
        <w:t>11. Evidencia visual del tablero de alertas</w:t>
      </w:r>
    </w:p>
    <w:p>
      <w:pPr>
        <w:spacing w:after="160" w:line="360" w:lineRule="auto"/>
        <w:jc w:val="both"/>
      </w:pPr>
      <w:r>
        <w:rPr>
          <w:rFonts w:ascii="Times New Roman" w:hAnsi="Times New Roman"/>
          <w:color w:val="222830"/>
          <w:sz w:val="24"/>
        </w:rPr>
        <w:t>El tablero de alertas del laboratorio en los dos momentos del ciclo. Cada panel conserva su propia ventana temporal, declarada en la esquina superior derecha, porque la cadena de indexación se puso en marcha entre una captura y la otra.</w:t>
      </w:r>
    </w:p>
    <w:p>
      <w:pPr>
        <w:spacing w:before="200" w:after="80"/>
        <w:jc w:val="center"/>
      </w:pPr>
      <w:r>
        <w:drawing>
          <wp:inline xmlns:a="http://schemas.openxmlformats.org/drawingml/2006/main" xmlns:pic="http://schemas.openxmlformats.org/drawingml/2006/picture">
            <wp:extent cx="5760000" cy="3624639"/>
            <wp:docPr id="9" name="Picture 9"/>
            <wp:cNvGraphicFramePr>
              <a:graphicFrameLocks noChangeAspect="1"/>
            </wp:cNvGraphicFramePr>
            <a:graphic>
              <a:graphicData uri="http://schemas.openxmlformats.org/drawingml/2006/picture">
                <pic:pic>
                  <pic:nvPicPr>
                    <pic:cNvPr id="0" name="v1.png"/>
                    <pic:cNvPicPr/>
                  </pic:nvPicPr>
                  <pic:blipFill>
                    <a:blip r:embed="rId17"/>
                    <a:stretch>
                      <a:fillRect/>
                    </a:stretch>
                  </pic:blipFill>
                  <pic:spPr>
                    <a:xfrm>
                      <a:off x="0" y="0"/>
                      <a:ext cx="5760000" cy="3624639"/>
                    </a:xfrm>
                    <a:prstGeom prst="rect"/>
                  </pic:spPr>
                </pic:pic>
              </a:graphicData>
            </a:graphic>
          </wp:inline>
        </w:drawing>
      </w:r>
    </w:p>
    <w:p>
      <w:pPr>
        <w:spacing w:before="40" w:after="40"/>
        <w:jc w:val="center"/>
      </w:pPr>
      <w:r>
        <w:rPr>
          <w:rFonts w:ascii="Times New Roman" w:hAnsi="Times New Roman"/>
          <w:color w:val="222830"/>
          <w:sz w:val="20"/>
        </w:rPr>
        <w:t xml:space="preserve">Figura 9. </w:t>
      </w:r>
      <w:r>
        <w:rPr>
          <w:rFonts w:ascii="Times New Roman" w:hAnsi="Times New Roman"/>
          <w:i/>
          <w:color w:val="222830"/>
          <w:sz w:val="20"/>
        </w:rPr>
        <w:t>Tablero de alertas del SIEM en la línea base, ventana de tres horas.</w:t>
      </w:r>
    </w:p>
    <w:p>
      <w:pPr>
        <w:spacing w:before="0" w:after="240"/>
        <w:ind w:left="283"/>
        <w:jc w:val="both"/>
      </w:pPr>
      <w:r>
        <w:rPr>
          <w:rFonts w:ascii="Times New Roman" w:hAnsi="Times New Roman"/>
          <w:color w:val="5A6878"/>
          <w:sz w:val="18"/>
        </w:rPr>
        <w:t>Nota. La serie temporal muestra picos aislados y un nivel medio de alerta de 4,88 sobre cuatrocientas treinta y cuatro alertas indexadas. Fuente: v2.0-it1/04-captura-eventos/02_grafana-dashboard-siem.png.</w:t>
      </w:r>
    </w:p>
    <w:p>
      <w:pPr>
        <w:spacing w:before="200" w:after="80"/>
        <w:jc w:val="center"/>
      </w:pPr>
      <w:r>
        <w:drawing>
          <wp:inline xmlns:a="http://schemas.openxmlformats.org/drawingml/2006/main" xmlns:pic="http://schemas.openxmlformats.org/drawingml/2006/picture">
            <wp:extent cx="5760000" cy="3624639"/>
            <wp:docPr id="10" name="Picture 10"/>
            <wp:cNvGraphicFramePr>
              <a:graphicFrameLocks noChangeAspect="1"/>
            </wp:cNvGraphicFramePr>
            <a:graphic>
              <a:graphicData uri="http://schemas.openxmlformats.org/drawingml/2006/picture">
                <pic:pic>
                  <pic:nvPicPr>
                    <pic:cNvPr id="0" name="v2.png"/>
                    <pic:cNvPicPr/>
                  </pic:nvPicPr>
                  <pic:blipFill>
                    <a:blip r:embed="rId18"/>
                    <a:stretch>
                      <a:fillRect/>
                    </a:stretch>
                  </pic:blipFill>
                  <pic:spPr>
                    <a:xfrm>
                      <a:off x="0" y="0"/>
                      <a:ext cx="5760000" cy="3624639"/>
                    </a:xfrm>
                    <a:prstGeom prst="rect"/>
                  </pic:spPr>
                </pic:pic>
              </a:graphicData>
            </a:graphic>
          </wp:inline>
        </w:drawing>
      </w:r>
    </w:p>
    <w:p>
      <w:pPr>
        <w:spacing w:before="40" w:after="40"/>
        <w:jc w:val="center"/>
      </w:pPr>
      <w:r>
        <w:rPr>
          <w:rFonts w:ascii="Times New Roman" w:hAnsi="Times New Roman"/>
          <w:color w:val="222830"/>
          <w:sz w:val="20"/>
        </w:rPr>
        <w:t xml:space="preserve">Figura 10. </w:t>
      </w:r>
      <w:r>
        <w:rPr>
          <w:rFonts w:ascii="Times New Roman" w:hAnsi="Times New Roman"/>
          <w:i/>
          <w:color w:val="222830"/>
          <w:sz w:val="20"/>
        </w:rPr>
        <w:t>Tablero de alertas del SIEM en la medición final, ventana de veinticuatro horas.</w:t>
      </w:r>
    </w:p>
    <w:p>
      <w:pPr>
        <w:spacing w:before="0" w:after="240"/>
        <w:ind w:left="283"/>
        <w:jc w:val="both"/>
      </w:pPr>
      <w:r>
        <w:rPr>
          <w:rFonts w:ascii="Times New Roman" w:hAnsi="Times New Roman"/>
          <w:color w:val="5A6878"/>
          <w:sz w:val="18"/>
        </w:rPr>
        <w:t>Nota. La serie temporal sostiene actividad a lo largo de toda la ventana y el nivel medio de alerta sube a 6,20. Fuente: v2.1-it2/04-captura-eventos/05_grafana-dashboard-siem.png.</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dos paneles documentan el estado del tablero en cada momento del ciclo. La comparación numérica entre las dos vueltas se sostiene en los reportes de indicadores, que comparten escenario, criterio de cálculo y ventana de ejecución. Las ventanas distintas de los paneles se declaran para que el lector no las interprete como una serie homogénea.</w:t>
            </w:r>
          </w:p>
        </w:tc>
      </w:tr>
    </w:tbl>
    <w:p>
      <w:pPr>
        <w:spacing w:after="80"/>
      </w:pPr>
    </w:p>
    <w:p>
      <w:pPr>
        <w:keepNext/>
        <w:spacing w:before="280" w:after="160"/>
        <w:outlineLvl w:val="1"/>
      </w:pPr>
      <w:r>
        <w:rPr>
          <w:rFonts w:ascii="Times New Roman" w:hAnsi="Times New Roman"/>
          <w:b/>
          <w:color w:val="1F3864"/>
          <w:sz w:val="27"/>
        </w:rPr>
        <w:t>Origen de los datos</w:t>
      </w:r>
    </w:p>
    <w:p>
      <w:pPr>
        <w:spacing w:after="160" w:line="360" w:lineRule="auto"/>
        <w:jc w:val="left"/>
      </w:pPr>
      <w:r>
        <w:rPr>
          <w:rFonts w:ascii="Times New Roman" w:hAnsi="Times New Roman"/>
          <w:color w:val="222830"/>
          <w:sz w:val="24"/>
        </w:rPr>
        <w:t>Metodología Honeypot para la Gestión de Incidentes en Servicios Fiscales conforme a Normas Internacionales. Tesis de maestría. Capítulo IV, Marco Práctico. Dashboard de resultados del Prototipo II, ejecutado sobre el contexto del Servicio de Impuestos Nacionales de Bolivia.</w:t>
      </w:r>
    </w:p>
    <w:p>
      <w:pPr>
        <w:spacing w:after="160" w:line="360" w:lineRule="auto"/>
        <w:jc w:val="left"/>
      </w:pPr>
      <w:r>
        <w:rPr>
          <w:rFonts w:ascii="Times New Roman" w:hAnsi="Times New Roman"/>
          <w:color w:val="222830"/>
          <w:sz w:val="24"/>
        </w:rPr>
        <w:t>Toda cifra de este tablero procede de un archivo del repositorio y declara su origen: v2.0-it1/07-metricas/kpi_report.json, v2.1-it2/07-metricas/kpi_report.json, v2.0-it1/07-metricas/mitre_coverage.json, evidencias/lecciones-aprendidas.md, evidencias/INDICE.md y el historial de commits. Ningún valor fue estimado ni completado por analogía. El capítulo de resultados no incluye comprobación de hipótesis.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