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jc w:val="center"/>
        <w:spacing w:after="120"/>
      </w:pPr>
      <w:r>
        <w:rPr>
          <w:b/>
          <w:sz w:val="28"/>
          <w:szCs w:val="28"/>
        </w:rPr>
        <w:t xml:space="preserve">MATRIZ DE EVIDENCIA DEL LABORATORIO POR ÍTEM DEL INSTRUMENTO</w:t>
      </w:r>
    </w:p>
    <w:p>
      <w:pPr>
        <w:jc w:val="center"/>
        <w:spacing w:after="120"/>
      </w:pPr>
      <w:r>
        <w:rPr>
          <w:i/>
          <w:sz w:val="20"/>
          <w:szCs w:val="20"/>
        </w:rPr>
        <w:t xml:space="preserve">Diagnóstico de Madurez en Seguridad de la Información · Tesis de Maestría · versión 1</w:t>
      </w:r>
    </w:p>
    <w:p>
      <w:pPr>
        <w:spacing w:after="120"/>
      </w:pPr>
      <w:r>
        <w:rPr>
          <w:sz w:val="20"/>
          <w:szCs w:val="20"/>
        </w:rPr>
        <w:t xml:space="preserve">Este documento cruza los cuarenta y dos ítems del instrumento de diagnóstico con la evidencia efectivamente disponible en el laboratorio de la investigación. Cada fila declara un dato verificable y el archivo del que procede, o declara de forma explícita que ese ítem no tiene respaldo medido.</w:t>
      </w:r>
    </w:p>
    <w:p>
      <w:pPr>
        <w:spacing w:after="120"/>
      </w:pPr>
      <w:r>
        <w:rPr>
          <w:b/>
          <w:sz w:val="20"/>
          <w:szCs w:val="20"/>
        </w:rPr>
        <w:t xml:space="preserve">Ningún valor de esta matriz fue estimado, aproximado ni completado por analogía. Las filas marcadas en rojo corresponden a ítems que el laboratorio no mide, y esa ausencia es información válida: delimita qué puede afirmarse con evidencia y qué corresponde a la institución.</w:t>
      </w:r>
    </w:p>
    <w:p>
      <w:pPr>
        <w:pStyle w:val="Ttulo2"/>
        <w:spacing w:after="120"/>
      </w:pPr>
      <w:r>
        <w:rPr>
          <w:sz w:val="20"/>
          <w:szCs w:val="20"/>
        </w:rPr>
        <w:t xml:space="preserve">Resumen de cobertura</w:t>
      </w:r>
    </w:p>
    <w:p>
      <w:pPr>
        <w:spacing w:after="120"/>
      </w:pPr>
      <w:r>
        <w:rPr>
          <w:sz w:val="20"/>
          <w:szCs w:val="20"/>
        </w:rPr>
        <w:t xml:space="preserve">De los 42 ítems del instrumento, 24 cuentan con evidencia verificable en el laboratorio y 18 no la tienen. La ausencia se concentra en el Instrumento 3, sobre tiempos de respuesta, y en el Instrumento 13, sobre capacitación, y coincide con las restricciones que el propio registro de lecciones deja documentadas.</w:t>
      </w:r>
    </w:p>
    <w:p>
      <w:pPr>
        <w:pStyle w:val="Ttulo2"/>
        <w:spacing w:after="120"/>
      </w:pPr>
      <w:r>
        <w:rPr>
          <w:sz w:val="20"/>
          <w:szCs w:val="20"/>
        </w:rPr>
        <w:t xml:space="preserve">Matriz completa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0"/>
        <w:gridCol w:w="1900"/>
        <w:gridCol w:w="3000"/>
        <w:gridCol w:w="1700"/>
        <w:gridCol w:w="1480"/>
      </w:tblGrid>
      <w:tr>
        <w:trPr>
          <w:tblHeader/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Inst.</w:t>
            </w:r>
          </w:p>
        </w:tc>
        <w:tc>
          <w:tcPr>
            <w:tcW w:w="1900" w:type="dxa"/>
            <w:shd w:val="clear" w:color="auto" w:fill="D9D9D9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Ítem del instrumento</w:t>
            </w:r>
          </w:p>
        </w:tc>
        <w:tc>
          <w:tcPr>
            <w:tcW w:w="3000" w:type="dxa"/>
            <w:shd w:val="clear" w:color="auto" w:fill="D9D9D9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Evidencia disponible en el laboratorio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Valor medido</w:t>
            </w:r>
          </w:p>
        </w:tc>
        <w:tc>
          <w:tcPr>
            <w:tcW w:w="1480" w:type="dxa"/>
            <w:shd w:val="clear" w:color="auto" w:fill="D9D9D9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Fuente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eventos con todos los campos mínimos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señuelo escribe en cada solicitud la hora, el origen, el tipo y el identificador de la fuente. El índice del SIEM conserva el documento íntegro con su índice de almacenamiento y su identificador.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100 % por construcción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Fig. eventos indexados y documento expandido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Tiempo promedio del evento a su registro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Tiempo medio de detección sobre los diez escenarios de la campaña de la segunda vuelta.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2,02 s de media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07-metricas/kpi_report.json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Percentil 95 del tiempo de registro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campaña midió el máximo, no el percentil 95. No se calculó el percentil.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Máximo 15,91 s; p95 no calculado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07-metricas/kpi_report.json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4. Disponibilidad del sistema de monitoreo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campaña completó los diez escenarios sin caída del laboratorio. No se midió el porcentaje de tiempo activo.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10 de 10 escenarios completados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01-entorno-servicios (campaña S01–S10)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alertas con categoría de ataque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Cada uno de los diez escenarios se registra con su técnica de MITRE ATT&amp;CK asignada en el reporte de cobertura.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10 de 10 con técnica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07-metricas/mitre_coverage.json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alertas con evidencia mínima adjunta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Cada escenario conserva su registro crudo y sus capturas. El promedio por escenario es de 9,1 archivos y el total de la campaña es de 91.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91 archivos en 10 escenarios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07-metricas/kpi_report.json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Puntaje de completitud del expediente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capa de evidencia puntúa 100 sobre 100 en calidad. La completitud del expediente de caso no se calculó por separado.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Calidad de evidencia 100/100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07-metricas/kpi_report.json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Tiempo promedio hasta la contención inicial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Requiere marcas de tiempo de los casos en la plataforma de gestión, que la versión en prueba de la herramienta no expone.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kpi_report.json, campo MTTR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casos críticos en el tiempo objetivo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No existe el registro de casos con sello temporal en la plataforma de gestión durante la campaña.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kpi_report.json, campo MTTR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Escalamientos formales por mes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La campaña no llevaba un conteo de escalamientos formales.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4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incidentes con documento de lecciones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campaña produjo un registro de catorce lecciones, de la L1 a la L14, cada una con su hallazgo, su causa y su corrección.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14 lecciones registradas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evidencias/lecciones-aprendidas.md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4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Acciones correctivas derivadas de incidentes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Once de las catorce lecciones quedaron cerradas con una corrección aplicada. Tres permanecen abiertas.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11 cerradas, 3 abiertas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evidencias/lecciones-aprendidas.md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4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% de acciones dentro del plazo comprometido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El registro documenta qué se corrigió, no el plazo de cada corrección.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 de plazos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5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evidencias con identificador y verificación de integridad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Toda la evidencia de la campaña se selló con huella SHA-256 en el repositorio de custodia.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91 de 91 con SHA-256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05-enriquecimiento-custodia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5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traspasos con cadena de custodia completa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estructura de custodia se definió y se aplicó a los escenarios, con sello temporal ISO 8601 y zona horaria. El porcentaje de traspasos no se calculó.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Estructura definida y aplicada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Fig. custodia y sello temporal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5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Percentil 95 de registro de traspasos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Solo se registró el instante de cada custodia, no la distribución de tiempos entre traspasos.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 de tiempos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6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Respaldos completos del repositorio de evidencias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La campaña no ejecutó respaldos del repositorio de evidencias como actividad medida.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6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respaldos con verificación de integridad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verificación por huella SHA-256 está implementada y se aplicó a la evidencia. No se ejecutaron respaldos para los cuales aplicar ese porcentaje.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Verificación implementada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05-enriquecimiento-custodia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6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Pruebas de restauración exitosas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No se ejecutaron pruebas de restauración dentro de la campaña.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7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Tiempo de retención de evidencias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laboratorio no define una política de retención en meses. Esa definición corresponde a la institución.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aplica al laboratorio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política de retención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7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solicitudes de acceso resueltas en plazo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La campaña no llevaba un registro de solicitudes de acceso a la evidencia.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8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cuentas revisadas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laboratorio separa los segmentos por función, de modo que los contenedores de gestión no comparten subred con los señuelos. La revisión periódica de cuentas no se midió.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Separación por segmentos verificada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03-aislamiento-red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8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Cuentas con exceso de privilegios removidas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prueba de aislamiento ejecutada desde el atacante alcanzó dos objetivos del segmento expuesto y no alcanzó cuatro servicios del segmento de gestión.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2 alcanzables, 4 bloqueados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Fig. prueba de aislamiento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8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% de altas y bajas con ticket y aprobación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La gestión de altas y bajas de cuentas corresponde al proceso de la institución, no al laboratorio.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9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cambios revisados por otra persona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laboratorio opera bajo control de versiones con historial completo de commits, cada corrección del registro de lecciones asociada a su commit.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Trazabilidad por commit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historial del repositorio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9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canales con pruebas automáticas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señuelo de la interfaz de programación de aplicaciones incluye un conjunto de pruebas automáticas sobre su registro de ataques.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Pruebas automáticas presentes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decoys/api-tributaria/tests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9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Tiempo medio de corrección de hallazgos críticos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registro documenta qué se corrigió en cada una de las once lecciones cerradas, no el tiempo que tomó cada corrección.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 de tiempos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10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Escaneos de vulnerabilidades en producción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Los sensores de red y el emulador de acceso remoto operan de forma continua durante la campaña y alimentan el reporte de cobertura.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Cobertura continua de la campaña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Fig. alertas de la cadena de detección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10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vulnerabilidades críticas corregidas en plazo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reporte de cobertura distingue diecisiete técnicas implementadas de diez efectivamente detectadas, en seis tácticas.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10 de 17 técnicas detectadas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07-metricas/mitre_coverage.json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10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Tiempo medio de corrección por severidad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La campaña no llevaba un registro de tiempos de corrección por severidad.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fuentes con sincronización horaria activa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Los registros de la campaña llevan marca temporal ISO 8601 con zona horaria, y el cálculo del tiempo de detección se apoya en esas marcas.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Marcas con zona horaria verificadas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Fig. sello temporal de custodia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registros en repositorio inalterable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control de recolección de evidencia de la norma ISO/IEC 27001 se declara sobre un repositorio de solo escritura con firma.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Repositorio inalterable declarado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iso27035_compliance.json, control A.5.28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11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Tiempo de retención de los registros operativos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laboratorio no define una retención en meses para sus registros. Es una decisión de la institución.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aplica al laboratorio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política de retención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12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activos críticos con evaluación vigente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 metodología declara cuatro decisiones de diseño que acotan el alcance, la separación, la trazabilidad y la mejora iterativa.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4 decisiones declaradas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4.2.1.3 Decisiones de diseño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12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Reevaluaciones de riesgos sobre activos críticos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No medido. La campaña no llevaba un conteo de reevaluaciones.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No medido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registro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12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% de riesgos altos con plan de tratamiento activo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De las seis brechas del diagnóstico, tres las atiende la metodología de forma directa y las otras tres se derivan al plan institucional con un tratamiento definido.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3 atendidas, 3 derivadas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matriz de trazabilidad del diagnóstico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13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% de personal capacitado en seguridad digital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laboratorio nocapacita personal. Esta brecha se deriva al plan institucional.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Sin evidencia en el laboratorio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brecha G4-13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13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Sesiones de capacitación impartidas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evidencia en el laboratorio.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Sin evidencia en el laboratorio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brecha G4-13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13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Puntaje promedio de evaluaciones post-capacitación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Sin evidencia en el laboratorio.</w:t>
            </w:r>
          </w:p>
        </w:tc>
        <w:tc>
          <w:tcPr>
            <w:tcW w:w="1700" w:type="dxa"/>
            <w:shd w:val="clear" w:color="auto" w:fill="FCE4E4"/>
          </w:tcPr>
          <w:p>
            <w:pPr>
              <w:spacing w:before="30" w:after="30"/>
            </w:pPr>
            <w:r>
              <w:rPr>
                <w:b/>
                <w:i/>
                <w:sz w:val="9C0006"/>
                <w:szCs w:val="9C0006"/>
              </w:rPr>
              <w:t xml:space="preserve">Sin evidencia en el laboratorio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brecha G4-13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14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1. Indicadores de seguridad revisados en comité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El laboratorio produce tres tableros de indicadores y un reporte consolidado por campaña. No se constitute un comité de revisión.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3 tableros y 1 reporte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Fig. tableros de Grafana y reportes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14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2. % de controles ajustados por las revisiones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Once lecciones cerradas modificaron controles concretos del laboratorio: reglas del detector, publicador de eventos, offset del colector y programa de cálculo.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11 correcciones aplicadas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evidencias/lecciones-aprendidas.md</w:t>
            </w:r>
          </w:p>
        </w:tc>
      </w:tr>
      <w:tr>
        <w:trPr>
          <w:cantSplit/>
        </w:trPr>
        <w:tc>
          <w:tcPr>
            <w:tcW w:w="560" w:type="dxa"/>
            <w:shd w:val="clear" w:color="auto" w:fill="D9D9D9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14</w:t>
            </w:r>
          </w:p>
        </w:tc>
        <w:tc>
          <w:tcPr>
            <w:tcW w:w="19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3. % de procesos con métricas formalmente definidas</w:t>
            </w:r>
          </w:p>
        </w:tc>
        <w:tc>
          <w:tcPr>
            <w:tcW w:w="300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Las cinco fases de la metodología tienen al menos un indicador medido que se reporta al cierre de cada campaña.</w:t>
            </w:r>
          </w:p>
        </w:tc>
        <w:tc>
          <w:tcPr>
            <w:tcW w:w="1700" w:type="dxa"/>
          </w:tcPr>
          <w:p>
            <w:pPr>
              <w:spacing w:before="30" w:after="30"/>
            </w:pPr>
            <w:r>
              <w:rPr>
                <w:b/>
                <w:i/>
                <w:sz w:val="None"/>
                <w:szCs w:val="None"/>
              </w:rPr>
              <w:t xml:space="preserve">5 de 5 fases con indicador</w:t>
            </w:r>
          </w:p>
        </w:tc>
        <w:tc>
          <w:tcPr>
            <w:tcW w:w="1480" w:type="dxa"/>
          </w:tcPr>
          <w:p>
            <w:pPr>
              <w:spacing w:before="30" w:after="30"/>
            </w:pPr>
            <w:r>
              <w:rPr>
                <w:i/>
                <w:sz w:val="None"/>
                <w:szCs w:val="None"/>
              </w:rPr>
              <w:t xml:space="preserve">kpi_report.json</w:t>
            </w:r>
          </w:p>
        </w:tc>
      </w:tr>
    </w:tbl>
    <w:p>
      <w:pPr>
        <w:spacing w:after="200"/>
      </w:pPr>
    </w:p>
    <w:p>
      <w:pPr>
        <w:pStyle w:val="Ttulo2"/>
        <w:spacing w:after="120"/>
      </w:pPr>
      <w:r>
        <w:rPr>
          <w:sz w:val="20"/>
          <w:szCs w:val="20"/>
        </w:rPr>
        <w:t xml:space="preserve">Lectura para el capítulo de resultados</w:t>
      </w:r>
    </w:p>
    <w:p>
      <w:pPr>
        <w:spacing w:after="120"/>
      </w:pPr>
      <w:r>
        <w:rPr>
          <w:i/>
          <w:sz w:val="20"/>
          <w:szCs w:val="20"/>
        </w:rPr>
        <w:t xml:space="preserve">• Los ítems con evidencia se sostienen con un archivo del repositorio y pueden citarse en el capítulo de resultados sin ambigüedad.</w:t>
      </w:r>
    </w:p>
    <w:p>
      <w:pPr>
        <w:spacing w:after="120"/>
      </w:pPr>
      <w:r>
        <w:rPr>
          <w:i/>
          <w:sz w:val="20"/>
          <w:szCs w:val="20"/>
        </w:rPr>
        <w:t xml:space="preserve">• Los ítems sin evidencia no deben presentarse como resultado. Se presentan como límites de lo que el laboratorio mide, y su atención corresponde al plan institucional.</w:t>
      </w:r>
    </w:p>
    <w:p>
      <w:pPr>
        <w:spacing w:after="120"/>
      </w:pPr>
      <w:r>
        <w:rPr>
          <w:i/>
          <w:sz w:val="20"/>
          <w:szCs w:val="20"/>
        </w:rPr>
        <w:t xml:space="preserve">• La medición posterior del instrumento en la institución es la vía que convierte los ítems sin evidencia en resultados, porque esos ítems dependen del proceso y no del laboratorio.</w:t>
      </w:r>
    </w:p>
    <w:sectPr w:rsidR="004A2227" w:rsidRPr="004A2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sión metodológica" w:date="2026-06-02T01:26:00Z" w:initials="C">
    <w:p w14:paraId="12437188" w14:textId="77777777" w:rsidR="00CF77A4" w:rsidRDefault="00000000">
      <w:r>
        <w:annotationRef/>
      </w:r>
      <w:r>
        <w:rPr>
          <w:color w:val="000000"/>
          <w:sz w:val="20"/>
          <w:szCs w:val="20"/>
        </w:rPr>
        <w:t>Se agregó el fundamento de los rangos. Los umbrales de calificación NO son una definición propia del autor: derivan de estándares documentados según el tipo de métrica (NIST SP 800-61 y SP 800-92, ISO/IEC 27001:2022 A.8.15, y niveles de SLA estándar de ITIL/gestión de servicios), y la escala ordinal de 5 niveles sigue el patrón de modelos de madurez (CMMI/COBIT). Además, los rangos se someten a la revisión de los expertos en la validación (V de Aiken). Así el instrumento queda respaldado por norma + juicio de expertos.</w:t>
      </w:r>
    </w:p>
  </w:comment>
  <w:comment w:id="1" w:author="Revisión metodológica" w:date="2026-06-02T01:58:00Z" w:initials="C">
    <w:p w14:paraId="4201EDD2" w14:textId="77777777" w:rsidR="00CF77A4" w:rsidRDefault="00000000">
      <w:r>
        <w:annotationRef/>
      </w:r>
      <w:r>
        <w:rPr>
          <w:color w:val="000000"/>
          <w:sz w:val="20"/>
          <w:szCs w:val="20"/>
        </w:rPr>
        <w:t>Bloque agregado para resolver y justificar las observaciones de la auditoría: (1) qué hacer cuando la institución no mide una métrica; (2) período de referencia uniforme; (3) uso de la columna Justificación y respaldo documental (mitiga el sesgo de autoinforme); (4) protocolo si el rol no existe; (5) criterios de nivel uniformes en %; (6) método de cálculo y ponderación igualitaria explícita; (7) justificación de por qué se incluyen dominios de seguridad preventiva; (8) limitaciones reconocidas. Con esto el instrumento queda completo, respondible y defendible.</w:t>
      </w:r>
    </w:p>
  </w:comment>
  <w:comment w:id="2" w:author="Revisión metodológica" w:date="2026-06-01T19:43:00Z" w:initials="C">
    <w:p w14:paraId="5600ACEA" w14:textId="77777777" w:rsidR="00CF77A4" w:rsidRDefault="00000000">
      <w:r>
        <w:annotationRef/>
      </w:r>
      <w:r>
        <w:rPr>
          <w:color w:val="000000"/>
          <w:sz w:val="20"/>
          <w:szCs w:val="20"/>
        </w:rPr>
        <w:t>Se reescribió el Instrumento 1 para que NO asuma la existencia de un honeypot. En el análisis situacional (línea base) se mide la capacidad ACTUAL de detección y registro de eventos de seguridad con lo que la institución tenga hoy (SIEM, logs, IDS, monitoreo). El honeypot es el modelo que se implementa después; sus métricas específicas se miden en la fase de validación (medición «después»), no en el diagnóstico inicial. Así el instrumento es respondible aunque la institución no tenga honeypot y no se mezcla el modelo con el objeto de estudio.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437188" w15:done="0"/>
  <w15:commentEx w15:paraId="4201EDD2" w15:done="0"/>
  <w15:commentEx w15:paraId="5600AC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87705F" w16cex:dateUtc="2026-06-02T01:26:00Z"/>
  <w16cex:commentExtensible w16cex:durableId="19DE8416" w16cex:dateUtc="2026-06-02T01:58:00Z"/>
  <w16cex:commentExtensible w16cex:durableId="501A49B1" w16cex:dateUtc="2026-06-01T19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437188" w16cid:durableId="3F87705F"/>
  <w16cid:commentId w16cid:paraId="4201EDD2" w16cid:durableId="19DE8416"/>
  <w16cid:commentId w16cid:paraId="5600ACEA" w16cid:durableId="501A49B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5D70D7"/>
    <w:multiLevelType w:val="multilevel"/>
    <w:tmpl w:val="8648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168A5"/>
    <w:multiLevelType w:val="multilevel"/>
    <w:tmpl w:val="9066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926176">
    <w:abstractNumId w:val="8"/>
  </w:num>
  <w:num w:numId="2" w16cid:durableId="1801727100">
    <w:abstractNumId w:val="6"/>
  </w:num>
  <w:num w:numId="3" w16cid:durableId="1189415045">
    <w:abstractNumId w:val="5"/>
  </w:num>
  <w:num w:numId="4" w16cid:durableId="1038893551">
    <w:abstractNumId w:val="4"/>
  </w:num>
  <w:num w:numId="5" w16cid:durableId="798766546">
    <w:abstractNumId w:val="7"/>
  </w:num>
  <w:num w:numId="6" w16cid:durableId="536622826">
    <w:abstractNumId w:val="3"/>
  </w:num>
  <w:num w:numId="7" w16cid:durableId="696076433">
    <w:abstractNumId w:val="2"/>
  </w:num>
  <w:num w:numId="8" w16cid:durableId="1396469743">
    <w:abstractNumId w:val="1"/>
  </w:num>
  <w:num w:numId="9" w16cid:durableId="1354575915">
    <w:abstractNumId w:val="0"/>
  </w:num>
  <w:num w:numId="10" w16cid:durableId="131410105">
    <w:abstractNumId w:val="9"/>
  </w:num>
  <w:num w:numId="11" w16cid:durableId="1241135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0EF"/>
    <w:rsid w:val="00034616"/>
    <w:rsid w:val="0006063C"/>
    <w:rsid w:val="000C3C80"/>
    <w:rsid w:val="00143F94"/>
    <w:rsid w:val="0015074B"/>
    <w:rsid w:val="00245CEC"/>
    <w:rsid w:val="0029639D"/>
    <w:rsid w:val="00326F90"/>
    <w:rsid w:val="00480397"/>
    <w:rsid w:val="004A2227"/>
    <w:rsid w:val="004D3E74"/>
    <w:rsid w:val="005222D9"/>
    <w:rsid w:val="00530B4C"/>
    <w:rsid w:val="005B5AA9"/>
    <w:rsid w:val="00653CCD"/>
    <w:rsid w:val="0088738E"/>
    <w:rsid w:val="008F1CAD"/>
    <w:rsid w:val="008F6032"/>
    <w:rsid w:val="00911B27"/>
    <w:rsid w:val="0097069A"/>
    <w:rsid w:val="0098350A"/>
    <w:rsid w:val="009D074F"/>
    <w:rsid w:val="00A77C0D"/>
    <w:rsid w:val="00AA1D8D"/>
    <w:rsid w:val="00B06F38"/>
    <w:rsid w:val="00B47730"/>
    <w:rsid w:val="00B83481"/>
    <w:rsid w:val="00CB0664"/>
    <w:rsid w:val="00CF77A4"/>
    <w:rsid w:val="00D02756"/>
    <w:rsid w:val="00D60AE8"/>
    <w:rsid w:val="00DB1C6D"/>
    <w:rsid w:val="00DC16E3"/>
    <w:rsid w:val="00E002A8"/>
    <w:rsid w:val="00F032D9"/>
    <w:rsid w:val="00F47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AEF21"/>
  <w14:defaultImageDpi w14:val="300"/>
  <w15:docId w15:val="{17F8EE23-A5A2-470B-881E-2D3EE84F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AE8"/>
    <w:rPr>
      <w:rFonts w:ascii="Calibri" w:hAnsi="Calibri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Calibri" w:hAnsi="Calibri"/>
      <w:sz w:val="20"/>
      <w:szCs w:val="20"/>
      <w:lang w:val="es-B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4178</Words>
  <Characters>22981</Characters>
  <Application>Microsoft Office Word</Application>
  <DocSecurity>0</DocSecurity>
  <Lines>191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Mendoza Escobar</cp:lastModifiedBy>
  <cp:revision>2</cp:revision>
  <dcterms:created xsi:type="dcterms:W3CDTF">2026-06-12T20:07:00Z</dcterms:created>
  <dcterms:modified xsi:type="dcterms:W3CDTF">2026-06-12T20:07:00Z</dcterms:modified>
  <cp:category/>
</cp:coreProperties>
</file>