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2c87775adece47e6" /></Relationships>
</file>

<file path=word/document.xml><?xml version="1.0" encoding="utf-8"?>
<w:document xmlns:w="http://schemas.openxmlformats.org/wordprocessingml/2006/main">
  <w:body>
    <w:p>
      <w:pPr>
        <w:pStyle w:val="CoverTitle"/>
        <w:spacing w:before="0" w:after="240" w:line="276" w:lineRule="auto"/>
        <w:jc w:val="center"/>
      </w:pPr>
      <w:r>
        <w:rPr>
          <w:sz w:val="32"/>
          <w:szCs w:val="32"/>
        </w:rPr>
        <w:t xml:space="preserve">Metodología Honeypot para la Gestión de Incidentes en Servicios Fiscales conforme a Normas Internacionales</w:t>
      </w:r>
    </w:p>
    <w:p>
      <w:pPr>
        <w:pStyle w:val="CoverText"/>
        <w:spacing w:before="0" w:after="120" w:line="276" w:lineRule="auto"/>
        <w:jc w:val="center"/>
      </w:pPr>
      <w:r>
        <w:rPr>
          <w:sz w:val="26"/>
          <w:szCs w:val="26"/>
        </w:rPr>
        <w:t xml:space="preserve">Tesis de maestría</w:t>
      </w:r>
    </w:p>
    <w:p>
      <w:pPr>
        <w:pStyle w:val="CoverText"/>
        <w:spacing w:before="0" w:after="120" w:line="276" w:lineRule="auto"/>
        <w:jc w:val="center"/>
      </w:pPr>
      <w:r>
        <w:t xml:space="preserve"/>
      </w:r>
    </w:p>
    <w:p>
      <w:pPr>
        <w:pStyle w:val="CoverText"/>
        <w:spacing w:before="0" w:after="120" w:line="276" w:lineRule="auto"/>
        <w:jc w:val="center"/>
      </w:pPr>
      <w:r>
        <w:rPr>
          <w:sz w:val="26"/>
          <w:szCs w:val="26"/>
        </w:rPr>
        <w:t xml:space="preserve">Capítulo IV. Marco Práctico</w:t>
      </w:r>
    </w:p>
    <w:p>
      <w:pPr>
        <w:pStyle w:val="CoverText"/>
        <w:spacing w:before="0" w:after="120" w:line="276" w:lineRule="auto"/>
        <w:jc w:val="center"/>
      </w:pPr>
      <w:r>
        <w:rPr>
          <w:b/>
          <w:bCs/>
          <w:sz w:val="26"/>
          <w:szCs w:val="26"/>
        </w:rPr>
        <w:t xml:space="preserve">Resultados de la aplicación de la metodología Honeypot en dos laboratorios de servicios fiscales</w:t>
      </w:r>
    </w:p>
    <w:p>
      <w:pPr>
        <w:pStyle w:val="CoverText"/>
        <w:spacing w:before="0" w:after="120" w:line="276" w:lineRule="auto"/>
        <w:jc w:val="center"/>
      </w:pPr>
      <w:r>
        <w:t xml:space="preserve"/>
      </w:r>
    </w:p>
    <w:p>
      <w:pPr>
        <w:pStyle w:val="CoverText"/>
        <w:spacing w:before="0" w:after="120" w:line="276" w:lineRule="auto"/>
        <w:jc w:val="center"/>
      </w:pPr>
      <w:r>
        <w:rPr>
          <w:sz w:val="26"/>
          <w:szCs w:val="26"/>
        </w:rPr>
        <w:t xml:space="preserve">Laboratorio TaxFisco Research Lab y laboratorio del Servicio de Impuestos Nacionales</w:t>
      </w:r>
    </w:p>
    <w:p>
      <w:pPr>
        <w:pStyle w:val="CoverText"/>
        <w:spacing w:before="0" w:after="120" w:line="276" w:lineRule="auto"/>
        <w:jc w:val="center"/>
      </w:pPr>
      <w:r>
        <w:rPr>
          <w:sz w:val="26"/>
          <w:szCs w:val="26"/>
        </w:rPr>
        <w:t xml:space="preserve">2026</w:t>
      </w:r>
    </w:p>
    <w:p>
      <w:r>
        <w:br w:type="page"/>
      </w:r>
    </w:p>
    <w:p>
      <w:pPr>
        <w:pStyle w:val="Heading1"/>
        <w:keepNext/>
        <w:spacing w:before="360" w:after="120" w:line="240" w:lineRule="auto"/>
        <w:jc w:val="left"/>
        <w:outlineLvl w:val="0"/>
      </w:pPr>
      <w:r>
        <w:rPr>
          <w:b/>
          <w:bCs/>
        </w:rPr>
        <w:t xml:space="preserve">Tabla de contenido</w:t>
      </w:r>
    </w:p>
    <w:p>
      <w:pPr>
        <w:pStyle w:val="Normal"/>
        <w:tabs>
          <w:tab w:val="right" w:leader="dot" w:pos="9360"/>
        </w:tabs>
        <w:spacing w:after="60" w:line="240" w:lineRule="auto"/>
        <w:jc w:val="left"/>
      </w:pPr>
      <w:r>
        <w:fldChar w:fldCharType="begin"/>
      </w:r>
      <w:r>
        <w:instrText xml:space="preserve"> TOC \o "1-3" \h \z \u </w:instrText>
      </w:r>
      <w:r>
        <w:fldChar w:fldCharType="separate"/>
      </w:r>
      <w:r>
        <w:rPr>
          <w:sz w:val="24"/>
          <w:szCs w:val="24"/>
        </w:rPr>
        <w:t xml:space="preserve">Resumen del capítulo</w:t>
      </w:r>
      <w:r>
        <w:tab/>
      </w:r>
      <w:r>
        <w:rPr>
          <w:sz w:val="24"/>
        </w:rPr>
        <w:t xml:space="preserve">3</w:t>
      </w:r>
    </w:p>
    <w:p>
      <w:pPr>
        <w:pStyle w:val="Normal"/>
        <w:tabs>
          <w:tab w:val="right" w:leader="dot" w:pos="9360"/>
        </w:tabs>
        <w:spacing w:after="60" w:line="240" w:lineRule="auto"/>
        <w:jc w:val="left"/>
      </w:pPr>
      <w:r>
        <w:rPr>
          <w:sz w:val="24"/>
          <w:szCs w:val="24"/>
        </w:rPr>
        <w:t xml:space="preserve">1. Alcance del capítulo y forma de leer los resultados</w:t>
      </w:r>
      <w:r>
        <w:tab/>
      </w:r>
      <w:r>
        <w:rPr>
          <w:sz w:val="24"/>
        </w:rPr>
        <w:t xml:space="preserve">4</w:t>
      </w:r>
    </w:p>
    <w:p>
      <w:pPr>
        <w:pStyle w:val="Normal"/>
        <w:tabs>
          <w:tab w:val="right" w:leader="dot" w:pos="9360"/>
        </w:tabs>
        <w:spacing w:after="60" w:line="240" w:lineRule="auto"/>
        <w:jc w:val="left"/>
      </w:pPr>
      <w:r>
        <w:rPr>
          <w:sz w:val="24"/>
          <w:szCs w:val="24"/>
        </w:rPr>
        <w:t xml:space="preserve">2. Línea base institucional</w:t>
      </w:r>
      <w:r>
        <w:tab/>
      </w:r>
      <w:r>
        <w:rPr>
          <w:sz w:val="24"/>
        </w:rPr>
        <w:t xml:space="preserve">5</w:t>
      </w:r>
    </w:p>
    <w:p>
      <w:pPr>
        <w:pStyle w:val="Normal"/>
        <w:tabs>
          <w:tab w:val="right" w:leader="dot" w:pos="9360"/>
        </w:tabs>
        <w:spacing w:after="60" w:line="240" w:lineRule="auto"/>
        <w:jc w:val="left"/>
      </w:pPr>
      <w:r>
        <w:rPr>
          <w:sz w:val="24"/>
          <w:szCs w:val="24"/>
        </w:rPr>
        <w:t xml:space="preserve">3. Antes y después cuantificado</w:t>
      </w:r>
      <w:r>
        <w:tab/>
      </w:r>
      <w:r>
        <w:rPr>
          <w:sz w:val="24"/>
        </w:rPr>
        <w:t xml:space="preserve">7</w:t>
      </w:r>
    </w:p>
    <w:p>
      <w:pPr>
        <w:pStyle w:val="Normal"/>
        <w:tabs>
          <w:tab w:val="right" w:leader="dot" w:pos="9360"/>
        </w:tabs>
        <w:spacing w:after="60" w:line="240" w:lineRule="auto"/>
        <w:jc w:val="left"/>
      </w:pPr>
      <w:r>
        <w:rPr>
          <w:sz w:val="24"/>
          <w:szCs w:val="24"/>
        </w:rPr>
        <w:t xml:space="preserve">4. Resultados del Prototipo 1 en el laboratorio TaxFisco</w:t>
      </w:r>
      <w:r>
        <w:tab/>
      </w:r>
      <w:r>
        <w:rPr>
          <w:sz w:val="24"/>
        </w:rPr>
        <w:t xml:space="preserve">10</w:t>
      </w:r>
    </w:p>
    <w:p>
      <w:pPr>
        <w:pStyle w:val="Normal"/>
        <w:tabs>
          <w:tab w:val="right" w:leader="dot" w:pos="9360"/>
        </w:tabs>
        <w:spacing w:after="60" w:line="240" w:lineRule="auto"/>
        <w:jc w:val="left"/>
      </w:pPr>
      <w:r>
        <w:rPr>
          <w:sz w:val="24"/>
          <w:szCs w:val="24"/>
        </w:rPr>
        <w:t xml:space="preserve">5. El puente entre los dos laboratorios</w:t>
      </w:r>
      <w:r>
        <w:tab/>
      </w:r>
      <w:r>
        <w:rPr>
          <w:sz w:val="24"/>
        </w:rPr>
        <w:t xml:space="preserve">16</w:t>
      </w:r>
    </w:p>
    <w:p>
      <w:pPr>
        <w:pStyle w:val="Normal"/>
        <w:tabs>
          <w:tab w:val="right" w:leader="dot" w:pos="9360"/>
        </w:tabs>
        <w:spacing w:after="60" w:line="240" w:lineRule="auto"/>
        <w:jc w:val="left"/>
      </w:pPr>
      <w:r>
        <w:rPr>
          <w:sz w:val="24"/>
          <w:szCs w:val="24"/>
        </w:rPr>
        <w:t xml:space="preserve">6. Las dos vueltas del laboratorio del Prototipo 2</w:t>
      </w:r>
      <w:r>
        <w:tab/>
      </w:r>
      <w:r>
        <w:rPr>
          <w:sz w:val="24"/>
        </w:rPr>
        <w:t xml:space="preserve">17</w:t>
      </w:r>
    </w:p>
    <w:p>
      <w:pPr>
        <w:pStyle w:val="Normal"/>
        <w:tabs>
          <w:tab w:val="right" w:leader="dot" w:pos="9360"/>
        </w:tabs>
        <w:spacing w:after="60" w:line="240" w:lineRule="auto"/>
        <w:jc w:val="left"/>
      </w:pPr>
      <w:r>
        <w:rPr>
          <w:sz w:val="24"/>
          <w:szCs w:val="24"/>
        </w:rPr>
        <w:t xml:space="preserve">7. Tiempo de detección por escenario en el Prototipo 2</w:t>
      </w:r>
      <w:r>
        <w:tab/>
      </w:r>
      <w:r>
        <w:rPr>
          <w:sz w:val="24"/>
        </w:rPr>
        <w:t xml:space="preserve">19</w:t>
      </w:r>
    </w:p>
    <w:p>
      <w:pPr>
        <w:pStyle w:val="Normal"/>
        <w:tabs>
          <w:tab w:val="right" w:leader="dot" w:pos="9360"/>
        </w:tabs>
        <w:spacing w:after="60" w:line="240" w:lineRule="auto"/>
        <w:jc w:val="left"/>
      </w:pPr>
      <w:r>
        <w:rPr>
          <w:sz w:val="24"/>
          <w:szCs w:val="24"/>
        </w:rPr>
        <w:t xml:space="preserve">8. Distribución del tiempo de detección en la medición final</w:t>
      </w:r>
      <w:r>
        <w:tab/>
      </w:r>
      <w:r>
        <w:rPr>
          <w:sz w:val="24"/>
        </w:rPr>
        <w:t xml:space="preserve">21</w:t>
      </w:r>
    </w:p>
    <w:p>
      <w:pPr>
        <w:pStyle w:val="Normal"/>
        <w:tabs>
          <w:tab w:val="right" w:leader="dot" w:pos="9360"/>
        </w:tabs>
        <w:spacing w:after="60" w:line="240" w:lineRule="auto"/>
        <w:jc w:val="left"/>
      </w:pPr>
      <w:r>
        <w:rPr>
          <w:sz w:val="24"/>
          <w:szCs w:val="24"/>
        </w:rPr>
        <w:t xml:space="preserve">9. Ciclo de iteraciones del segundo laboratorio</w:t>
      </w:r>
      <w:r>
        <w:tab/>
      </w:r>
      <w:r>
        <w:rPr>
          <w:sz w:val="24"/>
        </w:rPr>
        <w:t xml:space="preserve">22</w:t>
      </w:r>
    </w:p>
    <w:p>
      <w:pPr>
        <w:pStyle w:val="Normal"/>
        <w:tabs>
          <w:tab w:val="right" w:leader="dot" w:pos="9360"/>
        </w:tabs>
        <w:spacing w:after="60" w:line="240" w:lineRule="auto"/>
        <w:jc w:val="left"/>
      </w:pPr>
      <w:r>
        <w:rPr>
          <w:sz w:val="24"/>
          <w:szCs w:val="24"/>
        </w:rPr>
        <w:t xml:space="preserve">10. Cobertura de MITRE ATT&amp;CK</w:t>
      </w:r>
      <w:r>
        <w:tab/>
      </w:r>
      <w:r>
        <w:rPr>
          <w:sz w:val="24"/>
        </w:rPr>
        <w:t xml:space="preserve">24</w:t>
      </w:r>
    </w:p>
    <w:p>
      <w:pPr>
        <w:pStyle w:val="Normal"/>
        <w:tabs>
          <w:tab w:val="right" w:leader="dot" w:pos="9360"/>
        </w:tabs>
        <w:spacing w:after="60" w:line="240" w:lineRule="auto"/>
        <w:jc w:val="left"/>
      </w:pPr>
      <w:r>
        <w:rPr>
          <w:sz w:val="24"/>
          <w:szCs w:val="24"/>
        </w:rPr>
        <w:t xml:space="preserve">11. Aportación de cada fase de la metodología</w:t>
      </w:r>
      <w:r>
        <w:tab/>
      </w:r>
      <w:r>
        <w:rPr>
          <w:sz w:val="24"/>
        </w:rPr>
        <w:t xml:space="preserve">25</w:t>
      </w:r>
    </w:p>
    <w:p>
      <w:pPr>
        <w:pStyle w:val="Normal"/>
        <w:tabs>
          <w:tab w:val="right" w:leader="dot" w:pos="9360"/>
        </w:tabs>
        <w:spacing w:after="60" w:line="240" w:lineRule="auto"/>
        <w:jc w:val="left"/>
      </w:pPr>
      <w:r>
        <w:rPr>
          <w:sz w:val="24"/>
          <w:szCs w:val="24"/>
        </w:rPr>
        <w:t xml:space="preserve">12. Registro de lecciones aprendidas</w:t>
      </w:r>
      <w:r>
        <w:tab/>
      </w:r>
      <w:r>
        <w:rPr>
          <w:sz w:val="24"/>
        </w:rPr>
        <w:t xml:space="preserve">26</w:t>
      </w:r>
    </w:p>
    <w:p>
      <w:pPr>
        <w:pStyle w:val="Normal"/>
        <w:tabs>
          <w:tab w:val="right" w:leader="dot" w:pos="9360"/>
        </w:tabs>
        <w:spacing w:after="60" w:line="240" w:lineRule="auto"/>
        <w:jc w:val="left"/>
      </w:pPr>
      <w:r>
        <w:rPr>
          <w:sz w:val="24"/>
          <w:szCs w:val="24"/>
        </w:rPr>
        <w:t xml:space="preserve">13. Volumen de actividad de los dos laboratorios</w:t>
      </w:r>
      <w:r>
        <w:tab/>
      </w:r>
      <w:r>
        <w:rPr>
          <w:sz w:val="24"/>
        </w:rPr>
        <w:t xml:space="preserve">29</w:t>
      </w:r>
    </w:p>
    <w:p>
      <w:pPr>
        <w:pStyle w:val="Normal"/>
        <w:tabs>
          <w:tab w:val="right" w:leader="dot" w:pos="9360"/>
        </w:tabs>
        <w:spacing w:after="60" w:line="240" w:lineRule="auto"/>
        <w:jc w:val="left"/>
      </w:pPr>
      <w:r>
        <w:rPr>
          <w:sz w:val="24"/>
          <w:szCs w:val="24"/>
        </w:rPr>
        <w:t xml:space="preserve">14. Síntesis de los resultados</w:t>
      </w:r>
      <w:r>
        <w:tab/>
      </w:r>
      <w:r>
        <w:rPr>
          <w:sz w:val="24"/>
        </w:rPr>
        <w:t xml:space="preserve">30</w:t>
      </w:r>
    </w:p>
    <w:p>
      <w:pPr>
        <w:pStyle w:val="Normal"/>
        <w:tabs>
          <w:tab w:val="right" w:leader="dot" w:pos="9360"/>
        </w:tabs>
        <w:spacing w:after="60" w:line="240" w:lineRule="auto"/>
        <w:jc w:val="left"/>
      </w:pPr>
      <w:r>
        <w:rPr>
          <w:sz w:val="24"/>
          <w:szCs w:val="24"/>
        </w:rPr>
        <w:t xml:space="preserve">15. Evidencia visual de los tableros</w:t>
      </w:r>
      <w:r>
        <w:tab/>
      </w:r>
      <w:r>
        <w:rPr>
          <w:sz w:val="24"/>
        </w:rPr>
        <w:t xml:space="preserve">31</w:t>
      </w:r>
    </w:p>
    <w:p>
      <w:pPr>
        <w:pStyle w:val="Normal"/>
        <w:tabs>
          <w:tab w:val="right" w:leader="dot" w:pos="9360"/>
        </w:tabs>
        <w:spacing w:after="60" w:line="240" w:lineRule="auto"/>
        <w:jc w:val="left"/>
      </w:pPr>
      <w:r>
        <w:rPr>
          <w:sz w:val="24"/>
          <w:szCs w:val="24"/>
        </w:rPr>
        <w:t xml:space="preserve">16. Naturaleza del dato posterior y trazabilidad de la medición</w:t>
      </w:r>
      <w:r>
        <w:tab/>
      </w:r>
      <w:r>
        <w:rPr>
          <w:sz w:val="24"/>
        </w:rPr>
        <w:t xml:space="preserve">35</w:t>
      </w:r>
    </w:p>
    <w:p>
      <w:pPr>
        <w:pStyle w:val="Normal"/>
        <w:tabs>
          <w:tab w:val="right" w:leader="dot" w:pos="9360"/>
        </w:tabs>
        <w:spacing w:after="60" w:line="240" w:lineRule="auto"/>
        <w:jc w:val="left"/>
      </w:pPr>
      <w:r>
        <w:rPr>
          <w:sz w:val="24"/>
          <w:szCs w:val="24"/>
        </w:rPr>
        <w:t xml:space="preserve">Referencias</w:t>
      </w:r>
      <w:r>
        <w:tab/>
      </w:r>
      <w:r>
        <w:rPr>
          <w:sz w:val="24"/>
        </w:rPr>
        <w:t xml:space="preserve">36</w:t>
      </w:r>
      <w:r>
        <w:fldChar w:fldCharType="end"/>
      </w:r>
    </w:p>
    <w:p>
      <w:r>
        <w:br w:type="page"/>
      </w:r>
    </w:p>
    <w:p>
      <w:pPr>
        <w:pStyle w:val="Heading1"/>
        <w:keepNext/>
        <w:spacing w:before="360" w:after="120" w:line="240" w:lineRule="auto"/>
        <w:jc w:val="left"/>
        <w:outlineLvl w:val="0"/>
      </w:pPr>
      <w:r>
        <w:rPr>
          <w:b/>
          <w:bCs/>
        </w:rPr>
        <w:t xml:space="preserve">Resumen del capítulo</w:t>
      </w:r>
    </w:p>
    <w:p>
      <w:pPr>
        <w:pStyle w:val="Normal"/>
        <w:spacing w:after="0" w:line="480" w:lineRule="auto"/>
        <w:ind w:firstLine="720"/>
        <w:jc w:val="both"/>
      </w:pPr>
      <w:r>
        <w:t xml:space="preserve">Este capítulo expone los resultados de dos aplicaciones de la metodología Honeypot orientada a la gestión de incidentes en servicios fiscales, junto con la medición de madurez institucional que las acompaña. La primera aplicación se desarrolla en el TaxFisco Research Lab, que opera sobre una entidad homologada del rubro de los servicios fiscales digitales, mientras que la segunda se aplica en el laboratorio del Servicio de Impuestos Nacionales.</w:t>
      </w:r>
    </w:p>
    <w:p>
      <w:pPr>
        <w:pStyle w:val="Normal"/>
        <w:spacing w:after="0" w:line="480" w:lineRule="auto"/>
        <w:ind w:firstLine="720"/>
        <w:jc w:val="both"/>
      </w:pPr>
      <w:r>
        <w:t xml:space="preserve">Los resultados se organizan en cuatro bloques de datos que responden a preguntas distintas y que no comparten escala entre sí. Los dos primeros miden cuánto mide la organización, de manera que solo ellos admiten una comparación directa entre sí, mientras que los dos últimos miden qué detecta y qué ejecuta el laboratorio y exigen una lectura autónoma basada en la evidencia que el propio ejercicio produce.</w:t>
      </w:r>
    </w:p>
    <w:p>
      <w:pPr>
        <w:pStyle w:val="Normal"/>
        <w:spacing w:after="0" w:line="480" w:lineRule="auto"/>
        <w:ind w:firstLine="720"/>
        <w:jc w:val="both"/>
      </w:pPr>
      <w:r>
        <w:t xml:space="preserve">La comparación principal del capítulo se concentra en la madurez institucional, que pasa de 52,70 % a 99,09 %, lo que supone una variación de 46,38 puntos porcentuales. Ninguna de las dos cifras procede de un cálculo del autor, puesto que ambas las declara el libro de resultados de la medición, mientras que la variación es un cálculo propio que este capítulo documenta en el apartado sobre la comparación cuantificada.</w:t>
      </w:r>
    </w:p>
    <w:p>
      <w:pPr>
        <w:pStyle w:val="Normal"/>
        <w:spacing w:after="0" w:line="480" w:lineRule="auto"/>
        <w:ind w:firstLine="720"/>
        <w:jc w:val="both"/>
      </w:pPr>
      <w:r>
        <w:t xml:space="preserve">Los apartados sobre el Prototipo 1 documentan la verificación de la cadena de detección y la corrección que el Prototipo 2 aplica sobre ella. Otros cuatro apartados describen la medición posterior del segundo laboratorio, su cobertura, sus tiempos de detección y el ciclo de iteraciones que la sostiene. Cuatro apartados más abordan la cobertura de técnicas, la aportación de cada fase de la metodología, el registro de lecciones aprendidas y el volumen de actividad registrado.</w:t>
      </w:r>
    </w:p>
    <w:p>
      <w:pPr>
        <w:pStyle w:val="Normal"/>
        <w:spacing w:after="0" w:line="480" w:lineRule="auto"/>
        <w:ind w:firstLine="720"/>
        <w:jc w:val="both"/>
      </w:pPr>
      <w:r>
        <w:t xml:space="preserve">El capítulo se cierra con la síntesis de los resultados, con la evidencia visual de los tres tableros y con la explicación de la naturaleza del dato posterior. Ninguna cifra del capítulo es estimada, completada por analogía ni tomada de una fuente distinta de la que el texto declara junto a la tabla correspondiente.</w:t>
      </w:r>
    </w:p>
    <w:p>
      <w:pPr>
        <w:pStyle w:val="Heading1"/>
        <w:keepNext/>
        <w:spacing w:before="360" w:after="120" w:line="240" w:lineRule="auto"/>
        <w:jc w:val="left"/>
        <w:outlineLvl w:val="0"/>
      </w:pPr>
      <w:r>
        <w:rPr>
          <w:b/>
          <w:bCs/>
        </w:rPr>
        <w:t xml:space="preserve">1. Alcance del capítulo y forma de leer los resultados</w:t>
      </w:r>
    </w:p>
    <w:p>
      <w:pPr>
        <w:pStyle w:val="Normal"/>
        <w:spacing w:after="0" w:line="480" w:lineRule="auto"/>
        <w:ind w:firstLine="720"/>
        <w:jc w:val="both"/>
      </w:pPr>
      <w:r>
        <w:t xml:space="preserve">La lectura de los resultados exige separar el marco de la medición, porque el capítulo reúne datos que provienen de instrumentos distintos y que se interpretan con reglas distintas. La Tabla 1 identifica los cuatro bloques, declara qué mide cada uno y señala el archivo del que proceden, lo que permite al lector rastrear el origen de cualquier cifra que encuentre más adelante.</w:t>
      </w:r>
    </w:p>
    <w:p>
      <w:pPr>
        <w:pStyle w:val="TableTitle"/>
        <w:keepNext/>
        <w:spacing w:before="240" w:after="0" w:line="240" w:lineRule="auto"/>
      </w:pPr>
      <w:r>
        <w:rPr>
          <w:b/>
          <w:bCs/>
          <w:i w:val="false"/>
          <w:iCs w:val="false"/>
          <w:sz w:val="22"/>
          <w:szCs w:val="22"/>
        </w:rPr>
        <w:t xml:space="preserve">Tabla 1</w:t>
      </w:r>
    </w:p>
    <w:p>
      <w:pPr>
        <w:pStyle w:val="TableTitle"/>
        <w:keepNext/>
        <w:spacing w:before="0" w:after="80" w:line="240" w:lineRule="auto"/>
      </w:pPr>
      <w:r>
        <w:rPr>
          <w:sz w:val="22"/>
          <w:szCs w:val="22"/>
        </w:rPr>
        <w:t xml:space="preserve">Bloques de datos del capítulo, unidad de medida y origen</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1900"/>
        <w:gridCol w:w="2400"/>
        <w:gridCol w:w="2800"/>
        <w:gridCol w:w="2260"/>
      </w:tblGrid>
      <w:tr>
        <w:trPr>
          <w:tblHeader/>
          <w:cantSplit/>
        </w:trPr>
        <w:tc>
          <w:tcPr>
            <w:tcW w:w="1900" w:type="dxa"/>
            <w:tcBorders>
              <w:bottom w:val="single" w:color="000000" w:sz="6" w:space="0"/>
            </w:tcBorders>
            <w:vAlign w:val="top"/>
          </w:tcPr>
          <w:p>
            <w:pPr>
              <w:pStyle w:val="TableText"/>
              <w:spacing w:before="40" w:after="40" w:line="240" w:lineRule="auto"/>
              <w:jc w:val="left"/>
            </w:pPr>
            <w:r>
              <w:rPr>
                <w:b/>
                <w:bCs/>
                <w:sz w:val="20"/>
                <w:szCs w:val="20"/>
              </w:rPr>
              <w:t xml:space="preserve">Bloque</w:t>
            </w:r>
          </w:p>
        </w:tc>
        <w:tc>
          <w:tcPr>
            <w:tcW w:w="2400" w:type="dxa"/>
            <w:tcBorders>
              <w:bottom w:val="single" w:color="000000" w:sz="6" w:space="0"/>
            </w:tcBorders>
            <w:vAlign w:val="top"/>
          </w:tcPr>
          <w:p>
            <w:pPr>
              <w:pStyle w:val="TableText"/>
              <w:spacing w:before="40" w:after="40" w:line="240" w:lineRule="auto"/>
              <w:jc w:val="left"/>
            </w:pPr>
            <w:r>
              <w:rPr>
                <w:b/>
                <w:bCs/>
                <w:sz w:val="20"/>
                <w:szCs w:val="20"/>
              </w:rPr>
              <w:t xml:space="preserve">Qué mide</w:t>
            </w:r>
          </w:p>
        </w:tc>
        <w:tc>
          <w:tcPr>
            <w:tcW w:w="2800" w:type="dxa"/>
            <w:tcBorders>
              <w:bottom w:val="single" w:color="000000" w:sz="6" w:space="0"/>
            </w:tcBorders>
            <w:vAlign w:val="top"/>
          </w:tcPr>
          <w:p>
            <w:pPr>
              <w:pStyle w:val="TableText"/>
              <w:spacing w:before="40" w:after="40" w:line="240" w:lineRule="auto"/>
              <w:jc w:val="left"/>
            </w:pPr>
            <w:r>
              <w:rPr>
                <w:b/>
                <w:bCs/>
                <w:sz w:val="20"/>
                <w:szCs w:val="20"/>
              </w:rPr>
              <w:t xml:space="preserve">Archivo de origen</w:t>
            </w:r>
          </w:p>
        </w:tc>
        <w:tc>
          <w:tcPr>
            <w:tcW w:w="2260" w:type="dxa"/>
            <w:tcBorders>
              <w:bottom w:val="single" w:color="000000" w:sz="6" w:space="0"/>
            </w:tcBorders>
            <w:vAlign w:val="top"/>
          </w:tcPr>
          <w:p>
            <w:pPr>
              <w:pStyle w:val="TableText"/>
              <w:spacing w:before="40" w:after="40" w:line="240" w:lineRule="auto"/>
              <w:jc w:val="left"/>
            </w:pPr>
            <w:r>
              <w:rPr>
                <w:b/>
                <w:bCs/>
                <w:sz w:val="20"/>
                <w:szCs w:val="20"/>
              </w:rPr>
              <w:t xml:space="preserve">Naturaleza del dato</w:t>
            </w:r>
          </w:p>
        </w:tc>
      </w:tr>
      <w:tr>
        <w:trPr>
          <w:cantSplit/>
        </w:trPr>
        <w:tc>
          <w:tcPr>
            <w:tcW w:w="1900" w:type="dxa"/>
            <w:vAlign w:val="top"/>
          </w:tcPr>
          <w:p>
            <w:pPr>
              <w:pStyle w:val="TableText"/>
              <w:spacing w:before="40" w:after="40" w:line="240" w:lineRule="auto"/>
              <w:jc w:val="left"/>
            </w:pPr>
            <w:r>
              <w:rPr>
                <w:sz w:val="20"/>
                <w:szCs w:val="20"/>
              </w:rPr>
              <w:t xml:space="preserve">Línea base institucional</w:t>
            </w:r>
          </w:p>
        </w:tc>
        <w:tc>
          <w:tcPr>
            <w:tcW w:w="2400" w:type="dxa"/>
            <w:vAlign w:val="top"/>
          </w:tcPr>
          <w:p>
            <w:pPr>
              <w:pStyle w:val="TableText"/>
              <w:spacing w:before="40" w:after="40" w:line="240" w:lineRule="auto"/>
              <w:jc w:val="left"/>
            </w:pPr>
            <w:r>
              <w:rPr>
                <w:sz w:val="20"/>
                <w:szCs w:val="20"/>
              </w:rPr>
              <w:t xml:space="preserve">Madurez declarada por la organización antes de la intervención</w:t>
            </w:r>
          </w:p>
        </w:tc>
        <w:tc>
          <w:tcPr>
            <w:tcW w:w="2800" w:type="dxa"/>
            <w:vAlign w:val="top"/>
          </w:tcPr>
          <w:p>
            <w:pPr>
              <w:pStyle w:val="TableText"/>
              <w:spacing w:before="40" w:after="40" w:line="240" w:lineRule="auto"/>
              <w:jc w:val="left"/>
            </w:pPr>
            <w:r>
              <w:rPr>
                <w:sz w:val="20"/>
                <w:szCs w:val="20"/>
              </w:rPr>
              <w:t xml:space="preserve">Matriz_pre_post_SIN20_Libelula10.xlsx, hoja «Resultados pretest»</w:t>
            </w:r>
          </w:p>
        </w:tc>
        <w:tc>
          <w:tcPr>
            <w:tcW w:w="2260" w:type="dxa"/>
            <w:vAlign w:val="top"/>
          </w:tcPr>
          <w:p>
            <w:pPr>
              <w:pStyle w:val="TableText"/>
              <w:spacing w:before="40" w:after="40" w:line="240" w:lineRule="auto"/>
              <w:jc w:val="left"/>
            </w:pPr>
            <w:r>
              <w:rPr>
                <w:sz w:val="20"/>
                <w:szCs w:val="20"/>
              </w:rPr>
              <w:t xml:space="preserve">Medida sobre treinta respondentes reales, alfa de Cronbach 0,868989</w:t>
            </w:r>
          </w:p>
        </w:tc>
      </w:tr>
      <w:tr>
        <w:trPr>
          <w:cantSplit/>
        </w:trPr>
        <w:tc>
          <w:tcPr>
            <w:tcW w:w="1900" w:type="dxa"/>
            <w:vAlign w:val="top"/>
          </w:tcPr>
          <w:p>
            <w:pPr>
              <w:pStyle w:val="TableText"/>
              <w:spacing w:before="40" w:after="40" w:line="240" w:lineRule="auto"/>
              <w:jc w:val="left"/>
            </w:pPr>
            <w:r>
              <w:rPr>
                <w:sz w:val="20"/>
                <w:szCs w:val="20"/>
              </w:rPr>
              <w:t xml:space="preserve">Resultado posterior</w:t>
            </w:r>
          </w:p>
        </w:tc>
        <w:tc>
          <w:tcPr>
            <w:tcW w:w="2400" w:type="dxa"/>
            <w:vAlign w:val="top"/>
          </w:tcPr>
          <w:p>
            <w:pPr>
              <w:pStyle w:val="TableText"/>
              <w:spacing w:before="40" w:after="40" w:line="240" w:lineRule="auto"/>
              <w:jc w:val="left"/>
            </w:pPr>
            <w:r>
              <w:rPr>
                <w:sz w:val="20"/>
                <w:szCs w:val="20"/>
              </w:rPr>
              <w:t xml:space="preserve">Madurez registrada en el libro de resultados de la medición posterior</w:t>
            </w:r>
          </w:p>
        </w:tc>
        <w:tc>
          <w:tcPr>
            <w:tcW w:w="2800" w:type="dxa"/>
            <w:vAlign w:val="top"/>
          </w:tcPr>
          <w:p>
            <w:pPr>
              <w:pStyle w:val="TableText"/>
              <w:spacing w:before="40" w:after="40" w:line="240" w:lineRule="auto"/>
              <w:jc w:val="left"/>
            </w:pPr>
            <w:r>
              <w:rPr>
                <w:sz w:val="20"/>
                <w:szCs w:val="20"/>
              </w:rPr>
              <w:t xml:space="preserve">Matriz_pre_post_SIN20_Libelula10.xlsx, hoja «Resultados postest»</w:t>
            </w:r>
          </w:p>
        </w:tc>
        <w:tc>
          <w:tcPr>
            <w:tcW w:w="2260" w:type="dxa"/>
            <w:vAlign w:val="top"/>
          </w:tcPr>
          <w:p>
            <w:pPr>
              <w:pStyle w:val="TableText"/>
              <w:spacing w:before="40" w:after="40" w:line="240" w:lineRule="auto"/>
              <w:jc w:val="left"/>
            </w:pPr>
            <w:r>
              <w:rPr>
                <w:sz w:val="20"/>
                <w:szCs w:val="20"/>
              </w:rPr>
              <w:t xml:space="preserve">Resultado global del libro de resultados, de naturaleza declarada</w:t>
            </w:r>
          </w:p>
        </w:tc>
      </w:tr>
      <w:tr>
        <w:trPr>
          <w:cantSplit/>
        </w:trPr>
        <w:tc>
          <w:tcPr>
            <w:tcW w:w="1900" w:type="dxa"/>
            <w:vAlign w:val="top"/>
          </w:tcPr>
          <w:p>
            <w:pPr>
              <w:pStyle w:val="TableText"/>
              <w:spacing w:before="40" w:after="40" w:line="240" w:lineRule="auto"/>
              <w:jc w:val="left"/>
            </w:pPr>
            <w:r>
              <w:rPr>
                <w:sz w:val="20"/>
                <w:szCs w:val="20"/>
              </w:rPr>
              <w:t xml:space="preserve">Prototipo 1</w:t>
            </w:r>
          </w:p>
        </w:tc>
        <w:tc>
          <w:tcPr>
            <w:tcW w:w="2400" w:type="dxa"/>
            <w:vAlign w:val="top"/>
          </w:tcPr>
          <w:p>
            <w:pPr>
              <w:pStyle w:val="TableText"/>
              <w:spacing w:before="40" w:after="40" w:line="240" w:lineRule="auto"/>
              <w:jc w:val="left"/>
            </w:pPr>
            <w:r>
              <w:rPr>
                <w:sz w:val="20"/>
                <w:szCs w:val="20"/>
              </w:rPr>
              <w:t xml:space="preserve">Ejecución instrumentada en el laboratorio TaxFisco</w:t>
            </w:r>
          </w:p>
        </w:tc>
        <w:tc>
          <w:tcPr>
            <w:tcW w:w="2800" w:type="dxa"/>
            <w:vAlign w:val="top"/>
          </w:tcPr>
          <w:p>
            <w:pPr>
              <w:pStyle w:val="TableText"/>
              <w:spacing w:before="40" w:after="40" w:line="240" w:lineRule="auto"/>
              <w:jc w:val="left"/>
            </w:pPr>
            <w:r>
              <w:rPr>
                <w:sz w:val="20"/>
                <w:szCs w:val="20"/>
              </w:rPr>
              <w:t xml:space="preserve">evidencias/07-metricas/ y evidencias/03-aislamiento-red/</w:t>
            </w:r>
          </w:p>
        </w:tc>
        <w:tc>
          <w:tcPr>
            <w:tcW w:w="2260" w:type="dxa"/>
            <w:vAlign w:val="top"/>
          </w:tcPr>
          <w:p>
            <w:pPr>
              <w:pStyle w:val="TableText"/>
              <w:spacing w:before="40" w:after="40" w:line="240" w:lineRule="auto"/>
              <w:jc w:val="left"/>
            </w:pPr>
            <w:r>
              <w:rPr>
                <w:sz w:val="20"/>
                <w:szCs w:val="20"/>
              </w:rPr>
              <w:t xml:space="preserve">Verificada sobre archivos de evidencia</w:t>
            </w:r>
          </w:p>
        </w:tc>
      </w:tr>
      <w:tr>
        <w:trPr>
          <w:cantSplit/>
        </w:trPr>
        <w:tc>
          <w:tcPr>
            <w:tcW w:w="1900" w:type="dxa"/>
            <w:vAlign w:val="top"/>
          </w:tcPr>
          <w:p>
            <w:pPr>
              <w:pStyle w:val="TableText"/>
              <w:spacing w:before="40" w:after="40" w:line="240" w:lineRule="auto"/>
              <w:jc w:val="left"/>
            </w:pPr>
            <w:r>
              <w:rPr>
                <w:sz w:val="20"/>
                <w:szCs w:val="20"/>
              </w:rPr>
              <w:t xml:space="preserve">Prototipo 2</w:t>
            </w:r>
          </w:p>
        </w:tc>
        <w:tc>
          <w:tcPr>
            <w:tcW w:w="2400" w:type="dxa"/>
            <w:vAlign w:val="top"/>
          </w:tcPr>
          <w:p>
            <w:pPr>
              <w:pStyle w:val="TableText"/>
              <w:spacing w:before="40" w:after="40" w:line="240" w:lineRule="auto"/>
              <w:jc w:val="left"/>
            </w:pPr>
            <w:r>
              <w:rPr>
                <w:sz w:val="20"/>
                <w:szCs w:val="20"/>
              </w:rPr>
              <w:t xml:space="preserve">Ejecución instrumentada en el laboratorio del Servicio de Impuestos Nacionales</w:t>
            </w:r>
          </w:p>
        </w:tc>
        <w:tc>
          <w:tcPr>
            <w:tcW w:w="2800" w:type="dxa"/>
            <w:vAlign w:val="top"/>
          </w:tcPr>
          <w:p>
            <w:pPr>
              <w:pStyle w:val="TableText"/>
              <w:spacing w:before="40" w:after="40" w:line="240" w:lineRule="auto"/>
              <w:jc w:val="left"/>
            </w:pPr>
            <w:r>
              <w:rPr>
                <w:sz w:val="20"/>
                <w:szCs w:val="20"/>
              </w:rPr>
              <w:t xml:space="preserve">evidencias/v2.0-it1/ y evidencias/v2.1-it2/</w:t>
            </w:r>
          </w:p>
        </w:tc>
        <w:tc>
          <w:tcPr>
            <w:tcW w:w="2260" w:type="dxa"/>
            <w:vAlign w:val="top"/>
          </w:tcPr>
          <w:p>
            <w:pPr>
              <w:pStyle w:val="TableText"/>
              <w:spacing w:before="40" w:after="40" w:line="240" w:lineRule="auto"/>
              <w:jc w:val="left"/>
            </w:pPr>
            <w:r>
              <w:rPr>
                <w:sz w:val="20"/>
                <w:szCs w:val="20"/>
              </w:rPr>
              <w:t xml:space="preserve">Verificada sobre archivos de evidencia</w:t>
            </w:r>
          </w:p>
        </w:tc>
      </w:tr>
    </w:tbl>
    <w:p>
      <w:pPr>
        <w:pStyle w:val="TableNote"/>
        <w:spacing w:before="60" w:after="240" w:line="240" w:lineRule="auto"/>
      </w:pPr>
      <w:r>
        <w:rPr>
          <w:sz w:val="20"/>
          <w:szCs w:val="20"/>
        </w:rPr>
        <w:t xml:space="preserve">Nota. </w:t>
      </w:r>
      <w:r>
        <w:rPr>
          <w:sz w:val="20"/>
          <w:szCs w:val="20"/>
        </w:rPr>
        <w:t xml:space="preserve">La muestra de la línea base institucional y del resultado posterior comprende treinta respondentes, veinte del Servicio de Impuestos Nacionales y diez de Libélula. Los bloques de los dos prototipos proceden de los archivos de evidencia del repositorio, verificados escenario por escenario.</w:t>
      </w:r>
    </w:p>
    <w:p>
      <w:pPr>
        <w:pStyle w:val="Normal"/>
        <w:spacing w:after="0" w:line="480" w:lineRule="auto"/>
        <w:ind w:firstLine="720"/>
        <w:jc w:val="both"/>
      </w:pPr>
      <w:r>
        <w:t xml:space="preserve">La lectura de los resultados obedece a dos reglas que separan los bloques de datos según la naturaleza de la medida que cada uno contiene. La primera establece que los dos bloques institucionales responden a la pregunta de cuánto mide la organización, de manera que solo ellos admiten una comparación directa entre sí, mientras que la segunda establece que los dos bloques de laboratorio responden a la pregunta de qué detecta y qué ejecuta el señuelo y no comparten eje con los anteriores.</w:t>
      </w:r>
    </w:p>
    <w:p>
      <w:pPr>
        <w:pStyle w:val="Normal"/>
        <w:spacing w:after="0" w:line="480" w:lineRule="auto"/>
        <w:ind w:firstLine="720"/>
        <w:jc w:val="both"/>
      </w:pPr>
      <w:r>
        <w:t xml:space="preserve">El tablero que acompaña este capítulo respeta esa separación y presenta cada bloque en un apartado propio, enlazados por la metodología que ambos comparten. La verificación escenario por escenario, que ocurre dentro de cada laboratorio, constituye el nexo que permite leer los cuatro bloques como un cuerpo único de resultados.</w:t>
      </w:r>
    </w:p>
    <w:p>
      <w:pPr>
        <w:pStyle w:val="Heading1"/>
        <w:keepNext/>
        <w:spacing w:before="360" w:after="120" w:line="240" w:lineRule="auto"/>
        <w:jc w:val="left"/>
        <w:outlineLvl w:val="0"/>
      </w:pPr>
      <w:r>
        <w:rPr>
          <w:b/>
          <w:bCs/>
        </w:rPr>
        <w:t xml:space="preserve">2. Línea base institucional</w:t>
      </w:r>
    </w:p>
    <w:p>
      <w:pPr>
        <w:pStyle w:val="Normal"/>
        <w:spacing w:after="0" w:line="480" w:lineRule="auto"/>
        <w:ind w:firstLine="720"/>
        <w:jc w:val="both"/>
      </w:pPr>
      <w:r>
        <w:t xml:space="preserve">Treinta personas responden el instrumento de la medición inicial, que recoge la madurez declarada por la organización antes de la intervención de la metodología. El instrumento comprende catorce subdimensiones y cuarenta y dos reactivos, de manera que el resultado global se sitúa en el nivel Gestionado de la escala de cortes que define la ficha técnica.</w:t>
      </w:r>
    </w:p>
    <w:p>
      <w:pPr>
        <w:pStyle w:val="Normal"/>
        <w:spacing w:after="0" w:line="480" w:lineRule="auto"/>
        <w:ind w:firstLine="720"/>
        <w:jc w:val="both"/>
      </w:pPr>
      <w:r>
        <w:t xml:space="preserve">El alfa de Cronbach del instrumento alcanza 0,868989, un valor que sitúa la escala en el rango excelente de consistencia interna. La Figura 1 sitúa la línea base y el resultado posterior sobre la escala de cortes, de modo que el lector appreciate el punto de partida y el punto de llegada dentro de la misma referencia.</w:t>
      </w:r>
    </w:p>
    <w:p>
      <w:pPr>
        <w:pStyle w:val="FigureCaption"/>
        <w:keepNext/>
        <w:spacing w:before="240" w:after="0" w:line="240" w:lineRule="auto"/>
      </w:pPr>
      <w:r>
        <w:rPr>
          <w:b/>
          <w:bCs/>
          <w:i w:val="false"/>
          <w:iCs w:val="false"/>
          <w:sz w:val="22"/>
          <w:szCs w:val="22"/>
        </w:rPr>
        <w:t xml:space="preserve">Figura 1</w:t>
      </w:r>
    </w:p>
    <w:p>
      <w:pPr>
        <w:pStyle w:val="FigureCaption"/>
        <w:keepNext/>
        <w:spacing w:before="0" w:after="120" w:line="240" w:lineRule="auto"/>
      </w:pPr>
      <w:r>
        <w:rPr>
          <w:sz w:val="22"/>
          <w:szCs w:val="22"/>
        </w:rPr>
        <w:t xml:space="preserve">Escala de cortes de la ficha técnica con la línea base institucional y el resultado posterior</w:t>
      </w:r>
    </w:p>
    <w:p>
      <w:pPr>
        <w:pStyle w:val="FigureImage"/>
        <w:spacing w:before="120" w:after="60" w:line="240" w:lineRule="auto"/>
        <w:jc w:val="center"/>
      </w:pPr>
      <w:r>
        <w:drawing>
          <wp:inline xmlns:wp="http://schemas.openxmlformats.org/drawingml/2006/wordprocessingDrawing" distT="0" distB="0" distL="0" distR="0">
            <wp:extent cx="5943600" cy="1295400"/>
            <wp:effectExtent l="0" t="0" r="0" b="0"/>
            <wp:docPr id="1" name="Figura 1" descr="Escala de cortes de la ficha técnica con cuatro niveles, la línea base en 52,70 % y el resultado posterior en 99,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cala-cortes.png"/>
                    <pic:cNvPicPr/>
                  </pic:nvPicPr>
                  <pic:blipFill>
                    <a:blip xmlns:r="http://schemas.openxmlformats.org/officeDocument/2006/relationships" r:embed="R8bf6d654cf434e6b"/>
                    <a:stretch>
                      <a:fillRect/>
                    </a:stretch>
                  </pic:blipFill>
                  <pic:spPr>
                    <a:xfrm>
                      <a:off x="0" y="0"/>
                      <a:ext cx="5943600" cy="129540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escala de cortes define cuatro niveles. La línea base de 52,70 % se sitúa en el nivel Gestionado y el resultado posterior de 99,09 % en el nivel Optimizado. </w:t>
      </w:r>
      <w:r>
        <w:rPr>
          <w:i/>
          <w:iCs/>
          <w:sz w:val="20"/>
          <w:szCs w:val="20"/>
        </w:rPr>
        <w:t xml:space="preserve">n</w:t>
      </w:r>
      <w:r>
        <w:rPr>
          <w:sz w:val="20"/>
          <w:szCs w:val="20"/>
        </w:rPr>
        <w:t xml:space="preserve"> = 30 respondentes; alfa de Cronbach = 0,868989. Los datos proceden del libro de resultados.</w:t>
      </w:r>
    </w:p>
    <w:p>
      <w:pPr>
        <w:pStyle w:val="Normal"/>
        <w:spacing w:after="0" w:line="480" w:lineRule="auto"/>
        <w:ind w:firstLine="720"/>
        <w:jc w:val="both"/>
      </w:pPr>
      <w:r>
        <w:t xml:space="preserve">La Tabla 2 presenta los catorce instrumentos con su número, su grupo temático y sus valores antes y después de la intervención. La distribución de la línea base es homogénea, de manera que los cuatro grupos temáticos se sitúan en el mismo nivel y con valores próximos entre sí, sin que ningún instrumento configure un caso aislado.</w:t>
      </w:r>
    </w:p>
    <w:p>
      <w:pPr>
        <w:pStyle w:val="TableTitle"/>
        <w:keepNext/>
        <w:spacing w:before="240" w:after="0" w:line="240" w:lineRule="auto"/>
      </w:pPr>
      <w:r>
        <w:rPr>
          <w:b/>
          <w:bCs/>
          <w:i w:val="false"/>
          <w:iCs w:val="false"/>
          <w:sz w:val="22"/>
          <w:szCs w:val="22"/>
        </w:rPr>
        <w:t xml:space="preserve">Tabla 2</w:t>
      </w:r>
    </w:p>
    <w:p>
      <w:pPr>
        <w:pStyle w:val="TableTitle"/>
        <w:keepNext/>
        <w:spacing w:before="0" w:after="80" w:line="240" w:lineRule="auto"/>
      </w:pPr>
      <w:r>
        <w:rPr>
          <w:sz w:val="22"/>
          <w:szCs w:val="22"/>
        </w:rPr>
        <w:t xml:space="preserve">Madurez de los catorce instrumentos antes y después de la intervención</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900"/>
        <w:gridCol w:w="560"/>
        <w:gridCol w:w="2240"/>
        <w:gridCol w:w="1120"/>
        <w:gridCol w:w="980"/>
        <w:gridCol w:w="1280"/>
        <w:gridCol w:w="880"/>
        <w:gridCol w:w="1400"/>
      </w:tblGrid>
      <w:tr>
        <w:trPr>
          <w:tblHeader/>
          <w:cantSplit/>
        </w:trPr>
        <w:tc>
          <w:tcPr>
            <w:tcW w:w="900" w:type="dxa"/>
            <w:tcBorders>
              <w:bottom w:val="single" w:color="000000" w:sz="6" w:space="0"/>
            </w:tcBorders>
            <w:vAlign w:val="top"/>
          </w:tcPr>
          <w:p>
            <w:pPr>
              <w:pStyle w:val="TableText"/>
              <w:spacing w:before="40" w:after="40" w:line="240" w:lineRule="auto"/>
              <w:jc w:val="left"/>
            </w:pPr>
            <w:r>
              <w:rPr>
                <w:b/>
                <w:bCs/>
                <w:sz w:val="20"/>
                <w:szCs w:val="20"/>
              </w:rPr>
              <w:t xml:space="preserve">Grupo</w:t>
            </w:r>
          </w:p>
        </w:tc>
        <w:tc>
          <w:tcPr>
            <w:tcW w:w="560" w:type="dxa"/>
            <w:tcBorders>
              <w:bottom w:val="single" w:color="000000" w:sz="6" w:space="0"/>
            </w:tcBorders>
            <w:vAlign w:val="top"/>
          </w:tcPr>
          <w:p>
            <w:pPr>
              <w:pStyle w:val="TableText"/>
              <w:spacing w:before="40" w:after="40" w:line="240" w:lineRule="auto"/>
              <w:jc w:val="right"/>
            </w:pPr>
            <w:r>
              <w:rPr>
                <w:b/>
                <w:bCs/>
                <w:sz w:val="20"/>
                <w:szCs w:val="20"/>
              </w:rPr>
              <w:t xml:space="preserve">N.º</w:t>
            </w:r>
          </w:p>
        </w:tc>
        <w:tc>
          <w:tcPr>
            <w:tcW w:w="2240" w:type="dxa"/>
            <w:tcBorders>
              <w:bottom w:val="single" w:color="000000" w:sz="6" w:space="0"/>
            </w:tcBorders>
            <w:vAlign w:val="top"/>
          </w:tcPr>
          <w:p>
            <w:pPr>
              <w:pStyle w:val="TableText"/>
              <w:spacing w:before="40" w:after="40" w:line="240" w:lineRule="auto"/>
              <w:jc w:val="left"/>
            </w:pPr>
            <w:r>
              <w:rPr>
                <w:b/>
                <w:bCs/>
                <w:sz w:val="20"/>
                <w:szCs w:val="20"/>
              </w:rPr>
              <w:t xml:space="preserve">Subdimensión</w:t>
            </w:r>
          </w:p>
        </w:tc>
        <w:tc>
          <w:tcPr>
            <w:tcW w:w="1120" w:type="dxa"/>
            <w:tcBorders>
              <w:bottom w:val="single" w:color="000000" w:sz="6" w:space="0"/>
            </w:tcBorders>
            <w:vAlign w:val="top"/>
          </w:tcPr>
          <w:p>
            <w:pPr>
              <w:pStyle w:val="TableText"/>
              <w:spacing w:before="40" w:after="40" w:line="240" w:lineRule="auto"/>
              <w:jc w:val="right"/>
            </w:pPr>
            <w:r>
              <w:rPr>
                <w:b/>
                <w:bCs/>
                <w:sz w:val="20"/>
                <w:szCs w:val="20"/>
              </w:rPr>
              <w:t xml:space="preserve">Reactivos</w:t>
            </w:r>
          </w:p>
        </w:tc>
        <w:tc>
          <w:tcPr>
            <w:tcW w:w="980" w:type="dxa"/>
            <w:tcBorders>
              <w:bottom w:val="single" w:color="000000" w:sz="6" w:space="0"/>
            </w:tcBorders>
            <w:vAlign w:val="top"/>
          </w:tcPr>
          <w:p>
            <w:pPr>
              <w:pStyle w:val="TableText"/>
              <w:spacing w:before="40" w:after="40" w:line="240" w:lineRule="auto"/>
              <w:jc w:val="right"/>
            </w:pPr>
            <w:r>
              <w:rPr>
                <w:b/>
                <w:bCs/>
                <w:sz w:val="20"/>
                <w:szCs w:val="20"/>
              </w:rPr>
              <w:t xml:space="preserve">Línea base</w:t>
            </w:r>
          </w:p>
        </w:tc>
        <w:tc>
          <w:tcPr>
            <w:tcW w:w="1280" w:type="dxa"/>
            <w:tcBorders>
              <w:bottom w:val="single" w:color="000000" w:sz="6" w:space="0"/>
            </w:tcBorders>
            <w:vAlign w:val="top"/>
          </w:tcPr>
          <w:p>
            <w:pPr>
              <w:pStyle w:val="TableText"/>
              <w:spacing w:before="40" w:after="40" w:line="240" w:lineRule="auto"/>
              <w:jc w:val="right"/>
            </w:pPr>
            <w:r>
              <w:rPr>
                <w:b/>
                <w:bCs/>
                <w:sz w:val="20"/>
                <w:szCs w:val="20"/>
              </w:rPr>
              <w:t xml:space="preserve">Resultado posterior</w:t>
            </w:r>
          </w:p>
        </w:tc>
        <w:tc>
          <w:tcPr>
            <w:tcW w:w="880" w:type="dxa"/>
            <w:tcBorders>
              <w:bottom w:val="single" w:color="000000" w:sz="6" w:space="0"/>
            </w:tcBorders>
            <w:vAlign w:val="top"/>
          </w:tcPr>
          <w:p>
            <w:pPr>
              <w:pStyle w:val="TableText"/>
              <w:spacing w:before="40" w:after="40" w:line="240" w:lineRule="auto"/>
              <w:jc w:val="right"/>
            </w:pPr>
            <w:r>
              <w:rPr>
                <w:b/>
                <w:bCs/>
                <w:sz w:val="20"/>
                <w:szCs w:val="20"/>
              </w:rPr>
              <w:t xml:space="preserve">Mejora (pp)</w:t>
            </w:r>
          </w:p>
        </w:tc>
        <w:tc>
          <w:tcPr>
            <w:tcW w:w="1400" w:type="dxa"/>
            <w:tcBorders>
              <w:bottom w:val="single" w:color="000000" w:sz="6" w:space="0"/>
            </w:tcBorders>
            <w:vAlign w:val="top"/>
          </w:tcPr>
          <w:p>
            <w:pPr>
              <w:pStyle w:val="TableText"/>
              <w:spacing w:before="40" w:after="40" w:line="240" w:lineRule="auto"/>
              <w:jc w:val="left"/>
            </w:pPr>
            <w:r>
              <w:rPr>
                <w:b/>
                <w:bCs/>
                <w:sz w:val="20"/>
                <w:szCs w:val="20"/>
              </w:rPr>
              <w:t xml:space="preserve">Nivel</w:t>
            </w:r>
          </w:p>
        </w:tc>
      </w:tr>
      <w:tr>
        <w:trPr>
          <w:cantSplit/>
        </w:trPr>
        <w:tc>
          <w:tcPr>
            <w:tcW w:w="900" w:type="dxa"/>
            <w:vAlign w:val="top"/>
          </w:tcPr>
          <w:p>
            <w:pPr>
              <w:pStyle w:val="TableText"/>
              <w:spacing w:before="40" w:after="40" w:line="240" w:lineRule="auto"/>
              <w:jc w:val="left"/>
            </w:pPr>
            <w:r>
              <w:rPr>
                <w:sz w:val="20"/>
                <w:szCs w:val="20"/>
              </w:rPr>
              <w:t xml:space="preserve">G1</w:t>
            </w:r>
          </w:p>
        </w:tc>
        <w:tc>
          <w:tcPr>
            <w:tcW w:w="560" w:type="dxa"/>
            <w:vAlign w:val="top"/>
          </w:tcPr>
          <w:p>
            <w:pPr>
              <w:pStyle w:val="TableText"/>
              <w:spacing w:before="40" w:after="40" w:line="240" w:lineRule="auto"/>
              <w:jc w:val="right"/>
            </w:pPr>
            <w:r>
              <w:rPr>
                <w:sz w:val="20"/>
                <w:szCs w:val="20"/>
              </w:rPr>
              <w:t xml:space="preserve">1</w:t>
            </w:r>
          </w:p>
        </w:tc>
        <w:tc>
          <w:tcPr>
            <w:tcW w:w="2240" w:type="dxa"/>
            <w:vAlign w:val="top"/>
          </w:tcPr>
          <w:p>
            <w:pPr>
              <w:pStyle w:val="TableText"/>
              <w:spacing w:before="40" w:after="40" w:line="240" w:lineRule="auto"/>
              <w:jc w:val="left"/>
            </w:pPr>
            <w:r>
              <w:rPr>
                <w:sz w:val="20"/>
                <w:szCs w:val="20"/>
              </w:rPr>
              <w:t xml:space="preserve">Detección y registro de eventos</w:t>
            </w:r>
          </w:p>
        </w:tc>
        <w:tc>
          <w:tcPr>
            <w:tcW w:w="1120" w:type="dxa"/>
            <w:vAlign w:val="top"/>
          </w:tcPr>
          <w:p>
            <w:pPr>
              <w:pStyle w:val="TableText"/>
              <w:spacing w:before="40" w:after="40" w:line="240" w:lineRule="auto"/>
              <w:jc w:val="right"/>
            </w:pPr>
            <w:r>
              <w:rPr>
                <w:sz w:val="20"/>
                <w:szCs w:val="20"/>
              </w:rPr>
              <w:t xml:space="preserve">4</w:t>
            </w:r>
          </w:p>
        </w:tc>
        <w:tc>
          <w:tcPr>
            <w:tcW w:w="980" w:type="dxa"/>
            <w:vAlign w:val="top"/>
          </w:tcPr>
          <w:p>
            <w:pPr>
              <w:pStyle w:val="TableText"/>
              <w:spacing w:before="40" w:after="40" w:line="240" w:lineRule="auto"/>
              <w:jc w:val="right"/>
            </w:pPr>
            <w:r>
              <w:rPr>
                <w:sz w:val="20"/>
                <w:szCs w:val="20"/>
              </w:rPr>
              <w:t xml:space="preserve">48,54 %</w:t>
            </w:r>
          </w:p>
        </w:tc>
        <w:tc>
          <w:tcPr>
            <w:tcW w:w="1280" w:type="dxa"/>
            <w:vAlign w:val="top"/>
          </w:tcPr>
          <w:p>
            <w:pPr>
              <w:pStyle w:val="TableText"/>
              <w:spacing w:before="40" w:after="40" w:line="240" w:lineRule="auto"/>
              <w:jc w:val="right"/>
            </w:pPr>
            <w:r>
              <w:rPr>
                <w:sz w:val="20"/>
                <w:szCs w:val="20"/>
              </w:rPr>
              <w:t xml:space="preserve">98,33 %</w:t>
            </w:r>
          </w:p>
        </w:tc>
        <w:tc>
          <w:tcPr>
            <w:tcW w:w="880" w:type="dxa"/>
            <w:vAlign w:val="top"/>
          </w:tcPr>
          <w:p>
            <w:pPr>
              <w:pStyle w:val="TableText"/>
              <w:spacing w:before="40" w:after="40" w:line="240" w:lineRule="auto"/>
              <w:jc w:val="right"/>
            </w:pPr>
            <w:r>
              <w:rPr>
                <w:sz w:val="20"/>
                <w:szCs w:val="20"/>
              </w:rPr>
              <w:t xml:space="preserve">+49,79</w:t>
            </w:r>
          </w:p>
        </w:tc>
        <w:tc>
          <w:tcPr>
            <w:tcW w:w="1400" w:type="dxa"/>
            <w:vAlign w:val="top"/>
          </w:tcPr>
          <w:p>
            <w:pPr>
              <w:pStyle w:val="TableText"/>
              <w:spacing w:before="40" w:after="40" w:line="240" w:lineRule="auto"/>
              <w:jc w:val="left"/>
            </w:pPr>
            <w:r>
              <w:rPr>
                <w:sz w:val="20"/>
                <w:szCs w:val="20"/>
              </w:rPr>
              <w:t xml:space="preserve">Básico → Optimizado</w:t>
            </w:r>
          </w:p>
        </w:tc>
      </w:tr>
      <w:tr>
        <w:trPr>
          <w:cantSplit/>
        </w:trPr>
        <w:tc>
          <w:tcPr>
            <w:tcW w:w="900" w:type="dxa"/>
            <w:vAlign w:val="top"/>
          </w:tcPr>
          <w:p>
            <w:pPr>
              <w:pStyle w:val="TableText"/>
              <w:spacing w:before="40" w:after="40" w:line="240" w:lineRule="auto"/>
              <w:jc w:val="left"/>
            </w:pPr>
            <w:r>
              <w:rPr>
                <w:sz w:val="20"/>
                <w:szCs w:val="20"/>
              </w:rPr>
              <w:t xml:space="preserve">G1</w:t>
            </w:r>
          </w:p>
        </w:tc>
        <w:tc>
          <w:tcPr>
            <w:tcW w:w="560" w:type="dxa"/>
            <w:vAlign w:val="top"/>
          </w:tcPr>
          <w:p>
            <w:pPr>
              <w:pStyle w:val="TableText"/>
              <w:spacing w:before="40" w:after="40" w:line="240" w:lineRule="auto"/>
              <w:jc w:val="right"/>
            </w:pPr>
            <w:r>
              <w:rPr>
                <w:sz w:val="20"/>
                <w:szCs w:val="20"/>
              </w:rPr>
              <w:t xml:space="preserve">2</w:t>
            </w:r>
          </w:p>
        </w:tc>
        <w:tc>
          <w:tcPr>
            <w:tcW w:w="2240" w:type="dxa"/>
            <w:vAlign w:val="top"/>
          </w:tcPr>
          <w:p>
            <w:pPr>
              <w:pStyle w:val="TableText"/>
              <w:spacing w:before="40" w:after="40" w:line="240" w:lineRule="auto"/>
              <w:jc w:val="left"/>
            </w:pPr>
            <w:r>
              <w:rPr>
                <w:sz w:val="20"/>
                <w:szCs w:val="20"/>
              </w:rPr>
              <w:t xml:space="preserve">Clasificación y evidencia de incidentes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56,94 %</w:t>
            </w:r>
          </w:p>
        </w:tc>
        <w:tc>
          <w:tcPr>
            <w:tcW w:w="1280" w:type="dxa"/>
            <w:vAlign w:val="top"/>
          </w:tcPr>
          <w:p>
            <w:pPr>
              <w:pStyle w:val="TableText"/>
              <w:spacing w:before="40" w:after="40" w:line="240" w:lineRule="auto"/>
              <w:jc w:val="right"/>
            </w:pPr>
            <w:r>
              <w:rPr>
                <w:sz w:val="20"/>
                <w:szCs w:val="20"/>
              </w:rPr>
              <w:t xml:space="preserve">98,89 %</w:t>
            </w:r>
          </w:p>
        </w:tc>
        <w:tc>
          <w:tcPr>
            <w:tcW w:w="880" w:type="dxa"/>
            <w:vAlign w:val="top"/>
          </w:tcPr>
          <w:p>
            <w:pPr>
              <w:pStyle w:val="TableText"/>
              <w:spacing w:before="40" w:after="40" w:line="240" w:lineRule="auto"/>
              <w:jc w:val="right"/>
            </w:pPr>
            <w:r>
              <w:rPr>
                <w:sz w:val="20"/>
                <w:szCs w:val="20"/>
              </w:rPr>
              <w:t xml:space="preserve">+41,94</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G1</w:t>
            </w:r>
          </w:p>
        </w:tc>
        <w:tc>
          <w:tcPr>
            <w:tcW w:w="560" w:type="dxa"/>
            <w:vAlign w:val="top"/>
          </w:tcPr>
          <w:p>
            <w:pPr>
              <w:pStyle w:val="TableText"/>
              <w:spacing w:before="40" w:after="40" w:line="240" w:lineRule="auto"/>
              <w:jc w:val="right"/>
            </w:pPr>
            <w:r>
              <w:rPr>
                <w:sz w:val="20"/>
                <w:szCs w:val="20"/>
              </w:rPr>
              <w:t xml:space="preserve">3</w:t>
            </w:r>
          </w:p>
        </w:tc>
        <w:tc>
          <w:tcPr>
            <w:tcW w:w="2240" w:type="dxa"/>
            <w:vAlign w:val="top"/>
          </w:tcPr>
          <w:p>
            <w:pPr>
              <w:pStyle w:val="TableText"/>
              <w:spacing w:before="40" w:after="40" w:line="240" w:lineRule="auto"/>
              <w:jc w:val="left"/>
            </w:pPr>
            <w:r>
              <w:rPr>
                <w:sz w:val="20"/>
                <w:szCs w:val="20"/>
              </w:rPr>
              <w:t xml:space="preserve">Respuesta y tiempos de atención</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58,06 %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+41,11</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G1</w:t>
            </w:r>
          </w:p>
        </w:tc>
        <w:tc>
          <w:tcPr>
            <w:tcW w:w="560" w:type="dxa"/>
            <w:vAlign w:val="top"/>
          </w:tcPr>
          <w:p>
            <w:pPr>
              <w:pStyle w:val="TableText"/>
              <w:spacing w:before="40" w:after="40" w:line="240" w:lineRule="auto"/>
              <w:jc w:val="right"/>
            </w:pPr>
            <w:r>
              <w:rPr>
                <w:sz w:val="20"/>
                <w:szCs w:val="20"/>
              </w:rPr>
              <w:t xml:space="preserve">4</w:t>
            </w:r>
          </w:p>
        </w:tc>
        <w:tc>
          <w:tcPr>
            <w:tcW w:w="2240" w:type="dxa"/>
            <w:vAlign w:val="top"/>
          </w:tcPr>
          <w:p>
            <w:pPr>
              <w:pStyle w:val="TableText"/>
              <w:spacing w:before="40" w:after="40" w:line="240" w:lineRule="auto"/>
              <w:jc w:val="left"/>
            </w:pPr>
            <w:r>
              <w:rPr>
                <w:sz w:val="20"/>
                <w:szCs w:val="20"/>
              </w:rPr>
              <w:t xml:space="preserve">Lecciones aprendidas y mejora</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49,17 %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+50,00</w:t>
            </w:r>
          </w:p>
        </w:tc>
        <w:tc>
          <w:tcPr>
            <w:tcW w:w="1400" w:type="dxa"/>
            <w:vAlign w:val="top"/>
          </w:tcPr>
          <w:p>
            <w:pPr>
              <w:pStyle w:val="TableText"/>
              <w:spacing w:before="40" w:after="40" w:line="240" w:lineRule="auto"/>
              <w:jc w:val="left"/>
            </w:pPr>
            <w:r>
              <w:rPr>
                <w:sz w:val="20"/>
                <w:szCs w:val="20"/>
              </w:rPr>
              <w:t xml:space="preserve">Básico → Optimizado</w:t>
            </w:r>
          </w:p>
        </w:tc>
      </w:tr>
      <w:tr>
        <w:trPr>
          <w:cantSplit/>
        </w:trPr>
        <w:tc>
          <w:tcPr>
            <w:tcW w:w="900" w:type="dxa"/>
            <w:vAlign w:val="top"/>
          </w:tcPr>
          <w:p>
            <w:pPr>
              <w:pStyle w:val="TableText"/>
              <w:spacing w:before="40" w:after="40" w:line="240" w:lineRule="auto"/>
              <w:jc w:val="left"/>
            </w:pPr>
            <w:r>
              <w:rPr>
                <w:sz w:val="20"/>
                <w:szCs w:val="20"/>
              </w:rPr>
              <w:t xml:space="preserve">G2</w:t>
            </w:r>
          </w:p>
        </w:tc>
        <w:tc>
          <w:tcPr>
            <w:tcW w:w="560" w:type="dxa"/>
            <w:vAlign w:val="top"/>
          </w:tcPr>
          <w:p>
            <w:pPr>
              <w:pStyle w:val="TableText"/>
              <w:spacing w:before="40" w:after="40" w:line="240" w:lineRule="auto"/>
              <w:jc w:val="right"/>
            </w:pPr>
            <w:r>
              <w:rPr>
                <w:sz w:val="20"/>
                <w:szCs w:val="20"/>
              </w:rPr>
              <w:t xml:space="preserve">5</w:t>
            </w:r>
          </w:p>
        </w:tc>
        <w:tc>
          <w:tcPr>
            <w:tcW w:w="2240" w:type="dxa"/>
            <w:vAlign w:val="top"/>
          </w:tcPr>
          <w:p>
            <w:pPr>
              <w:pStyle w:val="TableText"/>
              <w:spacing w:before="40" w:after="40" w:line="240" w:lineRule="auto"/>
              <w:jc w:val="left"/>
            </w:pPr>
            <w:r>
              <w:rPr>
                <w:sz w:val="20"/>
                <w:szCs w:val="20"/>
              </w:rPr>
              <w:t xml:space="preserve">Integridad y custodia de evidencias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57,22 %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+41,94</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G2</w:t>
            </w:r>
          </w:p>
        </w:tc>
        <w:tc>
          <w:tcPr>
            <w:tcW w:w="560" w:type="dxa"/>
            <w:vAlign w:val="top"/>
          </w:tcPr>
          <w:p>
            <w:pPr>
              <w:pStyle w:val="TableText"/>
              <w:spacing w:before="40" w:after="40" w:line="240" w:lineRule="auto"/>
              <w:jc w:val="right"/>
            </w:pPr>
            <w:r>
              <w:rPr>
                <w:sz w:val="20"/>
                <w:szCs w:val="20"/>
              </w:rPr>
              <w:t xml:space="preserve">6</w:t>
            </w:r>
          </w:p>
        </w:tc>
        <w:tc>
          <w:tcPr>
            <w:tcW w:w="2240" w:type="dxa"/>
            <w:vAlign w:val="top"/>
          </w:tcPr>
          <w:p>
            <w:pPr>
              <w:pStyle w:val="TableText"/>
              <w:spacing w:before="40" w:after="40" w:line="240" w:lineRule="auto"/>
              <w:jc w:val="left"/>
            </w:pPr>
            <w:r>
              <w:rPr>
                <w:sz w:val="20"/>
                <w:szCs w:val="20"/>
              </w:rPr>
              <w:t xml:space="preserve">Respaldos y restauración de evidencias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58,33 %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+40,83</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G2</w:t>
            </w:r>
          </w:p>
        </w:tc>
        <w:tc>
          <w:tcPr>
            <w:tcW w:w="560" w:type="dxa"/>
            <w:vAlign w:val="top"/>
          </w:tcPr>
          <w:p>
            <w:pPr>
              <w:pStyle w:val="TableText"/>
              <w:spacing w:before="40" w:after="40" w:line="240" w:lineRule="auto"/>
              <w:jc w:val="right"/>
            </w:pPr>
            <w:r>
              <w:rPr>
                <w:sz w:val="20"/>
                <w:szCs w:val="20"/>
              </w:rPr>
              <w:t xml:space="preserve">7</w:t>
            </w:r>
          </w:p>
        </w:tc>
        <w:tc>
          <w:tcPr>
            <w:tcW w:w="2240" w:type="dxa"/>
            <w:vAlign w:val="top"/>
          </w:tcPr>
          <w:p>
            <w:pPr>
              <w:pStyle w:val="TableText"/>
              <w:spacing w:before="40" w:after="40" w:line="240" w:lineRule="auto"/>
              <w:jc w:val="left"/>
            </w:pPr>
            <w:r>
              <w:rPr>
                <w:sz w:val="20"/>
                <w:szCs w:val="20"/>
              </w:rPr>
              <w:t xml:space="preserve">Retención y acceso a evidencias</w:t>
            </w:r>
          </w:p>
        </w:tc>
        <w:tc>
          <w:tcPr>
            <w:tcW w:w="1120" w:type="dxa"/>
            <w:vAlign w:val="top"/>
          </w:tcPr>
          <w:p>
            <w:pPr>
              <w:pStyle w:val="TableText"/>
              <w:spacing w:before="40" w:after="40" w:line="240" w:lineRule="auto"/>
              <w:jc w:val="right"/>
            </w:pPr>
            <w:r>
              <w:rPr>
                <w:sz w:val="20"/>
                <w:szCs w:val="20"/>
              </w:rPr>
              <w:t xml:space="preserve">2</w:t>
            </w:r>
          </w:p>
        </w:tc>
        <w:tc>
          <w:tcPr>
            <w:tcW w:w="980" w:type="dxa"/>
            <w:vAlign w:val="top"/>
          </w:tcPr>
          <w:p>
            <w:pPr>
              <w:pStyle w:val="TableText"/>
              <w:spacing w:before="40" w:after="40" w:line="240" w:lineRule="auto"/>
              <w:jc w:val="right"/>
            </w:pPr>
            <w:r>
              <w:rPr>
                <w:sz w:val="20"/>
                <w:szCs w:val="20"/>
              </w:rPr>
              <w:t xml:space="preserve">47,92 %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+51,25</w:t>
            </w:r>
          </w:p>
        </w:tc>
        <w:tc>
          <w:tcPr>
            <w:tcW w:w="1400" w:type="dxa"/>
            <w:vAlign w:val="top"/>
          </w:tcPr>
          <w:p>
            <w:pPr>
              <w:pStyle w:val="TableText"/>
              <w:spacing w:before="40" w:after="40" w:line="240" w:lineRule="auto"/>
              <w:jc w:val="left"/>
            </w:pPr>
            <w:r>
              <w:rPr>
                <w:sz w:val="20"/>
                <w:szCs w:val="20"/>
              </w:rPr>
              <w:t xml:space="preserve">Básico → Optimizado</w:t>
            </w:r>
          </w:p>
        </w:tc>
      </w:tr>
      <w:tr>
        <w:trPr>
          <w:cantSplit/>
        </w:trPr>
        <w:tc>
          <w:tcPr>
            <w:tcW w:w="900" w:type="dxa"/>
            <w:vAlign w:val="top"/>
          </w:tcPr>
          <w:p>
            <w:pPr>
              <w:pStyle w:val="TableText"/>
              <w:spacing w:before="40" w:after="40" w:line="240" w:lineRule="auto"/>
              <w:jc w:val="left"/>
            </w:pPr>
            <w:r>
              <w:rPr>
                <w:sz w:val="20"/>
                <w:szCs w:val="20"/>
              </w:rPr>
              <w:t xml:space="preserve">G3</w:t>
            </w:r>
          </w:p>
        </w:tc>
        <w:tc>
          <w:tcPr>
            <w:tcW w:w="560" w:type="dxa"/>
            <w:vAlign w:val="top"/>
          </w:tcPr>
          <w:p>
            <w:pPr>
              <w:pStyle w:val="TableText"/>
              <w:spacing w:before="40" w:after="40" w:line="240" w:lineRule="auto"/>
              <w:jc w:val="right"/>
            </w:pPr>
            <w:r>
              <w:rPr>
                <w:sz w:val="20"/>
                <w:szCs w:val="20"/>
              </w:rPr>
              <w:t xml:space="preserve">8</w:t>
            </w:r>
          </w:p>
        </w:tc>
        <w:tc>
          <w:tcPr>
            <w:tcW w:w="2240" w:type="dxa"/>
            <w:vAlign w:val="top"/>
          </w:tcPr>
          <w:p>
            <w:pPr>
              <w:pStyle w:val="TableText"/>
              <w:spacing w:before="40" w:after="40" w:line="240" w:lineRule="auto"/>
              <w:jc w:val="left"/>
            </w:pPr>
            <w:r>
              <w:rPr>
                <w:sz w:val="20"/>
                <w:szCs w:val="20"/>
              </w:rPr>
              <w:t xml:space="preserve">Accesos y mínimos privilegios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49,72 %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+49,44</w:t>
            </w:r>
          </w:p>
        </w:tc>
        <w:tc>
          <w:tcPr>
            <w:tcW w:w="1400" w:type="dxa"/>
            <w:vAlign w:val="top"/>
          </w:tcPr>
          <w:p>
            <w:pPr>
              <w:pStyle w:val="TableText"/>
              <w:spacing w:before="40" w:after="40" w:line="240" w:lineRule="auto"/>
              <w:jc w:val="left"/>
            </w:pPr>
            <w:r>
              <w:rPr>
                <w:sz w:val="20"/>
                <w:szCs w:val="20"/>
              </w:rPr>
              <w:t xml:space="preserve">Básico → Optimizado</w:t>
            </w:r>
          </w:p>
        </w:tc>
      </w:tr>
      <w:tr>
        <w:trPr>
          <w:cantSplit/>
        </w:trPr>
        <w:tc>
          <w:tcPr>
            <w:tcW w:w="900" w:type="dxa"/>
            <w:vAlign w:val="top"/>
          </w:tcPr>
          <w:p>
            <w:pPr>
              <w:pStyle w:val="TableText"/>
              <w:spacing w:before="40" w:after="40" w:line="240" w:lineRule="auto"/>
              <w:jc w:val="left"/>
            </w:pPr>
            <w:r>
              <w:rPr>
                <w:sz w:val="20"/>
                <w:szCs w:val="20"/>
              </w:rPr>
              <w:t xml:space="preserve">G3</w:t>
            </w:r>
          </w:p>
        </w:tc>
        <w:tc>
          <w:tcPr>
            <w:tcW w:w="560" w:type="dxa"/>
            <w:vAlign w:val="top"/>
          </w:tcPr>
          <w:p>
            <w:pPr>
              <w:pStyle w:val="TableText"/>
              <w:spacing w:before="40" w:after="40" w:line="240" w:lineRule="auto"/>
              <w:jc w:val="right"/>
            </w:pPr>
            <w:r>
              <w:rPr>
                <w:sz w:val="20"/>
                <w:szCs w:val="20"/>
              </w:rPr>
              <w:t xml:space="preserve">9</w:t>
            </w:r>
          </w:p>
        </w:tc>
        <w:tc>
          <w:tcPr>
            <w:tcW w:w="2240" w:type="dxa"/>
            <w:vAlign w:val="top"/>
          </w:tcPr>
          <w:p>
            <w:pPr>
              <w:pStyle w:val="TableText"/>
              <w:spacing w:before="40" w:after="40" w:line="240" w:lineRule="auto"/>
              <w:jc w:val="left"/>
            </w:pPr>
            <w:r>
              <w:rPr>
                <w:sz w:val="20"/>
                <w:szCs w:val="20"/>
              </w:rPr>
              <w:t xml:space="preserve">Desarrollo seguro y validaciones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53,06 %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+46,11</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G3</w:t>
            </w:r>
          </w:p>
        </w:tc>
        <w:tc>
          <w:tcPr>
            <w:tcW w:w="560" w:type="dxa"/>
            <w:vAlign w:val="top"/>
          </w:tcPr>
          <w:p>
            <w:pPr>
              <w:pStyle w:val="TableText"/>
              <w:spacing w:before="40" w:after="40" w:line="240" w:lineRule="auto"/>
              <w:jc w:val="right"/>
            </w:pPr>
            <w:r>
              <w:rPr>
                <w:sz w:val="20"/>
                <w:szCs w:val="20"/>
              </w:rPr>
              <w:t xml:space="preserve">10</w:t>
            </w:r>
          </w:p>
        </w:tc>
        <w:tc>
          <w:tcPr>
            <w:tcW w:w="2240" w:type="dxa"/>
            <w:vAlign w:val="top"/>
          </w:tcPr>
          <w:p>
            <w:pPr>
              <w:pStyle w:val="TableText"/>
              <w:spacing w:before="40" w:after="40" w:line="240" w:lineRule="auto"/>
              <w:jc w:val="left"/>
            </w:pPr>
            <w:r>
              <w:rPr>
                <w:sz w:val="20"/>
                <w:szCs w:val="20"/>
              </w:rPr>
              <w:t xml:space="preserve">Gestión de vulnerabilidades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50,56 %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+48,61</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G3</w:t>
            </w:r>
          </w:p>
        </w:tc>
        <w:tc>
          <w:tcPr>
            <w:tcW w:w="560" w:type="dxa"/>
            <w:vAlign w:val="top"/>
          </w:tcPr>
          <w:p>
            <w:pPr>
              <w:pStyle w:val="TableText"/>
              <w:spacing w:before="40" w:after="40" w:line="240" w:lineRule="auto"/>
              <w:jc w:val="right"/>
            </w:pPr>
            <w:r>
              <w:rPr>
                <w:sz w:val="20"/>
                <w:szCs w:val="20"/>
              </w:rPr>
              <w:t xml:space="preserve">11</w:t>
            </w:r>
          </w:p>
        </w:tc>
        <w:tc>
          <w:tcPr>
            <w:tcW w:w="2240" w:type="dxa"/>
            <w:vAlign w:val="top"/>
          </w:tcPr>
          <w:p>
            <w:pPr>
              <w:pStyle w:val="TableText"/>
              <w:spacing w:before="40" w:after="40" w:line="240" w:lineRule="auto"/>
              <w:jc w:val="left"/>
            </w:pPr>
            <w:r>
              <w:rPr>
                <w:sz w:val="20"/>
                <w:szCs w:val="20"/>
              </w:rPr>
              <w:t xml:space="preserve">Integridad y trazabilidad de registros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52,78 %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+46,39</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G4</w:t>
            </w:r>
          </w:p>
        </w:tc>
        <w:tc>
          <w:tcPr>
            <w:tcW w:w="560" w:type="dxa"/>
            <w:vAlign w:val="top"/>
          </w:tcPr>
          <w:p>
            <w:pPr>
              <w:pStyle w:val="TableText"/>
              <w:spacing w:before="40" w:after="40" w:line="240" w:lineRule="auto"/>
              <w:jc w:val="right"/>
            </w:pPr>
            <w:r>
              <w:rPr>
                <w:sz w:val="20"/>
                <w:szCs w:val="20"/>
              </w:rPr>
              <w:t xml:space="preserve">12</w:t>
            </w:r>
          </w:p>
        </w:tc>
        <w:tc>
          <w:tcPr>
            <w:tcW w:w="2240" w:type="dxa"/>
            <w:vAlign w:val="top"/>
          </w:tcPr>
          <w:p>
            <w:pPr>
              <w:pStyle w:val="TableText"/>
              <w:spacing w:before="40" w:after="40" w:line="240" w:lineRule="auto"/>
              <w:jc w:val="left"/>
            </w:pPr>
            <w:r>
              <w:rPr>
                <w:sz w:val="20"/>
                <w:szCs w:val="20"/>
              </w:rPr>
              <w:t xml:space="preserve">Gestión de riesgos</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53,89 %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+45,28</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G4</w:t>
            </w:r>
          </w:p>
        </w:tc>
        <w:tc>
          <w:tcPr>
            <w:tcW w:w="560" w:type="dxa"/>
            <w:vAlign w:val="top"/>
          </w:tcPr>
          <w:p>
            <w:pPr>
              <w:pStyle w:val="TableText"/>
              <w:spacing w:before="40" w:after="40" w:line="240" w:lineRule="auto"/>
              <w:jc w:val="right"/>
            </w:pPr>
            <w:r>
              <w:rPr>
                <w:sz w:val="20"/>
                <w:szCs w:val="20"/>
              </w:rPr>
              <w:t xml:space="preserve">13</w:t>
            </w:r>
          </w:p>
        </w:tc>
        <w:tc>
          <w:tcPr>
            <w:tcW w:w="2240" w:type="dxa"/>
            <w:vAlign w:val="top"/>
          </w:tcPr>
          <w:p>
            <w:pPr>
              <w:pStyle w:val="TableText"/>
              <w:spacing w:before="40" w:after="40" w:line="240" w:lineRule="auto"/>
              <w:jc w:val="left"/>
            </w:pPr>
            <w:r>
              <w:rPr>
                <w:sz w:val="20"/>
                <w:szCs w:val="20"/>
              </w:rPr>
              <w:t xml:space="preserve">Capacitación y cobertura</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47,78 %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+51,39</w:t>
            </w:r>
          </w:p>
        </w:tc>
        <w:tc>
          <w:tcPr>
            <w:tcW w:w="1400" w:type="dxa"/>
            <w:vAlign w:val="top"/>
          </w:tcPr>
          <w:p>
            <w:pPr>
              <w:pStyle w:val="TableText"/>
              <w:spacing w:before="40" w:after="40" w:line="240" w:lineRule="auto"/>
              <w:jc w:val="left"/>
            </w:pPr>
            <w:r>
              <w:rPr>
                <w:sz w:val="20"/>
                <w:szCs w:val="20"/>
              </w:rPr>
              <w:t xml:space="preserve">Básico → Optimizado</w:t>
            </w:r>
          </w:p>
        </w:tc>
      </w:tr>
      <w:tr>
        <w:trPr>
          <w:cantSplit/>
        </w:trPr>
        <w:tc>
          <w:tcPr>
            <w:tcW w:w="900" w:type="dxa"/>
            <w:vAlign w:val="top"/>
          </w:tcPr>
          <w:p>
            <w:pPr>
              <w:pStyle w:val="TableText"/>
              <w:spacing w:before="40" w:after="40" w:line="240" w:lineRule="auto"/>
              <w:jc w:val="left"/>
            </w:pPr>
            <w:r>
              <w:rPr>
                <w:sz w:val="20"/>
                <w:szCs w:val="20"/>
              </w:rPr>
              <w:t xml:space="preserve">G4</w:t>
            </w:r>
          </w:p>
        </w:tc>
        <w:tc>
          <w:tcPr>
            <w:tcW w:w="560" w:type="dxa"/>
            <w:vAlign w:val="top"/>
          </w:tcPr>
          <w:p>
            <w:pPr>
              <w:pStyle w:val="TableText"/>
              <w:spacing w:before="40" w:after="40" w:line="240" w:lineRule="auto"/>
              <w:jc w:val="right"/>
            </w:pPr>
            <w:r>
              <w:rPr>
                <w:sz w:val="20"/>
                <w:szCs w:val="20"/>
              </w:rPr>
              <w:t xml:space="preserve">14</w:t>
            </w:r>
          </w:p>
        </w:tc>
        <w:tc>
          <w:tcPr>
            <w:tcW w:w="2240" w:type="dxa"/>
            <w:vAlign w:val="top"/>
          </w:tcPr>
          <w:p>
            <w:pPr>
              <w:pStyle w:val="TableText"/>
              <w:spacing w:before="40" w:after="40" w:line="240" w:lineRule="auto"/>
              <w:jc w:val="left"/>
            </w:pPr>
            <w:r>
              <w:rPr>
                <w:sz w:val="20"/>
                <w:szCs w:val="20"/>
              </w:rPr>
              <w:t xml:space="preserve">Métricas y mejora continua</w:t>
            </w:r>
          </w:p>
        </w:tc>
        <w:tc>
          <w:tcPr>
            <w:tcW w:w="1120" w:type="dxa"/>
            <w:vAlign w:val="top"/>
          </w:tcPr>
          <w:p>
            <w:pPr>
              <w:pStyle w:val="TableText"/>
              <w:spacing w:before="40" w:after="40" w:line="240" w:lineRule="auto"/>
              <w:jc w:val="right"/>
            </w:pPr>
            <w:r>
              <w:rPr>
                <w:sz w:val="20"/>
                <w:szCs w:val="20"/>
              </w:rPr>
              <w:t xml:space="preserve">3</w:t>
            </w:r>
          </w:p>
        </w:tc>
        <w:tc>
          <w:tcPr>
            <w:tcW w:w="980" w:type="dxa"/>
            <w:vAlign w:val="top"/>
          </w:tcPr>
          <w:p>
            <w:pPr>
              <w:pStyle w:val="TableText"/>
              <w:spacing w:before="40" w:after="40" w:line="240" w:lineRule="auto"/>
              <w:jc w:val="right"/>
            </w:pPr>
            <w:r>
              <w:rPr>
                <w:sz w:val="20"/>
                <w:szCs w:val="20"/>
              </w:rPr>
              <w:t xml:space="preserve">53,89 %</w:t>
            </w:r>
          </w:p>
        </w:tc>
        <w:tc>
          <w:tcPr>
            <w:tcW w:w="1280" w:type="dxa"/>
            <w:vAlign w:val="top"/>
          </w:tcPr>
          <w:p>
            <w:pPr>
              <w:pStyle w:val="TableText"/>
              <w:spacing w:before="40" w:after="40" w:line="240" w:lineRule="auto"/>
              <w:jc w:val="right"/>
            </w:pPr>
            <w:r>
              <w:rPr>
                <w:sz w:val="20"/>
                <w:szCs w:val="20"/>
              </w:rPr>
              <w:t xml:space="preserve">99,17 %</w:t>
            </w:r>
          </w:p>
        </w:tc>
        <w:tc>
          <w:tcPr>
            <w:tcW w:w="880" w:type="dxa"/>
            <w:vAlign w:val="top"/>
          </w:tcPr>
          <w:p>
            <w:pPr>
              <w:pStyle w:val="TableText"/>
              <w:spacing w:before="40" w:after="40" w:line="240" w:lineRule="auto"/>
              <w:jc w:val="right"/>
            </w:pPr>
            <w:r>
              <w:rPr>
                <w:sz w:val="20"/>
                <w:szCs w:val="20"/>
              </w:rPr>
              <w:t xml:space="preserve">+45,28</w:t>
            </w:r>
          </w:p>
        </w:tc>
        <w:tc>
          <w:tcPr>
            <w:tcW w:w="1400" w:type="dxa"/>
            <w:vAlign w:val="top"/>
          </w:tcPr>
          <w:p>
            <w:pPr>
              <w:pStyle w:val="TableText"/>
              <w:spacing w:before="40" w:after="40" w:line="240" w:lineRule="auto"/>
              <w:jc w:val="left"/>
            </w:pPr>
            <w:r>
              <w:rPr>
                <w:sz w:val="20"/>
                <w:szCs w:val="20"/>
              </w:rPr>
              <w:t xml:space="preserve">Gestionado → Optimizado</w:t>
            </w:r>
          </w:p>
        </w:tc>
      </w:tr>
      <w:tr>
        <w:trPr>
          <w:cantSplit/>
        </w:trPr>
        <w:tc>
          <w:tcPr>
            <w:tcW w:w="900" w:type="dxa"/>
            <w:vAlign w:val="top"/>
          </w:tcPr>
          <w:p>
            <w:pPr>
              <w:pStyle w:val="TableText"/>
              <w:spacing w:before="40" w:after="40" w:line="240" w:lineRule="auto"/>
              <w:jc w:val="left"/>
            </w:pPr>
            <w:r>
              <w:rPr>
                <w:sz w:val="20"/>
                <w:szCs w:val="20"/>
              </w:rPr>
              <w:t xml:space="preserve">Global</w:t>
            </w:r>
          </w:p>
        </w:tc>
        <w:tc>
          <w:tcPr>
            <w:tcW w:w="560" w:type="dxa"/>
            <w:vAlign w:val="top"/>
          </w:tcPr>
          <w:p>
            <w:pPr>
              <w:pStyle w:val="TableText"/>
              <w:spacing w:before="40" w:after="40" w:line="240" w:lineRule="auto"/>
              <w:jc w:val="right"/>
            </w:pPr>
            <w:r>
              <w:rPr>
                <w:sz w:val="20"/>
                <w:szCs w:val="20"/>
              </w:rPr>
              <w:t xml:space="preserve">14</w:t>
            </w:r>
          </w:p>
        </w:tc>
        <w:tc>
          <w:tcPr>
            <w:tcW w:w="2240" w:type="dxa"/>
            <w:vAlign w:val="top"/>
          </w:tcPr>
          <w:p>
            <w:pPr>
              <w:pStyle w:val="TableText"/>
              <w:spacing w:before="40" w:after="40" w:line="240" w:lineRule="auto"/>
              <w:jc w:val="left"/>
            </w:pPr>
            <w:r>
              <w:rPr>
                <w:sz w:val="20"/>
                <w:szCs w:val="20"/>
              </w:rPr>
              <w:t xml:space="preserve">Madurez de los catorce instrumentos</w:t>
            </w:r>
          </w:p>
        </w:tc>
        <w:tc>
          <w:tcPr>
            <w:tcW w:w="1120" w:type="dxa"/>
            <w:vAlign w:val="top"/>
          </w:tcPr>
          <w:p>
            <w:pPr>
              <w:pStyle w:val="TableText"/>
              <w:spacing w:before="40" w:after="40" w:line="240" w:lineRule="auto"/>
              <w:jc w:val="right"/>
            </w:pPr>
            <w:r>
              <w:rPr>
                <w:sz w:val="20"/>
                <w:szCs w:val="20"/>
              </w:rPr>
              <w:t xml:space="preserve">42</w:t>
            </w:r>
          </w:p>
        </w:tc>
        <w:tc>
          <w:tcPr>
            <w:tcW w:w="980" w:type="dxa"/>
            <w:vAlign w:val="top"/>
          </w:tcPr>
          <w:p>
            <w:pPr>
              <w:pStyle w:val="TableText"/>
              <w:spacing w:before="40" w:after="40" w:line="240" w:lineRule="auto"/>
              <w:jc w:val="right"/>
            </w:pPr>
            <w:r>
              <w:rPr>
                <w:sz w:val="20"/>
                <w:szCs w:val="20"/>
              </w:rPr>
              <w:t xml:space="preserve">52,70 %</w:t>
            </w:r>
          </w:p>
        </w:tc>
        <w:tc>
          <w:tcPr>
            <w:tcW w:w="1280" w:type="dxa"/>
            <w:vAlign w:val="top"/>
          </w:tcPr>
          <w:p>
            <w:pPr>
              <w:pStyle w:val="TableText"/>
              <w:spacing w:before="40" w:after="40" w:line="240" w:lineRule="auto"/>
              <w:jc w:val="right"/>
            </w:pPr>
            <w:r>
              <w:rPr>
                <w:sz w:val="20"/>
                <w:szCs w:val="20"/>
              </w:rPr>
              <w:t xml:space="preserve">99,09 %</w:t>
            </w:r>
          </w:p>
        </w:tc>
        <w:tc>
          <w:tcPr>
            <w:tcW w:w="880" w:type="dxa"/>
            <w:vAlign w:val="top"/>
          </w:tcPr>
          <w:p>
            <w:pPr>
              <w:pStyle w:val="TableText"/>
              <w:spacing w:before="40" w:after="40" w:line="240" w:lineRule="auto"/>
              <w:jc w:val="right"/>
            </w:pPr>
            <w:r>
              <w:rPr>
                <w:sz w:val="20"/>
                <w:szCs w:val="20"/>
              </w:rPr>
              <w:t xml:space="preserve">+46,38</w:t>
            </w:r>
          </w:p>
        </w:tc>
        <w:tc>
          <w:tcPr>
            <w:tcW w:w="1400" w:type="dxa"/>
            <w:vAlign w:val="top"/>
          </w:tcPr>
          <w:p>
            <w:pPr>
              <w:pStyle w:val="TableText"/>
              <w:spacing w:before="40" w:after="40" w:line="240" w:lineRule="auto"/>
              <w:jc w:val="left"/>
            </w:pPr>
            <w:r>
              <w:rPr>
                <w:sz w:val="20"/>
                <w:szCs w:val="20"/>
              </w:rPr>
              <w:t xml:space="preserve">Los catorce en Optimizado</w:t>
            </w:r>
          </w:p>
        </w:tc>
      </w:tr>
    </w:tbl>
    <w:p>
      <w:pPr>
        <w:pStyle w:val="TableNote"/>
        <w:spacing w:before="60" w:after="240" w:line="240" w:lineRule="auto"/>
      </w:pPr>
      <w:r>
        <w:rPr>
          <w:sz w:val="20"/>
          <w:szCs w:val="20"/>
        </w:rPr>
        <w:t xml:space="preserve">Nota. </w:t>
      </w:r>
      <w:r>
        <w:rPr>
          <w:sz w:val="20"/>
          <w:szCs w:val="20"/>
        </w:rPr>
        <w:t xml:space="preserve">La columna de mejora mide la distancia en puntos porcentuales (pp) entre el resultado posterior y la línea base de cada instrumento. Los valores se calculan sobre los porcentajes exactos que declara el libro de resultados, antes de redondearlos. La escala de cortes define el nivel Inicial (de 0 a 25 %), Básico (de 25 a 50 %), Gestionado (de 50 a 75 %) y Optimizado (de 75 a 100 %). </w:t>
      </w:r>
      <w:r>
        <w:rPr>
          <w:i/>
          <w:iCs/>
          <w:sz w:val="20"/>
          <w:szCs w:val="20"/>
        </w:rPr>
        <w:t xml:space="preserve">n</w:t>
      </w:r>
      <w:r>
        <w:rPr>
          <w:sz w:val="20"/>
          <w:szCs w:val="20"/>
        </w:rPr>
        <w:t xml:space="preserve"> = 30 respondentes; alfa de Cronbach = 0,868989. Los datos proceden de las hojas «Resultados pretest» y «Resultados postest» del libro de resultados.</w:t>
      </w:r>
    </w:p>
    <w:p>
      <w:pPr>
        <w:pStyle w:val="Normal"/>
        <w:spacing w:after="0" w:line="480" w:lineRule="auto"/>
        <w:ind w:firstLine="720"/>
        <w:jc w:val="both"/>
      </w:pPr>
      <w:r>
        <w:t xml:space="preserve">El instrumento con menor cumplimiento de la línea base es la retención y el acceso a evidencias, que registra 47,92 %, mientras que el mayor corresponde a la respuesta y los tiempos de atención, con 58,06 %. Los catorce instrumentos terminan la medición posterior en el nivel Optimizado, de manera que la columna de mejora crece en las catorce filas sin una sola excepción.</w:t>
      </w:r>
    </w:p>
    <w:p>
      <w:pPr>
        <w:pStyle w:val="Heading1"/>
        <w:keepNext/>
        <w:spacing w:before="360" w:after="120" w:line="240" w:lineRule="auto"/>
        <w:jc w:val="left"/>
        <w:outlineLvl w:val="0"/>
      </w:pPr>
      <w:r>
        <w:rPr>
          <w:b/>
          <w:bCs/>
        </w:rPr>
        <w:t xml:space="preserve">3. Antes y después cuantificado</w:t>
      </w:r>
    </w:p>
    <w:p>
      <w:pPr>
        <w:pStyle w:val="Normal"/>
        <w:spacing w:after="0" w:line="480" w:lineRule="auto"/>
        <w:ind w:firstLine="720"/>
        <w:jc w:val="both"/>
      </w:pPr>
      <w:r>
        <w:t xml:space="preserve">La comparación de la medición recoge los catorce instrumentos antes y después de la intervención, con una variación global de 46,38 puntos porcentuales. Los catorce instrumentos suben de nivel, de manera que el cambio no depende de un subconjunto del instrumento ni de un reactivo aislado, lo que convierte la variación en una propiedad del instrumento completo.</w:t>
      </w:r>
    </w:p>
    <w:p>
      <w:pPr>
        <w:pStyle w:val="FigureCaption"/>
        <w:keepNext/>
        <w:spacing w:before="240" w:after="0" w:line="240" w:lineRule="auto"/>
      </w:pPr>
      <w:r>
        <w:rPr>
          <w:b/>
          <w:bCs/>
          <w:i w:val="false"/>
          <w:iCs w:val="false"/>
          <w:sz w:val="22"/>
          <w:szCs w:val="22"/>
        </w:rPr>
        <w:t xml:space="preserve">Figura 2</w:t>
      </w:r>
    </w:p>
    <w:p>
      <w:pPr>
        <w:pStyle w:val="FigureCaption"/>
        <w:keepNext/>
        <w:spacing w:before="0" w:after="120" w:line="240" w:lineRule="auto"/>
      </w:pPr>
      <w:r>
        <w:rPr>
          <w:sz w:val="22"/>
          <w:szCs w:val="22"/>
        </w:rPr>
        <w:t xml:space="preserve">Variación de cada instrumento entre la línea base y el resultado posterior</w:t>
      </w:r>
    </w:p>
    <w:p>
      <w:pPr>
        <w:pStyle w:val="FigureImage"/>
        <w:spacing w:before="120" w:after="60" w:line="240" w:lineRule="auto"/>
        <w:jc w:val="center"/>
      </w:pPr>
      <w:r>
        <w:drawing>
          <wp:inline xmlns:wp="http://schemas.openxmlformats.org/drawingml/2006/wordprocessingDrawing" distT="0" distB="0" distL="0" distR="0">
            <wp:extent cx="5943600" cy="3724275"/>
            <wp:effectExtent l="0" t="0" r="0" b="0"/>
            <wp:docPr id="2" name="Figura 2" descr="Comparación de los catorce instrumentos antes y después, con la mejora en puntos porcentuales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ariacion-instrumentos.png"/>
                    <pic:cNvPicPr/>
                  </pic:nvPicPr>
                  <pic:blipFill>
                    <a:blip xmlns:r="http://schemas.openxmlformats.org/officeDocument/2006/relationships" r:embed="R125fbaf2874b458f"/>
                    <a:stretch>
                      <a:fillRect/>
                    </a:stretch>
                  </pic:blipFill>
                  <pic:spPr>
                    <a:xfrm>
                      <a:off x="0" y="0"/>
                      <a:ext cx="5943600" cy="372427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Cada barra compara el mismo instrumento antes y después. La cifra de la derecha es la mejora en puntos porcentuales, calculada sobre los porcentajes exactos que declara el libro de resultados, antes de redondearlos.</w:t>
      </w:r>
    </w:p>
    <w:p>
      <w:pPr>
        <w:pStyle w:val="Normal"/>
        <w:spacing w:after="0" w:line="480" w:lineRule="auto"/>
        <w:ind w:firstLine="720"/>
        <w:jc w:val="both"/>
      </w:pPr>
      <w:r>
        <w:t xml:space="preserve">La Figura 3 agrupa los resultados por grupo temático, de manera que el lector comprueba que la mejora se sostiene en los cuatro grupos. La variación mayor corresponde a la seguridad y los controles técnicos, con 47,64 puntos porcentuales, mientras que la menor corresponde a las evidencias y el respaldo, con 44,68.</w:t>
      </w:r>
    </w:p>
    <w:p>
      <w:pPr>
        <w:pStyle w:val="FigureCaption"/>
        <w:keepNext/>
        <w:spacing w:before="240" w:after="0" w:line="240" w:lineRule="auto"/>
      </w:pPr>
      <w:r>
        <w:rPr>
          <w:b/>
          <w:bCs/>
          <w:i w:val="false"/>
          <w:iCs w:val="false"/>
          <w:sz w:val="22"/>
          <w:szCs w:val="22"/>
        </w:rPr>
        <w:t xml:space="preserve">Figura 3</w:t>
      </w:r>
    </w:p>
    <w:p>
      <w:pPr>
        <w:pStyle w:val="FigureCaption"/>
        <w:keepNext/>
        <w:spacing w:before="0" w:after="120" w:line="240" w:lineRule="auto"/>
      </w:pPr>
      <w:r>
        <w:rPr>
          <w:sz w:val="22"/>
          <w:szCs w:val="22"/>
        </w:rPr>
        <w:t xml:space="preserve">Variación de los cuatro grupos temáticos entre la línea base y el resultado posterior</w:t>
      </w:r>
    </w:p>
    <w:p>
      <w:pPr>
        <w:pStyle w:val="FigureImage"/>
        <w:spacing w:before="120" w:after="60" w:line="240" w:lineRule="auto"/>
        <w:jc w:val="center"/>
      </w:pPr>
      <w:r>
        <w:drawing>
          <wp:inline xmlns:wp="http://schemas.openxmlformats.org/drawingml/2006/wordprocessingDrawing" distT="0" distB="0" distL="0" distR="0">
            <wp:extent cx="5943600" cy="1724025"/>
            <wp:effectExtent l="0" t="0" r="0" b="0"/>
            <wp:docPr id="3" name="Figura 3" descr="Comparación de los cuatro grupos temáticos antes y después, con la variación en puntos porcent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ariacion-grupos.png"/>
                    <pic:cNvPicPr/>
                  </pic:nvPicPr>
                  <pic:blipFill>
                    <a:blip xmlns:r="http://schemas.openxmlformats.org/officeDocument/2006/relationships" r:embed="R7c0d65177d664cfa"/>
                    <a:stretch>
                      <a:fillRect/>
                    </a:stretch>
                  </pic:blipFill>
                  <pic:spPr>
                    <a:xfrm>
                      <a:off x="0" y="0"/>
                      <a:ext cx="5943600" cy="172402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Las cuatro barras comparan el valor de línea base y el resultado posterior de cada grupo temático. La variación se expresa en puntos porcentuales.</w:t>
      </w:r>
    </w:p>
    <w:p>
      <w:pPr>
        <w:pStyle w:val="TableTitle"/>
        <w:keepNext/>
        <w:spacing w:before="240" w:after="0" w:line="240" w:lineRule="auto"/>
      </w:pPr>
      <w:r>
        <w:rPr>
          <w:b/>
          <w:bCs/>
          <w:i w:val="false"/>
          <w:iCs w:val="false"/>
          <w:sz w:val="22"/>
          <w:szCs w:val="22"/>
        </w:rPr>
        <w:t xml:space="preserve">Tabla 3</w:t>
      </w:r>
    </w:p>
    <w:p>
      <w:pPr>
        <w:pStyle w:val="TableTitle"/>
        <w:keepNext/>
        <w:spacing w:before="0" w:after="80" w:line="240" w:lineRule="auto"/>
      </w:pPr>
      <w:r>
        <w:rPr>
          <w:sz w:val="22"/>
          <w:szCs w:val="22"/>
        </w:rPr>
        <w:t xml:space="preserve">Variación de la madurez por grupo temático</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900"/>
        <w:gridCol w:w="2050"/>
        <w:gridCol w:w="1450"/>
        <w:gridCol w:w="1050"/>
        <w:gridCol w:w="1150"/>
        <w:gridCol w:w="1180"/>
        <w:gridCol w:w="1580"/>
      </w:tblGrid>
      <w:tr>
        <w:trPr>
          <w:tblHeader/>
          <w:cantSplit/>
        </w:trPr>
        <w:tc>
          <w:tcPr>
            <w:tcW w:w="900" w:type="dxa"/>
            <w:tcBorders>
              <w:bottom w:val="single" w:color="000000" w:sz="6" w:space="0"/>
            </w:tcBorders>
            <w:vAlign w:val="top"/>
          </w:tcPr>
          <w:p>
            <w:pPr>
              <w:pStyle w:val="TableText"/>
              <w:spacing w:before="40" w:after="40" w:line="240" w:lineRule="auto"/>
              <w:jc w:val="left"/>
            </w:pPr>
            <w:r>
              <w:rPr>
                <w:b/>
                <w:bCs/>
                <w:sz w:val="20"/>
                <w:szCs w:val="20"/>
              </w:rPr>
              <w:t xml:space="preserve">Grupo</w:t>
            </w:r>
          </w:p>
        </w:tc>
        <w:tc>
          <w:tcPr>
            <w:tcW w:w="2050" w:type="dxa"/>
            <w:tcBorders>
              <w:bottom w:val="single" w:color="000000" w:sz="6" w:space="0"/>
            </w:tcBorders>
            <w:vAlign w:val="top"/>
          </w:tcPr>
          <w:p>
            <w:pPr>
              <w:pStyle w:val="TableText"/>
              <w:spacing w:before="40" w:after="40" w:line="240" w:lineRule="auto"/>
              <w:jc w:val="left"/>
            </w:pPr>
            <w:r>
              <w:rPr>
                <w:b/>
                <w:bCs/>
                <w:sz w:val="20"/>
                <w:szCs w:val="20"/>
              </w:rPr>
              <w:t xml:space="preserve">Denominación</w:t>
            </w:r>
          </w:p>
        </w:tc>
        <w:tc>
          <w:tcPr>
            <w:tcW w:w="1450" w:type="dxa"/>
            <w:tcBorders>
              <w:bottom w:val="single" w:color="000000" w:sz="6" w:space="0"/>
            </w:tcBorders>
            <w:vAlign w:val="top"/>
          </w:tcPr>
          <w:p>
            <w:pPr>
              <w:pStyle w:val="TableText"/>
              <w:spacing w:before="40" w:after="40" w:line="240" w:lineRule="auto"/>
              <w:jc w:val="right"/>
            </w:pPr>
            <w:r>
              <w:rPr>
                <w:b/>
                <w:bCs/>
                <w:sz w:val="20"/>
                <w:szCs w:val="20"/>
              </w:rPr>
              <w:t xml:space="preserve">Instrumentos</w:t>
            </w:r>
          </w:p>
        </w:tc>
        <w:tc>
          <w:tcPr>
            <w:tcW w:w="1050" w:type="dxa"/>
            <w:tcBorders>
              <w:bottom w:val="single" w:color="000000" w:sz="6" w:space="0"/>
            </w:tcBorders>
            <w:vAlign w:val="top"/>
          </w:tcPr>
          <w:p>
            <w:pPr>
              <w:pStyle w:val="TableText"/>
              <w:spacing w:before="40" w:after="40" w:line="240" w:lineRule="auto"/>
              <w:jc w:val="right"/>
            </w:pPr>
            <w:r>
              <w:rPr>
                <w:b/>
                <w:bCs/>
                <w:sz w:val="20"/>
                <w:szCs w:val="20"/>
              </w:rPr>
              <w:t xml:space="preserve">Antes</w:t>
            </w:r>
          </w:p>
        </w:tc>
        <w:tc>
          <w:tcPr>
            <w:tcW w:w="1150" w:type="dxa"/>
            <w:tcBorders>
              <w:bottom w:val="single" w:color="000000" w:sz="6" w:space="0"/>
            </w:tcBorders>
            <w:vAlign w:val="top"/>
          </w:tcPr>
          <w:p>
            <w:pPr>
              <w:pStyle w:val="TableText"/>
              <w:spacing w:before="40" w:after="40" w:line="240" w:lineRule="auto"/>
              <w:jc w:val="right"/>
            </w:pPr>
            <w:r>
              <w:rPr>
                <w:b/>
                <w:bCs/>
                <w:sz w:val="20"/>
                <w:szCs w:val="20"/>
              </w:rPr>
              <w:t xml:space="preserve">Después</w:t>
            </w:r>
          </w:p>
        </w:tc>
        <w:tc>
          <w:tcPr>
            <w:tcW w:w="1180" w:type="dxa"/>
            <w:tcBorders>
              <w:bottom w:val="single" w:color="000000" w:sz="6" w:space="0"/>
            </w:tcBorders>
            <w:vAlign w:val="top"/>
          </w:tcPr>
          <w:p>
            <w:pPr>
              <w:pStyle w:val="TableText"/>
              <w:spacing w:before="40" w:after="40" w:line="240" w:lineRule="auto"/>
              <w:jc w:val="right"/>
            </w:pPr>
            <w:r>
              <w:rPr>
                <w:b/>
                <w:bCs/>
                <w:sz w:val="20"/>
                <w:szCs w:val="20"/>
              </w:rPr>
              <w:t xml:space="preserve">Variación (pp)</w:t>
            </w:r>
          </w:p>
        </w:tc>
        <w:tc>
          <w:tcPr>
            <w:tcW w:w="1580" w:type="dxa"/>
            <w:tcBorders>
              <w:bottom w:val="single" w:color="000000" w:sz="6" w:space="0"/>
            </w:tcBorders>
            <w:vAlign w:val="top"/>
          </w:tcPr>
          <w:p>
            <w:pPr>
              <w:pStyle w:val="TableText"/>
              <w:spacing w:before="40" w:after="40" w:line="240" w:lineRule="auto"/>
              <w:jc w:val="left"/>
            </w:pPr>
            <w:r>
              <w:rPr>
                <w:b/>
                <w:bCs/>
                <w:sz w:val="20"/>
                <w:szCs w:val="20"/>
              </w:rPr>
              <w:t xml:space="preserve">Nivel final</w:t>
            </w:r>
          </w:p>
        </w:tc>
      </w:tr>
      <w:tr>
        <w:trPr>
          <w:cantSplit/>
        </w:trPr>
        <w:tc>
          <w:tcPr>
            <w:tcW w:w="900" w:type="dxa"/>
            <w:vAlign w:val="top"/>
          </w:tcPr>
          <w:p>
            <w:pPr>
              <w:pStyle w:val="TableText"/>
              <w:spacing w:before="40" w:after="40" w:line="240" w:lineRule="auto"/>
              <w:jc w:val="left"/>
            </w:pPr>
            <w:r>
              <w:rPr>
                <w:sz w:val="20"/>
                <w:szCs w:val="20"/>
              </w:rPr>
              <w:t xml:space="preserve">G1</w:t>
            </w:r>
          </w:p>
        </w:tc>
        <w:tc>
          <w:tcPr>
            <w:tcW w:w="2050" w:type="dxa"/>
            <w:vAlign w:val="top"/>
          </w:tcPr>
          <w:p>
            <w:pPr>
              <w:pStyle w:val="TableText"/>
              <w:spacing w:before="40" w:after="40" w:line="240" w:lineRule="auto"/>
              <w:jc w:val="left"/>
            </w:pPr>
            <w:r>
              <w:rPr>
                <w:sz w:val="20"/>
                <w:szCs w:val="20"/>
              </w:rPr>
              <w:t xml:space="preserve">Gestión de incidentes</w:t>
            </w:r>
          </w:p>
        </w:tc>
        <w:tc>
          <w:tcPr>
            <w:tcW w:w="1450" w:type="dxa"/>
            <w:vAlign w:val="top"/>
          </w:tcPr>
          <w:p>
            <w:pPr>
              <w:pStyle w:val="TableText"/>
              <w:spacing w:before="40" w:after="40" w:line="240" w:lineRule="auto"/>
              <w:jc w:val="right"/>
            </w:pPr>
            <w:r>
              <w:rPr>
                <w:sz w:val="20"/>
                <w:szCs w:val="20"/>
              </w:rPr>
              <w:t xml:space="preserve">1, 2, 3, 4</w:t>
            </w:r>
          </w:p>
        </w:tc>
        <w:tc>
          <w:tcPr>
            <w:tcW w:w="1050" w:type="dxa"/>
            <w:vAlign w:val="top"/>
          </w:tcPr>
          <w:p>
            <w:pPr>
              <w:pStyle w:val="TableText"/>
              <w:spacing w:before="40" w:after="40" w:line="240" w:lineRule="auto"/>
              <w:jc w:val="right"/>
            </w:pPr>
            <w:r>
              <w:rPr>
                <w:sz w:val="20"/>
                <w:szCs w:val="20"/>
              </w:rPr>
              <w:t xml:space="preserve">53,18 %</w:t>
            </w:r>
          </w:p>
        </w:tc>
        <w:tc>
          <w:tcPr>
            <w:tcW w:w="1150" w:type="dxa"/>
            <w:vAlign w:val="top"/>
          </w:tcPr>
          <w:p>
            <w:pPr>
              <w:pStyle w:val="TableText"/>
              <w:spacing w:before="40" w:after="40" w:line="240" w:lineRule="auto"/>
              <w:jc w:val="right"/>
            </w:pPr>
            <w:r>
              <w:rPr>
                <w:sz w:val="20"/>
                <w:szCs w:val="20"/>
              </w:rPr>
              <w:t xml:space="preserve">98,89 %</w:t>
            </w:r>
          </w:p>
        </w:tc>
        <w:tc>
          <w:tcPr>
            <w:tcW w:w="1180" w:type="dxa"/>
            <w:vAlign w:val="top"/>
          </w:tcPr>
          <w:p>
            <w:pPr>
              <w:pStyle w:val="TableText"/>
              <w:spacing w:before="40" w:after="40" w:line="240" w:lineRule="auto"/>
              <w:jc w:val="right"/>
            </w:pPr>
            <w:r>
              <w:rPr>
                <w:sz w:val="20"/>
                <w:szCs w:val="20"/>
              </w:rPr>
              <w:t xml:space="preserve">+45,71</w:t>
            </w:r>
          </w:p>
        </w:tc>
        <w:tc>
          <w:tcPr>
            <w:tcW w:w="1580" w:type="dxa"/>
            <w:vAlign w:val="top"/>
          </w:tcPr>
          <w:p>
            <w:pPr>
              <w:pStyle w:val="TableText"/>
              <w:spacing w:before="40" w:after="40" w:line="240" w:lineRule="auto"/>
              <w:jc w:val="left"/>
            </w:pPr>
            <w:r>
              <w:rPr>
                <w:sz w:val="20"/>
                <w:szCs w:val="20"/>
              </w:rPr>
              <w:t xml:space="preserve">Optimizado</w:t>
            </w:r>
          </w:p>
        </w:tc>
      </w:tr>
      <w:tr>
        <w:trPr>
          <w:cantSplit/>
        </w:trPr>
        <w:tc>
          <w:tcPr>
            <w:tcW w:w="900" w:type="dxa"/>
            <w:vAlign w:val="top"/>
          </w:tcPr>
          <w:p>
            <w:pPr>
              <w:pStyle w:val="TableText"/>
              <w:spacing w:before="40" w:after="40" w:line="240" w:lineRule="auto"/>
              <w:jc w:val="left"/>
            </w:pPr>
            <w:r>
              <w:rPr>
                <w:sz w:val="20"/>
                <w:szCs w:val="20"/>
              </w:rPr>
              <w:t xml:space="preserve">G2</w:t>
            </w:r>
          </w:p>
        </w:tc>
        <w:tc>
          <w:tcPr>
            <w:tcW w:w="2050" w:type="dxa"/>
            <w:vAlign w:val="top"/>
          </w:tcPr>
          <w:p>
            <w:pPr>
              <w:pStyle w:val="TableText"/>
              <w:spacing w:before="40" w:after="40" w:line="240" w:lineRule="auto"/>
              <w:jc w:val="left"/>
            </w:pPr>
            <w:r>
              <w:rPr>
                <w:sz w:val="20"/>
                <w:szCs w:val="20"/>
              </w:rPr>
              <w:t xml:space="preserve">Evidencias y respaldo</w:t>
            </w:r>
          </w:p>
        </w:tc>
        <w:tc>
          <w:tcPr>
            <w:tcW w:w="1450" w:type="dxa"/>
            <w:vAlign w:val="top"/>
          </w:tcPr>
          <w:p>
            <w:pPr>
              <w:pStyle w:val="TableText"/>
              <w:spacing w:before="40" w:after="40" w:line="240" w:lineRule="auto"/>
              <w:jc w:val="right"/>
            </w:pPr>
            <w:r>
              <w:rPr>
                <w:sz w:val="20"/>
                <w:szCs w:val="20"/>
              </w:rPr>
              <w:t xml:space="preserve">5, 6, 7</w:t>
            </w:r>
          </w:p>
        </w:tc>
        <w:tc>
          <w:tcPr>
            <w:tcW w:w="1050" w:type="dxa"/>
            <w:vAlign w:val="top"/>
          </w:tcPr>
          <w:p>
            <w:pPr>
              <w:pStyle w:val="TableText"/>
              <w:spacing w:before="40" w:after="40" w:line="240" w:lineRule="auto"/>
              <w:jc w:val="right"/>
            </w:pPr>
            <w:r>
              <w:rPr>
                <w:sz w:val="20"/>
                <w:szCs w:val="20"/>
              </w:rPr>
              <w:t xml:space="preserve">54,49 %</w:t>
            </w:r>
          </w:p>
        </w:tc>
        <w:tc>
          <w:tcPr>
            <w:tcW w:w="1150" w:type="dxa"/>
            <w:vAlign w:val="top"/>
          </w:tcPr>
          <w:p>
            <w:pPr>
              <w:pStyle w:val="TableText"/>
              <w:spacing w:before="40" w:after="40" w:line="240" w:lineRule="auto"/>
              <w:jc w:val="right"/>
            </w:pPr>
            <w:r>
              <w:rPr>
                <w:sz w:val="20"/>
                <w:szCs w:val="20"/>
              </w:rPr>
              <w:t xml:space="preserve">99,17 %</w:t>
            </w:r>
          </w:p>
        </w:tc>
        <w:tc>
          <w:tcPr>
            <w:tcW w:w="1180" w:type="dxa"/>
            <w:vAlign w:val="top"/>
          </w:tcPr>
          <w:p>
            <w:pPr>
              <w:pStyle w:val="TableText"/>
              <w:spacing w:before="40" w:after="40" w:line="240" w:lineRule="auto"/>
              <w:jc w:val="right"/>
            </w:pPr>
            <w:r>
              <w:rPr>
                <w:sz w:val="20"/>
                <w:szCs w:val="20"/>
              </w:rPr>
              <w:t xml:space="preserve">+44,68</w:t>
            </w:r>
          </w:p>
        </w:tc>
        <w:tc>
          <w:tcPr>
            <w:tcW w:w="1580" w:type="dxa"/>
            <w:vAlign w:val="top"/>
          </w:tcPr>
          <w:p>
            <w:pPr>
              <w:pStyle w:val="TableText"/>
              <w:spacing w:before="40" w:after="40" w:line="240" w:lineRule="auto"/>
              <w:jc w:val="left"/>
            </w:pPr>
            <w:r>
              <w:rPr>
                <w:sz w:val="20"/>
                <w:szCs w:val="20"/>
              </w:rPr>
              <w:t xml:space="preserve">Optimizado</w:t>
            </w:r>
          </w:p>
        </w:tc>
      </w:tr>
      <w:tr>
        <w:trPr>
          <w:cantSplit/>
        </w:trPr>
        <w:tc>
          <w:tcPr>
            <w:tcW w:w="900" w:type="dxa"/>
            <w:vAlign w:val="top"/>
          </w:tcPr>
          <w:p>
            <w:pPr>
              <w:pStyle w:val="TableText"/>
              <w:spacing w:before="40" w:after="40" w:line="240" w:lineRule="auto"/>
              <w:jc w:val="left"/>
            </w:pPr>
            <w:r>
              <w:rPr>
                <w:sz w:val="20"/>
                <w:szCs w:val="20"/>
              </w:rPr>
              <w:t xml:space="preserve">G3</w:t>
            </w:r>
          </w:p>
        </w:tc>
        <w:tc>
          <w:tcPr>
            <w:tcW w:w="2050" w:type="dxa"/>
            <w:vAlign w:val="top"/>
          </w:tcPr>
          <w:p>
            <w:pPr>
              <w:pStyle w:val="TableText"/>
              <w:spacing w:before="40" w:after="40" w:line="240" w:lineRule="auto"/>
              <w:jc w:val="left"/>
            </w:pPr>
            <w:r>
              <w:rPr>
                <w:sz w:val="20"/>
                <w:szCs w:val="20"/>
              </w:rPr>
              <w:t xml:space="preserve">Seguridad y controles técnicos</w:t>
            </w:r>
          </w:p>
        </w:tc>
        <w:tc>
          <w:tcPr>
            <w:tcW w:w="1450" w:type="dxa"/>
            <w:vAlign w:val="top"/>
          </w:tcPr>
          <w:p>
            <w:pPr>
              <w:pStyle w:val="TableText"/>
              <w:spacing w:before="40" w:after="40" w:line="240" w:lineRule="auto"/>
              <w:jc w:val="right"/>
            </w:pPr>
            <w:r>
              <w:rPr>
                <w:sz w:val="20"/>
                <w:szCs w:val="20"/>
              </w:rPr>
              <w:t xml:space="preserve">8, 9, 10, 11</w:t>
            </w:r>
          </w:p>
        </w:tc>
        <w:tc>
          <w:tcPr>
            <w:tcW w:w="1050" w:type="dxa"/>
            <w:vAlign w:val="top"/>
          </w:tcPr>
          <w:p>
            <w:pPr>
              <w:pStyle w:val="TableText"/>
              <w:spacing w:before="40" w:after="40" w:line="240" w:lineRule="auto"/>
              <w:jc w:val="right"/>
            </w:pPr>
            <w:r>
              <w:rPr>
                <w:sz w:val="20"/>
                <w:szCs w:val="20"/>
              </w:rPr>
              <w:t xml:space="preserve">51,53 %</w:t>
            </w:r>
          </w:p>
        </w:tc>
        <w:tc>
          <w:tcPr>
            <w:tcW w:w="1150" w:type="dxa"/>
            <w:vAlign w:val="top"/>
          </w:tcPr>
          <w:p>
            <w:pPr>
              <w:pStyle w:val="TableText"/>
              <w:spacing w:before="40" w:after="40" w:line="240" w:lineRule="auto"/>
              <w:jc w:val="right"/>
            </w:pPr>
            <w:r>
              <w:rPr>
                <w:sz w:val="20"/>
                <w:szCs w:val="20"/>
              </w:rPr>
              <w:t xml:space="preserve">99,17 %</w:t>
            </w:r>
          </w:p>
        </w:tc>
        <w:tc>
          <w:tcPr>
            <w:tcW w:w="1180" w:type="dxa"/>
            <w:vAlign w:val="top"/>
          </w:tcPr>
          <w:p>
            <w:pPr>
              <w:pStyle w:val="TableText"/>
              <w:spacing w:before="40" w:after="40" w:line="240" w:lineRule="auto"/>
              <w:jc w:val="right"/>
            </w:pPr>
            <w:r>
              <w:rPr>
                <w:sz w:val="20"/>
                <w:szCs w:val="20"/>
              </w:rPr>
              <w:t xml:space="preserve">+47,64</w:t>
            </w:r>
          </w:p>
        </w:tc>
        <w:tc>
          <w:tcPr>
            <w:tcW w:w="1580" w:type="dxa"/>
            <w:vAlign w:val="top"/>
          </w:tcPr>
          <w:p>
            <w:pPr>
              <w:pStyle w:val="TableText"/>
              <w:spacing w:before="40" w:after="40" w:line="240" w:lineRule="auto"/>
              <w:jc w:val="left"/>
            </w:pPr>
            <w:r>
              <w:rPr>
                <w:sz w:val="20"/>
                <w:szCs w:val="20"/>
              </w:rPr>
              <w:t xml:space="preserve">Optimizado</w:t>
            </w:r>
          </w:p>
        </w:tc>
      </w:tr>
      <w:tr>
        <w:trPr>
          <w:cantSplit/>
        </w:trPr>
        <w:tc>
          <w:tcPr>
            <w:tcW w:w="900" w:type="dxa"/>
            <w:vAlign w:val="top"/>
          </w:tcPr>
          <w:p>
            <w:pPr>
              <w:pStyle w:val="TableText"/>
              <w:spacing w:before="40" w:after="40" w:line="240" w:lineRule="auto"/>
              <w:jc w:val="left"/>
            </w:pPr>
            <w:r>
              <w:rPr>
                <w:sz w:val="20"/>
                <w:szCs w:val="20"/>
              </w:rPr>
              <w:t xml:space="preserve">G4</w:t>
            </w:r>
          </w:p>
        </w:tc>
        <w:tc>
          <w:tcPr>
            <w:tcW w:w="2050" w:type="dxa"/>
            <w:vAlign w:val="top"/>
          </w:tcPr>
          <w:p>
            <w:pPr>
              <w:pStyle w:val="TableText"/>
              <w:spacing w:before="40" w:after="40" w:line="240" w:lineRule="auto"/>
              <w:jc w:val="left"/>
            </w:pPr>
            <w:r>
              <w:rPr>
                <w:sz w:val="20"/>
                <w:szCs w:val="20"/>
              </w:rPr>
              <w:t xml:space="preserve">Gestión organizacional y mejora</w:t>
            </w:r>
          </w:p>
        </w:tc>
        <w:tc>
          <w:tcPr>
            <w:tcW w:w="1450" w:type="dxa"/>
            <w:vAlign w:val="top"/>
          </w:tcPr>
          <w:p>
            <w:pPr>
              <w:pStyle w:val="TableText"/>
              <w:spacing w:before="40" w:after="40" w:line="240" w:lineRule="auto"/>
              <w:jc w:val="right"/>
            </w:pPr>
            <w:r>
              <w:rPr>
                <w:sz w:val="20"/>
                <w:szCs w:val="20"/>
              </w:rPr>
              <w:t xml:space="preserve">12, 13, 14</w:t>
            </w:r>
          </w:p>
        </w:tc>
        <w:tc>
          <w:tcPr>
            <w:tcW w:w="1050" w:type="dxa"/>
            <w:vAlign w:val="top"/>
          </w:tcPr>
          <w:p>
            <w:pPr>
              <w:pStyle w:val="TableText"/>
              <w:spacing w:before="40" w:after="40" w:line="240" w:lineRule="auto"/>
              <w:jc w:val="right"/>
            </w:pPr>
            <w:r>
              <w:rPr>
                <w:sz w:val="20"/>
                <w:szCs w:val="20"/>
              </w:rPr>
              <w:t xml:space="preserve">51,85 %</w:t>
            </w:r>
          </w:p>
        </w:tc>
        <w:tc>
          <w:tcPr>
            <w:tcW w:w="1150" w:type="dxa"/>
            <w:vAlign w:val="top"/>
          </w:tcPr>
          <w:p>
            <w:pPr>
              <w:pStyle w:val="TableText"/>
              <w:spacing w:before="40" w:after="40" w:line="240" w:lineRule="auto"/>
              <w:jc w:val="right"/>
            </w:pPr>
            <w:r>
              <w:rPr>
                <w:sz w:val="20"/>
                <w:szCs w:val="20"/>
              </w:rPr>
              <w:t xml:space="preserve">99,17 %</w:t>
            </w:r>
          </w:p>
        </w:tc>
        <w:tc>
          <w:tcPr>
            <w:tcW w:w="1180" w:type="dxa"/>
            <w:vAlign w:val="top"/>
          </w:tcPr>
          <w:p>
            <w:pPr>
              <w:pStyle w:val="TableText"/>
              <w:spacing w:before="40" w:after="40" w:line="240" w:lineRule="auto"/>
              <w:jc w:val="right"/>
            </w:pPr>
            <w:r>
              <w:rPr>
                <w:sz w:val="20"/>
                <w:szCs w:val="20"/>
              </w:rPr>
              <w:t xml:space="preserve">+47,31</w:t>
            </w:r>
          </w:p>
        </w:tc>
        <w:tc>
          <w:tcPr>
            <w:tcW w:w="1580" w:type="dxa"/>
            <w:vAlign w:val="top"/>
          </w:tcPr>
          <w:p>
            <w:pPr>
              <w:pStyle w:val="TableText"/>
              <w:spacing w:before="40" w:after="40" w:line="240" w:lineRule="auto"/>
              <w:jc w:val="left"/>
            </w:pPr>
            <w:r>
              <w:rPr>
                <w:sz w:val="20"/>
                <w:szCs w:val="20"/>
              </w:rPr>
              <w:t xml:space="preserve">Optimizado</w:t>
            </w:r>
          </w:p>
        </w:tc>
      </w:tr>
    </w:tbl>
    <w:p>
      <w:pPr>
        <w:pStyle w:val="TableNote"/>
        <w:spacing w:before="60" w:after="240" w:line="240" w:lineRule="auto"/>
      </w:pPr>
      <w:r>
        <w:rPr>
          <w:sz w:val="20"/>
          <w:szCs w:val="20"/>
        </w:rPr>
        <w:t xml:space="preserve">Nota. </w:t>
      </w:r>
      <w:r>
        <w:rPr>
          <w:sz w:val="20"/>
          <w:szCs w:val="20"/>
        </w:rPr>
        <w:t xml:space="preserve">La variación se expresa en puntos porcentuales (pp) y resulta de restar el valor de línea base del valor posterior de cada grupo. Los cuatro grupos terminan la medición posterior en el nivel Optimizado. </w:t>
      </w:r>
      <w:r>
        <w:rPr>
          <w:i/>
          <w:iCs/>
          <w:sz w:val="20"/>
          <w:szCs w:val="20"/>
        </w:rPr>
        <w:t xml:space="preserve">n</w:t>
      </w:r>
      <w:r>
        <w:rPr>
          <w:sz w:val="20"/>
          <w:szCs w:val="20"/>
        </w:rPr>
        <w:t xml:space="preserve"> = 14 instrumentos agrupados en cuatro grupos temáticos. Los datos proceden de las hojas «Resultados pretest» y «Resultados postest» del libro de resultados.</w:t>
      </w:r>
    </w:p>
    <w:p>
      <w:pPr>
        <w:pStyle w:val="Normal"/>
        <w:spacing w:after="0" w:line="480" w:lineRule="auto"/>
        <w:ind w:firstLine="720"/>
        <w:jc w:val="both"/>
      </w:pPr>
      <w:r>
        <w:t xml:space="preserve">La variación global se calcula sobre los valores exactos del libro de resultados, antes de redondearlos para la presentación. El libro declara una media inicial de 52,7034 y una media posterior de 99,0873, de manera que la diferencia es de 46,3839 puntos porcentuales, que se publica como 46,38. La diferencia entre 99,09 y 52,70 es de un centésimo porque ambas cifras están redondeadas para la presentación.</w:t>
      </w:r>
    </w:p>
    <w:p>
      <w:pPr>
        <w:pStyle w:val="Heading1"/>
        <w:keepNext/>
        <w:spacing w:before="360" w:after="120" w:line="240" w:lineRule="auto"/>
        <w:jc w:val="left"/>
        <w:outlineLvl w:val="0"/>
      </w:pPr>
      <w:r>
        <w:rPr>
          <w:b/>
          <w:bCs/>
        </w:rPr>
        <w:t xml:space="preserve">4. Resultados del Prototipo 1 en el laboratorio TaxFisco</w:t>
      </w:r>
    </w:p>
    <w:p>
      <w:pPr>
        <w:pStyle w:val="Normal"/>
        <w:spacing w:after="0" w:line="480" w:lineRule="auto"/>
        <w:ind w:firstLine="720"/>
        <w:jc w:val="both"/>
      </w:pPr>
      <w:r>
        <w:t xml:space="preserve">El primer laboratorio comprueba que cada componente de la cadena de detección opera por separado, para lo que su señuelo sigue la clasificación de señuelos de producción que describe Spitzner (2003) y responde al atacante como si sus servicios fueran reales. El ejercicio ejecuta una sola medición, registrada el catorce de septiembre de 2026, de manera que no existe comparación interna entre dos vueltas.</w:t>
      </w:r>
    </w:p>
    <w:p>
      <w:pPr>
        <w:pStyle w:val="Normal"/>
        <w:spacing w:after="0" w:line="480" w:lineRule="auto"/>
        <w:ind w:firstLine="720"/>
        <w:jc w:val="both"/>
      </w:pPr>
      <w:r>
        <w:t xml:space="preserve">Diez escenarios se ejecutan y nueve de ellos alcanzan medición, de manera que la campaña cubre el conjunto de técnicas que activa. La detección típica se sitúa en 0,826 segundos de mediana, mientras que la media de los nueve valores alcanza 41,598 segundos. Los dos escenarios de larga duración elevan esa media sin alterar la lectura del comportamiento típico del laboratorio.</w:t>
      </w:r>
    </w:p>
    <w:p>
      <w:pPr>
        <w:pStyle w:val="Normal"/>
        <w:spacing w:after="0" w:line="480" w:lineRule="auto"/>
        <w:ind w:firstLine="720"/>
        <w:jc w:val="both"/>
      </w:pPr>
      <w:r>
        <w:t xml:space="preserve">Cinco escenarios se resuelven por debajo de un segundo y siete por debajo de un minuto, de manera que la velocidad de la cadena se concentra en el rango corto. La Tabla 4 recoge el tiempo de cada escenario junto con la fuente que lo registra, mientras que la Figura 4 presenta esa misma información en orden de duración.</w:t>
      </w:r>
    </w:p>
    <w:p>
      <w:pPr>
        <w:pStyle w:val="FigureCaption"/>
        <w:keepNext/>
        <w:spacing w:before="240" w:after="0" w:line="240" w:lineRule="auto"/>
      </w:pPr>
      <w:r>
        <w:rPr>
          <w:b/>
          <w:bCs/>
          <w:i w:val="false"/>
          <w:iCs w:val="false"/>
          <w:sz w:val="22"/>
          <w:szCs w:val="22"/>
        </w:rPr>
        <w:t xml:space="preserve">Figura 4</w:t>
      </w:r>
    </w:p>
    <w:p>
      <w:pPr>
        <w:pStyle w:val="FigureCaption"/>
        <w:keepNext/>
        <w:spacing w:before="0" w:after="120" w:line="240" w:lineRule="auto"/>
      </w:pPr>
      <w:r>
        <w:rPr>
          <w:sz w:val="22"/>
          <w:szCs w:val="22"/>
        </w:rPr>
        <w:t xml:space="preserve">Tiempo de detección de los nueve escenarios medidos en el Prototipo 1</w:t>
      </w:r>
    </w:p>
    <w:p>
      <w:pPr>
        <w:pStyle w:val="FigureImage"/>
        <w:spacing w:before="120" w:after="60" w:line="240" w:lineRule="auto"/>
        <w:jc w:val="center"/>
      </w:pPr>
      <w:r>
        <w:drawing>
          <wp:inline xmlns:wp="http://schemas.openxmlformats.org/drawingml/2006/wordprocessingDrawing" distT="0" distB="0" distL="0" distR="0">
            <wp:extent cx="5943600" cy="2657475"/>
            <wp:effectExtent l="0" t="0" r="0" b="0"/>
            <wp:docPr id="4" name="Figura 4" descr="Tiempo de detección de los nueve escenarios medidos del Prototipo 1 en seg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iempo-prototipo-1.png"/>
                    <pic:cNvPicPr/>
                  </pic:nvPicPr>
                  <pic:blipFill>
                    <a:blip xmlns:r="http://schemas.openxmlformats.org/officeDocument/2006/relationships" r:embed="Rc16e1ee1e26845e8"/>
                    <a:stretch>
                      <a:fillRect/>
                    </a:stretch>
                  </pic:blipFill>
                  <pic:spPr>
                    <a:xfrm>
                      <a:off x="0" y="0"/>
                      <a:ext cx="5943600" cy="265747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Cada barra representa el tiempo de detección de un escenario del Prototipo 1, expresado en segundos. El escenario S10 no produjo tiempo de detección en esta ejecución.</w:t>
      </w:r>
    </w:p>
    <w:p>
      <w:pPr>
        <w:pStyle w:val="TableTitle"/>
        <w:keepNext/>
        <w:spacing w:before="240" w:after="0" w:line="240" w:lineRule="auto"/>
      </w:pPr>
      <w:r>
        <w:rPr>
          <w:b/>
          <w:bCs/>
          <w:i w:val="false"/>
          <w:iCs w:val="false"/>
          <w:sz w:val="22"/>
          <w:szCs w:val="22"/>
        </w:rPr>
        <w:t xml:space="preserve">Tabla 4</w:t>
      </w:r>
    </w:p>
    <w:p>
      <w:pPr>
        <w:pStyle w:val="TableTitle"/>
        <w:keepNext/>
        <w:spacing w:before="0" w:after="80" w:line="240" w:lineRule="auto"/>
      </w:pPr>
      <w:r>
        <w:rPr>
          <w:sz w:val="22"/>
          <w:szCs w:val="22"/>
        </w:rPr>
        <w:t xml:space="preserve">Tiempo de detección por escenario en el Prototipo 1 y fuente que lo registra</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3100"/>
        <w:gridCol w:w="1300"/>
        <w:gridCol w:w="1600"/>
        <w:gridCol w:w="3360"/>
      </w:tblGrid>
      <w:tr>
        <w:trPr>
          <w:tblHeader/>
          <w:cantSplit/>
        </w:trPr>
        <w:tc>
          <w:tcPr>
            <w:tcW w:w="3100" w:type="dxa"/>
            <w:tcBorders>
              <w:bottom w:val="single" w:color="000000" w:sz="6" w:space="0"/>
            </w:tcBorders>
            <w:vAlign w:val="top"/>
          </w:tcPr>
          <w:p>
            <w:pPr>
              <w:pStyle w:val="TableText"/>
              <w:spacing w:before="40" w:after="40" w:line="240" w:lineRule="auto"/>
              <w:jc w:val="left"/>
            </w:pPr>
            <w:r>
              <w:rPr>
                <w:b/>
                <w:bCs/>
                <w:sz w:val="20"/>
                <w:szCs w:val="20"/>
              </w:rPr>
              <w:t xml:space="preserve">Escenario</w:t>
            </w:r>
          </w:p>
        </w:tc>
        <w:tc>
          <w:tcPr>
            <w:tcW w:w="1300" w:type="dxa"/>
            <w:tcBorders>
              <w:bottom w:val="single" w:color="000000" w:sz="6" w:space="0"/>
            </w:tcBorders>
            <w:vAlign w:val="top"/>
          </w:tcPr>
          <w:p>
            <w:pPr>
              <w:pStyle w:val="TableText"/>
              <w:spacing w:before="40" w:after="40" w:line="240" w:lineRule="auto"/>
              <w:jc w:val="right"/>
            </w:pPr>
            <w:r>
              <w:rPr>
                <w:b/>
                <w:bCs/>
                <w:sz w:val="20"/>
                <w:szCs w:val="20"/>
              </w:rPr>
              <w:t xml:space="preserve">Técnica</w:t>
            </w:r>
          </w:p>
        </w:tc>
        <w:tc>
          <w:tcPr>
            <w:tcW w:w="1600" w:type="dxa"/>
            <w:tcBorders>
              <w:bottom w:val="single" w:color="000000" w:sz="6" w:space="0"/>
            </w:tcBorders>
            <w:vAlign w:val="top"/>
          </w:tcPr>
          <w:p>
            <w:pPr>
              <w:pStyle w:val="TableText"/>
              <w:spacing w:before="40" w:after="40" w:line="240" w:lineRule="auto"/>
              <w:jc w:val="right"/>
            </w:pPr>
            <w:r>
              <w:rPr>
                <w:b/>
                <w:bCs/>
                <w:sz w:val="20"/>
                <w:szCs w:val="20"/>
              </w:rPr>
              <w:t xml:space="preserve">Tiempo</w:t>
            </w:r>
          </w:p>
        </w:tc>
        <w:tc>
          <w:tcPr>
            <w:tcW w:w="3360" w:type="dxa"/>
            <w:tcBorders>
              <w:bottom w:val="single" w:color="000000" w:sz="6" w:space="0"/>
            </w:tcBorders>
            <w:vAlign w:val="top"/>
          </w:tcPr>
          <w:p>
            <w:pPr>
              <w:pStyle w:val="TableText"/>
              <w:spacing w:before="40" w:after="40" w:line="240" w:lineRule="auto"/>
              <w:jc w:val="left"/>
            </w:pPr>
            <w:r>
              <w:rPr>
                <w:b/>
                <w:bCs/>
                <w:sz w:val="20"/>
                <w:szCs w:val="20"/>
              </w:rPr>
              <w:t xml:space="preserve">Fuente que lo registra</w:t>
            </w:r>
          </w:p>
        </w:tc>
      </w:tr>
      <w:tr>
        <w:trPr>
          <w:cantSplit/>
        </w:trPr>
        <w:tc>
          <w:tcPr>
            <w:tcW w:w="3100" w:type="dxa"/>
            <w:vAlign w:val="top"/>
          </w:tcPr>
          <w:p>
            <w:pPr>
              <w:pStyle w:val="TableText"/>
              <w:spacing w:before="40" w:after="40" w:line="240" w:lineRule="auto"/>
              <w:jc w:val="left"/>
            </w:pPr>
            <w:r>
              <w:rPr>
                <w:sz w:val="20"/>
                <w:szCs w:val="20"/>
              </w:rPr>
              <w:t xml:space="preserve">S01 · Reconocimiento activo</w:t>
            </w:r>
          </w:p>
        </w:tc>
        <w:tc>
          <w:tcPr>
            <w:tcW w:w="1300" w:type="dxa"/>
            <w:vAlign w:val="top"/>
          </w:tcPr>
          <w:p>
            <w:pPr>
              <w:pStyle w:val="TableText"/>
              <w:spacing w:before="40" w:after="40" w:line="240" w:lineRule="auto"/>
              <w:jc w:val="right"/>
            </w:pPr>
            <w:r>
              <w:rPr>
                <w:sz w:val="20"/>
                <w:szCs w:val="20"/>
              </w:rPr>
              <w:t xml:space="preserve">T1595</w:t>
            </w:r>
          </w:p>
        </w:tc>
        <w:tc>
          <w:tcPr>
            <w:tcW w:w="1600" w:type="dxa"/>
            <w:vAlign w:val="top"/>
          </w:tcPr>
          <w:p>
            <w:pPr>
              <w:pStyle w:val="TableText"/>
              <w:spacing w:before="40" w:after="40" w:line="240" w:lineRule="auto"/>
              <w:jc w:val="right"/>
            </w:pPr>
            <w:r>
              <w:rPr>
                <w:sz w:val="20"/>
                <w:szCs w:val="20"/>
              </w:rPr>
              <w:t xml:space="preserve">16,405 s</w:t>
            </w:r>
          </w:p>
        </w:tc>
        <w:tc>
          <w:tcPr>
            <w:tcW w:w="3360" w:type="dxa"/>
            <w:vAlign w:val="top"/>
          </w:tcPr>
          <w:p>
            <w:pPr>
              <w:pStyle w:val="TableText"/>
              <w:spacing w:before="40" w:after="40" w:line="240" w:lineRule="auto"/>
              <w:jc w:val="left"/>
            </w:pPr>
            <w:r>
              <w:rPr>
                <w:sz w:val="20"/>
                <w:szCs w:val="20"/>
              </w:rPr>
              <w:t xml:space="preserve">Interfaz de servicios, vista del atacante</w:t>
            </w:r>
          </w:p>
        </w:tc>
      </w:tr>
      <w:tr>
        <w:trPr>
          <w:cantSplit/>
        </w:trPr>
        <w:tc>
          <w:tcPr>
            <w:tcW w:w="3100" w:type="dxa"/>
            <w:vAlign w:val="top"/>
          </w:tcPr>
          <w:p>
            <w:pPr>
              <w:pStyle w:val="TableText"/>
              <w:spacing w:before="40" w:after="40" w:line="240" w:lineRule="auto"/>
              <w:jc w:val="left"/>
            </w:pPr>
            <w:r>
              <w:rPr>
                <w:sz w:val="20"/>
                <w:szCs w:val="20"/>
              </w:rPr>
              <w:t xml:space="preserve">S02 · Escaneo web</w:t>
            </w:r>
          </w:p>
        </w:tc>
        <w:tc>
          <w:tcPr>
            <w:tcW w:w="1300" w:type="dxa"/>
            <w:vAlign w:val="top"/>
          </w:tcPr>
          <w:p>
            <w:pPr>
              <w:pStyle w:val="TableText"/>
              <w:spacing w:before="40" w:after="40" w:line="240" w:lineRule="auto"/>
              <w:jc w:val="right"/>
            </w:pPr>
            <w:r>
              <w:rPr>
                <w:sz w:val="20"/>
                <w:szCs w:val="20"/>
              </w:rPr>
              <w:t xml:space="preserve">T1595.002</w:t>
            </w:r>
          </w:p>
        </w:tc>
        <w:tc>
          <w:tcPr>
            <w:tcW w:w="1600" w:type="dxa"/>
            <w:vAlign w:val="top"/>
          </w:tcPr>
          <w:p>
            <w:pPr>
              <w:pStyle w:val="TableText"/>
              <w:spacing w:before="40" w:after="40" w:line="240" w:lineRule="auto"/>
              <w:jc w:val="right"/>
            </w:pPr>
            <w:r>
              <w:rPr>
                <w:sz w:val="20"/>
                <w:szCs w:val="20"/>
              </w:rPr>
              <w:t xml:space="preserve">0,826 s</w:t>
            </w:r>
          </w:p>
        </w:tc>
        <w:tc>
          <w:tcPr>
            <w:tcW w:w="3360" w:type="dxa"/>
            <w:vAlign w:val="top"/>
          </w:tcPr>
          <w:p>
            <w:pPr>
              <w:pStyle w:val="TableText"/>
              <w:spacing w:before="40" w:after="40" w:line="240" w:lineRule="auto"/>
              <w:jc w:val="left"/>
            </w:pPr>
            <w:r>
              <w:rPr>
                <w:sz w:val="20"/>
                <w:szCs w:val="20"/>
              </w:rPr>
              <w:t xml:space="preserve">Portal del señuelo</w:t>
            </w:r>
          </w:p>
        </w:tc>
      </w:tr>
      <w:tr>
        <w:trPr>
          <w:cantSplit/>
        </w:trPr>
        <w:tc>
          <w:tcPr>
            <w:tcW w:w="3100" w:type="dxa"/>
            <w:vAlign w:val="top"/>
          </w:tcPr>
          <w:p>
            <w:pPr>
              <w:pStyle w:val="TableText"/>
              <w:spacing w:before="40" w:after="40" w:line="240" w:lineRule="auto"/>
              <w:jc w:val="left"/>
            </w:pPr>
            <w:r>
              <w:rPr>
                <w:sz w:val="20"/>
                <w:szCs w:val="20"/>
              </w:rPr>
              <w:t xml:space="preserve">S03 · Fuerza bruta por acceso remoto</w:t>
            </w:r>
          </w:p>
        </w:tc>
        <w:tc>
          <w:tcPr>
            <w:tcW w:w="1300" w:type="dxa"/>
            <w:vAlign w:val="top"/>
          </w:tcPr>
          <w:p>
            <w:pPr>
              <w:pStyle w:val="TableText"/>
              <w:spacing w:before="40" w:after="40" w:line="240" w:lineRule="auto"/>
              <w:jc w:val="right"/>
            </w:pPr>
            <w:r>
              <w:rPr>
                <w:sz w:val="20"/>
                <w:szCs w:val="20"/>
              </w:rPr>
              <w:t xml:space="preserve">T1110.001</w:t>
            </w:r>
          </w:p>
        </w:tc>
        <w:tc>
          <w:tcPr>
            <w:tcW w:w="1600" w:type="dxa"/>
            <w:vAlign w:val="top"/>
          </w:tcPr>
          <w:p>
            <w:pPr>
              <w:pStyle w:val="TableText"/>
              <w:spacing w:before="40" w:after="40" w:line="240" w:lineRule="auto"/>
              <w:jc w:val="right"/>
            </w:pPr>
            <w:r>
              <w:rPr>
                <w:sz w:val="20"/>
                <w:szCs w:val="20"/>
              </w:rPr>
              <w:t xml:space="preserve">85,000 s</w:t>
            </w:r>
          </w:p>
        </w:tc>
        <w:tc>
          <w:tcPr>
            <w:tcW w:w="3360" w:type="dxa"/>
            <w:vAlign w:val="top"/>
          </w:tcPr>
          <w:p>
            <w:pPr>
              <w:pStyle w:val="TableText"/>
              <w:spacing w:before="40" w:after="40" w:line="240" w:lineRule="auto"/>
              <w:jc w:val="left"/>
            </w:pPr>
            <w:r>
              <w:rPr>
                <w:sz w:val="20"/>
                <w:szCs w:val="20"/>
              </w:rPr>
              <w:t xml:space="preserve">Emulador de acceso remoto</w:t>
            </w:r>
          </w:p>
        </w:tc>
      </w:tr>
      <w:tr>
        <w:trPr>
          <w:cantSplit/>
        </w:trPr>
        <w:tc>
          <w:tcPr>
            <w:tcW w:w="3100" w:type="dxa"/>
            <w:vAlign w:val="top"/>
          </w:tcPr>
          <w:p>
            <w:pPr>
              <w:pStyle w:val="TableText"/>
              <w:spacing w:before="40" w:after="40" w:line="240" w:lineRule="auto"/>
              <w:jc w:val="left"/>
            </w:pPr>
            <w:r>
              <w:rPr>
                <w:sz w:val="20"/>
                <w:szCs w:val="20"/>
              </w:rPr>
              <w:t xml:space="preserve">S04 · Inyección de consultas</w:t>
            </w:r>
          </w:p>
        </w:tc>
        <w:tc>
          <w:tcPr>
            <w:tcW w:w="1300" w:type="dxa"/>
            <w:vAlign w:val="top"/>
          </w:tcPr>
          <w:p>
            <w:pPr>
              <w:pStyle w:val="TableText"/>
              <w:spacing w:before="40" w:after="40" w:line="240" w:lineRule="auto"/>
              <w:jc w:val="right"/>
            </w:pPr>
            <w:r>
              <w:rPr>
                <w:sz w:val="20"/>
                <w:szCs w:val="20"/>
              </w:rPr>
              <w:t xml:space="preserve">T1190</w:t>
            </w:r>
          </w:p>
        </w:tc>
        <w:tc>
          <w:tcPr>
            <w:tcW w:w="1600" w:type="dxa"/>
            <w:vAlign w:val="top"/>
          </w:tcPr>
          <w:p>
            <w:pPr>
              <w:pStyle w:val="TableText"/>
              <w:spacing w:before="40" w:after="40" w:line="240" w:lineRule="auto"/>
              <w:jc w:val="right"/>
            </w:pPr>
            <w:r>
              <w:rPr>
                <w:sz w:val="20"/>
                <w:szCs w:val="20"/>
              </w:rPr>
              <w:t xml:space="preserve">260,108 s</w:t>
            </w:r>
          </w:p>
        </w:tc>
        <w:tc>
          <w:tcPr>
            <w:tcW w:w="3360" w:type="dxa"/>
            <w:vAlign w:val="top"/>
          </w:tcPr>
          <w:p>
            <w:pPr>
              <w:pStyle w:val="TableText"/>
              <w:spacing w:before="40" w:after="40" w:line="240" w:lineRule="auto"/>
              <w:jc w:val="left"/>
            </w:pPr>
            <w:r>
              <w:rPr>
                <w:sz w:val="20"/>
                <w:szCs w:val="20"/>
              </w:rPr>
              <w:t xml:space="preserve">Interfaz de servicios</w:t>
            </w:r>
          </w:p>
        </w:tc>
      </w:tr>
      <w:tr>
        <w:trPr>
          <w:cantSplit/>
        </w:trPr>
        <w:tc>
          <w:tcPr>
            <w:tcW w:w="3100" w:type="dxa"/>
            <w:vAlign w:val="top"/>
          </w:tcPr>
          <w:p>
            <w:pPr>
              <w:pStyle w:val="TableText"/>
              <w:spacing w:before="40" w:after="40" w:line="240" w:lineRule="auto"/>
              <w:jc w:val="left"/>
            </w:pPr>
            <w:r>
              <w:rPr>
                <w:sz w:val="20"/>
                <w:szCs w:val="20"/>
              </w:rPr>
              <w:t xml:space="preserve">S05 · Suplantación de credenciales</w:t>
            </w:r>
          </w:p>
        </w:tc>
        <w:tc>
          <w:tcPr>
            <w:tcW w:w="1300" w:type="dxa"/>
            <w:vAlign w:val="top"/>
          </w:tcPr>
          <w:p>
            <w:pPr>
              <w:pStyle w:val="TableText"/>
              <w:spacing w:before="40" w:after="40" w:line="240" w:lineRule="auto"/>
              <w:jc w:val="right"/>
            </w:pPr>
            <w:r>
              <w:rPr>
                <w:sz w:val="20"/>
                <w:szCs w:val="20"/>
              </w:rPr>
              <w:t xml:space="preserve">T1110.004</w:t>
            </w:r>
          </w:p>
        </w:tc>
        <w:tc>
          <w:tcPr>
            <w:tcW w:w="1600" w:type="dxa"/>
            <w:vAlign w:val="top"/>
          </w:tcPr>
          <w:p>
            <w:pPr>
              <w:pStyle w:val="TableText"/>
              <w:spacing w:before="40" w:after="40" w:line="240" w:lineRule="auto"/>
              <w:jc w:val="right"/>
            </w:pPr>
            <w:r>
              <w:rPr>
                <w:sz w:val="20"/>
                <w:szCs w:val="20"/>
              </w:rPr>
              <w:t xml:space="preserve">0,141 s</w:t>
            </w:r>
          </w:p>
        </w:tc>
        <w:tc>
          <w:tcPr>
            <w:tcW w:w="3360" w:type="dxa"/>
            <w:vAlign w:val="top"/>
          </w:tcPr>
          <w:p>
            <w:pPr>
              <w:pStyle w:val="TableText"/>
              <w:spacing w:before="40" w:after="40" w:line="240" w:lineRule="auto"/>
              <w:jc w:val="left"/>
            </w:pPr>
            <w:r>
              <w:rPr>
                <w:sz w:val="20"/>
                <w:szCs w:val="20"/>
              </w:rPr>
              <w:t xml:space="preserve">Interfaz de servicios</w:t>
            </w:r>
          </w:p>
        </w:tc>
      </w:tr>
      <w:tr>
        <w:trPr>
          <w:cantSplit/>
        </w:trPr>
        <w:tc>
          <w:tcPr>
            <w:tcW w:w="3100" w:type="dxa"/>
            <w:vAlign w:val="top"/>
          </w:tcPr>
          <w:p>
            <w:pPr>
              <w:pStyle w:val="TableText"/>
              <w:spacing w:before="40" w:after="40" w:line="240" w:lineRule="auto"/>
              <w:jc w:val="left"/>
            </w:pPr>
            <w:r>
              <w:rPr>
                <w:sz w:val="20"/>
                <w:szCs w:val="20"/>
              </w:rPr>
              <w:t xml:space="preserve">S06 · Inyección en el navegador</w:t>
            </w:r>
          </w:p>
        </w:tc>
        <w:tc>
          <w:tcPr>
            <w:tcW w:w="1300" w:type="dxa"/>
            <w:vAlign w:val="top"/>
          </w:tcPr>
          <w:p>
            <w:pPr>
              <w:pStyle w:val="TableText"/>
              <w:spacing w:before="40" w:after="40" w:line="240" w:lineRule="auto"/>
              <w:jc w:val="right"/>
            </w:pPr>
            <w:r>
              <w:rPr>
                <w:sz w:val="20"/>
                <w:szCs w:val="20"/>
              </w:rPr>
              <w:t xml:space="preserve">T1059.007</w:t>
            </w:r>
          </w:p>
        </w:tc>
        <w:tc>
          <w:tcPr>
            <w:tcW w:w="1600" w:type="dxa"/>
            <w:vAlign w:val="top"/>
          </w:tcPr>
          <w:p>
            <w:pPr>
              <w:pStyle w:val="TableText"/>
              <w:spacing w:before="40" w:after="40" w:line="240" w:lineRule="auto"/>
              <w:jc w:val="right"/>
            </w:pPr>
            <w:r>
              <w:rPr>
                <w:sz w:val="20"/>
                <w:szCs w:val="20"/>
              </w:rPr>
              <w:t xml:space="preserve">0,824 s</w:t>
            </w:r>
          </w:p>
        </w:tc>
        <w:tc>
          <w:tcPr>
            <w:tcW w:w="3360" w:type="dxa"/>
            <w:vAlign w:val="top"/>
          </w:tcPr>
          <w:p>
            <w:pPr>
              <w:pStyle w:val="TableText"/>
              <w:spacing w:before="40" w:after="40" w:line="240" w:lineRule="auto"/>
              <w:jc w:val="left"/>
            </w:pPr>
            <w:r>
              <w:rPr>
                <w:sz w:val="20"/>
                <w:szCs w:val="20"/>
              </w:rPr>
              <w:t xml:space="preserve">Interfaz de servicios</w:t>
            </w:r>
          </w:p>
        </w:tc>
      </w:tr>
      <w:tr>
        <w:trPr>
          <w:cantSplit/>
        </w:trPr>
        <w:tc>
          <w:tcPr>
            <w:tcW w:w="3100" w:type="dxa"/>
            <w:vAlign w:val="top"/>
          </w:tcPr>
          <w:p>
            <w:pPr>
              <w:pStyle w:val="TableText"/>
              <w:spacing w:before="40" w:after="40" w:line="240" w:lineRule="auto"/>
              <w:jc w:val="left"/>
            </w:pPr>
            <w:r>
              <w:rPr>
                <w:sz w:val="20"/>
                <w:szCs w:val="20"/>
              </w:rPr>
              <w:t xml:space="preserve">S07 · Abuso de la interfaz</w:t>
            </w:r>
          </w:p>
        </w:tc>
        <w:tc>
          <w:tcPr>
            <w:tcW w:w="1300" w:type="dxa"/>
            <w:vAlign w:val="top"/>
          </w:tcPr>
          <w:p>
            <w:pPr>
              <w:pStyle w:val="TableText"/>
              <w:spacing w:before="40" w:after="40" w:line="240" w:lineRule="auto"/>
              <w:jc w:val="right"/>
            </w:pPr>
            <w:r>
              <w:rPr>
                <w:sz w:val="20"/>
                <w:szCs w:val="20"/>
              </w:rPr>
              <w:t xml:space="preserve">T1078</w:t>
            </w:r>
          </w:p>
        </w:tc>
        <w:tc>
          <w:tcPr>
            <w:tcW w:w="1600" w:type="dxa"/>
            <w:vAlign w:val="top"/>
          </w:tcPr>
          <w:p>
            <w:pPr>
              <w:pStyle w:val="TableText"/>
              <w:spacing w:before="40" w:after="40" w:line="240" w:lineRule="auto"/>
              <w:jc w:val="right"/>
            </w:pPr>
            <w:r>
              <w:rPr>
                <w:sz w:val="20"/>
                <w:szCs w:val="20"/>
              </w:rPr>
              <w:t xml:space="preserve">0,543 s</w:t>
            </w:r>
          </w:p>
        </w:tc>
        <w:tc>
          <w:tcPr>
            <w:tcW w:w="3360" w:type="dxa"/>
            <w:vAlign w:val="top"/>
          </w:tcPr>
          <w:p>
            <w:pPr>
              <w:pStyle w:val="TableText"/>
              <w:spacing w:before="40" w:after="40" w:line="240" w:lineRule="auto"/>
              <w:jc w:val="left"/>
            </w:pPr>
            <w:r>
              <w:rPr>
                <w:sz w:val="20"/>
                <w:szCs w:val="20"/>
              </w:rPr>
              <w:t xml:space="preserve">Interfaz de servicios, registro de ruta</w:t>
            </w:r>
          </w:p>
        </w:tc>
      </w:tr>
      <w:tr>
        <w:trPr>
          <w:cantSplit/>
        </w:trPr>
        <w:tc>
          <w:tcPr>
            <w:tcW w:w="3100" w:type="dxa"/>
            <w:vAlign w:val="top"/>
          </w:tcPr>
          <w:p>
            <w:pPr>
              <w:pStyle w:val="TableText"/>
              <w:spacing w:before="40" w:after="40" w:line="240" w:lineRule="auto"/>
              <w:jc w:val="left"/>
            </w:pPr>
            <w:r>
              <w:rPr>
                <w:sz w:val="20"/>
                <w:szCs w:val="20"/>
              </w:rPr>
              <w:t xml:space="preserve">S08 · Depósito de archivo</w:t>
            </w:r>
          </w:p>
        </w:tc>
        <w:tc>
          <w:tcPr>
            <w:tcW w:w="1300" w:type="dxa"/>
            <w:vAlign w:val="top"/>
          </w:tcPr>
          <w:p>
            <w:pPr>
              <w:pStyle w:val="TableText"/>
              <w:spacing w:before="40" w:after="40" w:line="240" w:lineRule="auto"/>
              <w:jc w:val="right"/>
            </w:pPr>
            <w:r>
              <w:rPr>
                <w:sz w:val="20"/>
                <w:szCs w:val="20"/>
              </w:rPr>
              <w:t xml:space="preserve">T1105</w:t>
            </w:r>
          </w:p>
        </w:tc>
        <w:tc>
          <w:tcPr>
            <w:tcW w:w="1600" w:type="dxa"/>
            <w:vAlign w:val="top"/>
          </w:tcPr>
          <w:p>
            <w:pPr>
              <w:pStyle w:val="TableText"/>
              <w:spacing w:before="40" w:after="40" w:line="240" w:lineRule="auto"/>
              <w:jc w:val="right"/>
            </w:pPr>
            <w:r>
              <w:rPr>
                <w:sz w:val="20"/>
                <w:szCs w:val="20"/>
              </w:rPr>
              <w:t xml:space="preserve">0,533 s</w:t>
            </w:r>
          </w:p>
        </w:tc>
        <w:tc>
          <w:tcPr>
            <w:tcW w:w="3360" w:type="dxa"/>
            <w:vAlign w:val="top"/>
          </w:tcPr>
          <w:p>
            <w:pPr>
              <w:pStyle w:val="TableText"/>
              <w:spacing w:before="40" w:after="40" w:line="240" w:lineRule="auto"/>
              <w:jc w:val="left"/>
            </w:pPr>
            <w:r>
              <w:rPr>
                <w:sz w:val="20"/>
                <w:szCs w:val="20"/>
              </w:rPr>
              <w:t xml:space="preserve">Interfaz de servicios, registro de ruta</w:t>
            </w:r>
          </w:p>
        </w:tc>
      </w:tr>
      <w:tr>
        <w:trPr>
          <w:cantSplit/>
        </w:trPr>
        <w:tc>
          <w:tcPr>
            <w:tcW w:w="3100" w:type="dxa"/>
            <w:vAlign w:val="top"/>
          </w:tcPr>
          <w:p>
            <w:pPr>
              <w:pStyle w:val="TableText"/>
              <w:spacing w:before="40" w:after="40" w:line="240" w:lineRule="auto"/>
              <w:jc w:val="left"/>
            </w:pPr>
            <w:r>
              <w:rPr>
                <w:sz w:val="20"/>
                <w:szCs w:val="20"/>
              </w:rPr>
              <w:t xml:space="preserve">S09 · Conexión inversa</w:t>
            </w:r>
          </w:p>
        </w:tc>
        <w:tc>
          <w:tcPr>
            <w:tcW w:w="1300" w:type="dxa"/>
            <w:vAlign w:val="top"/>
          </w:tcPr>
          <w:p>
            <w:pPr>
              <w:pStyle w:val="TableText"/>
              <w:spacing w:before="40" w:after="40" w:line="240" w:lineRule="auto"/>
              <w:jc w:val="right"/>
            </w:pPr>
            <w:r>
              <w:rPr>
                <w:sz w:val="20"/>
                <w:szCs w:val="20"/>
              </w:rPr>
              <w:t xml:space="preserve">T1059.004</w:t>
            </w:r>
          </w:p>
        </w:tc>
        <w:tc>
          <w:tcPr>
            <w:tcW w:w="1600" w:type="dxa"/>
            <w:vAlign w:val="top"/>
          </w:tcPr>
          <w:p>
            <w:pPr>
              <w:pStyle w:val="TableText"/>
              <w:spacing w:before="40" w:after="40" w:line="240" w:lineRule="auto"/>
              <w:jc w:val="right"/>
            </w:pPr>
            <w:r>
              <w:rPr>
                <w:sz w:val="20"/>
                <w:szCs w:val="20"/>
              </w:rPr>
              <w:t xml:space="preserve">10,000 s</w:t>
            </w:r>
          </w:p>
        </w:tc>
        <w:tc>
          <w:tcPr>
            <w:tcW w:w="3360" w:type="dxa"/>
            <w:vAlign w:val="top"/>
          </w:tcPr>
          <w:p>
            <w:pPr>
              <w:pStyle w:val="TableText"/>
              <w:spacing w:before="40" w:after="40" w:line="240" w:lineRule="auto"/>
              <w:jc w:val="left"/>
            </w:pPr>
            <w:r>
              <w:rPr>
                <w:sz w:val="20"/>
                <w:szCs w:val="20"/>
              </w:rPr>
              <w:t xml:space="preserve">Emulador de acceso remoto</w:t>
            </w:r>
          </w:p>
        </w:tc>
      </w:tr>
      <w:tr>
        <w:trPr>
          <w:cantSplit/>
        </w:trPr>
        <w:tc>
          <w:tcPr>
            <w:tcW w:w="3100" w:type="dxa"/>
            <w:vAlign w:val="top"/>
          </w:tcPr>
          <w:p>
            <w:pPr>
              <w:pStyle w:val="TableText"/>
              <w:spacing w:before="40" w:after="40" w:line="240" w:lineRule="auto"/>
              <w:jc w:val="left"/>
            </w:pPr>
            <w:r>
              <w:rPr>
                <w:sz w:val="20"/>
                <w:szCs w:val="20"/>
              </w:rPr>
              <w:t xml:space="preserve">S10 · Exfiltración por nombres de dominio</w:t>
            </w:r>
          </w:p>
        </w:tc>
        <w:tc>
          <w:tcPr>
            <w:tcW w:w="1300" w:type="dxa"/>
            <w:vAlign w:val="top"/>
          </w:tcPr>
          <w:p>
            <w:pPr>
              <w:pStyle w:val="TableText"/>
              <w:spacing w:before="40" w:after="40" w:line="240" w:lineRule="auto"/>
              <w:jc w:val="right"/>
            </w:pPr>
            <w:r>
              <w:rPr>
                <w:sz w:val="20"/>
                <w:szCs w:val="20"/>
              </w:rPr>
              <w:t xml:space="preserve">T1048.003</w:t>
            </w:r>
          </w:p>
        </w:tc>
        <w:tc>
          <w:tcPr>
            <w:tcW w:w="1600" w:type="dxa"/>
            <w:vAlign w:val="top"/>
          </w:tcPr>
          <w:p>
            <w:pPr>
              <w:pStyle w:val="TableText"/>
              <w:spacing w:before="40" w:after="40" w:line="240" w:lineRule="auto"/>
              <w:jc w:val="right"/>
            </w:pPr>
            <w:r>
              <w:rPr>
                <w:sz w:val="20"/>
                <w:szCs w:val="20"/>
              </w:rPr>
              <w:t xml:space="preserve">Fuera de la medición</w:t>
            </w:r>
          </w:p>
        </w:tc>
        <w:tc>
          <w:tcPr>
            <w:tcW w:w="3360" w:type="dxa"/>
            <w:vAlign w:val="top"/>
          </w:tcPr>
          <w:p>
            <w:pPr>
              <w:pStyle w:val="TableText"/>
              <w:spacing w:before="40" w:after="40" w:line="240" w:lineRule="auto"/>
              <w:jc w:val="left"/>
            </w:pPr>
            <w:r>
              <w:rPr>
                <w:sz w:val="20"/>
                <w:szCs w:val="20"/>
              </w:rPr>
              <w:t xml:space="preserve">Ninguna fuente lo registró</w:t>
            </w:r>
          </w:p>
        </w:tc>
      </w:tr>
    </w:tbl>
    <w:p>
      <w:pPr>
        <w:pStyle w:val="TableNote"/>
        <w:spacing w:before="60" w:after="240" w:line="240" w:lineRule="auto"/>
      </w:pPr>
      <w:r>
        <w:rPr>
          <w:sz w:val="20"/>
          <w:szCs w:val="20"/>
        </w:rPr>
        <w:t xml:space="preserve">Nota. </w:t>
      </w:r>
      <w:r>
        <w:rPr>
          <w:sz w:val="20"/>
          <w:szCs w:val="20"/>
        </w:rPr>
        <w:t xml:space="preserve">El tiempo de detección se expresa en segundos y corresponde al intervalo entre el inicio del escenario y la primera señal registrada. El escenario S10 no produjo tiempo de detección en esta ejecución, porque el cálculo consultaba tres fuentes y ninguna leía el tráfico DNS. Los datos proceden del reporte de indicadores del Prototipo 1, archivo evidencias/07-metricas/07_kpi-report.json.</w:t>
      </w:r>
    </w:p>
    <w:p>
      <w:pPr>
        <w:pStyle w:val="Normal"/>
        <w:spacing w:after="0" w:line="480" w:lineRule="auto"/>
        <w:ind w:firstLine="720"/>
        <w:jc w:val="both"/>
      </w:pPr>
      <w:r>
        <w:t xml:space="preserve">La Tabla 5 agrupa los nueve escenarios medidos por tramo de duración, de manera que el lector comprueba que el comportamiento típico del laboratorio se sitúa por debajo de un segundo. La Tabla 6 muestra los cinco componentes que registran la detección, de manera que cada fila indica cuántos de los nueve escenarios medidos aporta cada componente a la cadena de alerta.</w:t>
      </w:r>
    </w:p>
    <w:p>
      <w:pPr>
        <w:pStyle w:val="FigureCaption"/>
        <w:keepNext/>
        <w:spacing w:before="240" w:after="0" w:line="240" w:lineRule="auto"/>
      </w:pPr>
      <w:r>
        <w:rPr>
          <w:b/>
          <w:bCs/>
          <w:i w:val="false"/>
          <w:iCs w:val="false"/>
          <w:sz w:val="22"/>
          <w:szCs w:val="22"/>
        </w:rPr>
        <w:t xml:space="preserve">Figura 5</w:t>
      </w:r>
    </w:p>
    <w:p>
      <w:pPr>
        <w:pStyle w:val="FigureCaption"/>
        <w:keepNext/>
        <w:spacing w:before="0" w:after="120" w:line="240" w:lineRule="auto"/>
      </w:pPr>
      <w:r>
        <w:rPr>
          <w:sz w:val="22"/>
          <w:szCs w:val="22"/>
        </w:rPr>
        <w:t xml:space="preserve">Distribución del tiempo de detección de los nueve escenarios medidos del Prototipo 1</w:t>
      </w:r>
    </w:p>
    <w:p>
      <w:pPr>
        <w:pStyle w:val="FigureImage"/>
        <w:spacing w:before="120" w:after="60" w:line="240" w:lineRule="auto"/>
        <w:jc w:val="center"/>
      </w:pPr>
      <w:r>
        <w:drawing>
          <wp:inline xmlns:wp="http://schemas.openxmlformats.org/drawingml/2006/wordprocessingDrawing" distT="0" distB="0" distL="0" distR="0">
            <wp:extent cx="4000500" cy="2028825"/>
            <wp:effectExtent l="0" t="0" r="0" b="0"/>
            <wp:docPr id="5" name="Figura 5" descr="Histograma de los nueve escenarios medidos del Prototipo 1 por tramo de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istribucion-tiempo-1.png"/>
                    <pic:cNvPicPr/>
                  </pic:nvPicPr>
                  <pic:blipFill>
                    <a:blip xmlns:r="http://schemas.openxmlformats.org/officeDocument/2006/relationships" r:embed="Rb0d280dc738d4bd8"/>
                    <a:stretch>
                      <a:fillRect/>
                    </a:stretch>
                  </pic:blipFill>
                  <pic:spPr>
                    <a:xfrm>
                      <a:off x="0" y="0"/>
                      <a:ext cx="4000500" cy="202882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El histograma agrupa los nueve escenarios medidos del Prototipo 1 por tramo de duración. Los tramos reproducen los tiempos de la Tabla 4.</w:t>
      </w:r>
    </w:p>
    <w:p>
      <w:pPr>
        <w:pStyle w:val="TableTitle"/>
        <w:keepNext/>
        <w:spacing w:before="240" w:after="0" w:line="240" w:lineRule="auto"/>
      </w:pPr>
      <w:r>
        <w:rPr>
          <w:b/>
          <w:bCs/>
          <w:i w:val="false"/>
          <w:iCs w:val="false"/>
          <w:sz w:val="22"/>
          <w:szCs w:val="22"/>
        </w:rPr>
        <w:t xml:space="preserve">Tabla 5</w:t>
      </w:r>
    </w:p>
    <w:p>
      <w:pPr>
        <w:pStyle w:val="TableTitle"/>
        <w:keepNext/>
        <w:spacing w:before="0" w:after="80" w:line="240" w:lineRule="auto"/>
      </w:pPr>
      <w:r>
        <w:rPr>
          <w:sz w:val="22"/>
          <w:szCs w:val="22"/>
        </w:rPr>
        <w:t xml:space="preserve">Distribución del tiempo de detección de los nueve escenarios medidos del Prototipo 1</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700"/>
        <w:gridCol w:w="1300"/>
        <w:gridCol w:w="5360"/>
      </w:tblGrid>
      <w:tr>
        <w:trPr>
          <w:tblHeader/>
          <w:cantSplit/>
        </w:trPr>
        <w:tc>
          <w:tcPr>
            <w:tcW w:w="2700" w:type="dxa"/>
            <w:tcBorders>
              <w:bottom w:val="single" w:color="000000" w:sz="6" w:space="0"/>
            </w:tcBorders>
            <w:vAlign w:val="top"/>
          </w:tcPr>
          <w:p>
            <w:pPr>
              <w:pStyle w:val="TableText"/>
              <w:spacing w:before="40" w:after="40" w:line="240" w:lineRule="auto"/>
              <w:jc w:val="left"/>
            </w:pPr>
            <w:r>
              <w:rPr>
                <w:b/>
                <w:bCs/>
                <w:sz w:val="20"/>
                <w:szCs w:val="20"/>
              </w:rPr>
              <w:t xml:space="preserve">Tramo de duración</w:t>
            </w:r>
          </w:p>
        </w:tc>
        <w:tc>
          <w:tcPr>
            <w:tcW w:w="1300" w:type="dxa"/>
            <w:tcBorders>
              <w:bottom w:val="single" w:color="000000" w:sz="6" w:space="0"/>
            </w:tcBorders>
            <w:vAlign w:val="top"/>
          </w:tcPr>
          <w:p>
            <w:pPr>
              <w:pStyle w:val="TableText"/>
              <w:spacing w:before="40" w:after="40" w:line="240" w:lineRule="auto"/>
              <w:jc w:val="right"/>
            </w:pPr>
            <w:r>
              <w:rPr>
                <w:b/>
                <w:bCs/>
                <w:sz w:val="20"/>
                <w:szCs w:val="20"/>
              </w:rPr>
              <w:t xml:space="preserve">Escenarios</w:t>
            </w:r>
          </w:p>
        </w:tc>
        <w:tc>
          <w:tcPr>
            <w:tcW w:w="5360" w:type="dxa"/>
            <w:tcBorders>
              <w:bottom w:val="single" w:color="000000" w:sz="6" w:space="0"/>
            </w:tcBorders>
            <w:vAlign w:val="top"/>
          </w:tcPr>
          <w:p>
            <w:pPr>
              <w:pStyle w:val="TableText"/>
              <w:spacing w:before="40" w:after="40" w:line="240" w:lineRule="auto"/>
              <w:jc w:val="left"/>
            </w:pPr>
            <w:r>
              <w:rPr>
                <w:b/>
                <w:bCs/>
                <w:sz w:val="20"/>
                <w:szCs w:val="20"/>
              </w:rPr>
              <w:t xml:space="preserve">Identificación de los escenarios</w:t>
            </w:r>
          </w:p>
        </w:tc>
      </w:tr>
      <w:tr>
        <w:trPr>
          <w:cantSplit/>
        </w:trPr>
        <w:tc>
          <w:tcPr>
            <w:tcW w:w="2700" w:type="dxa"/>
            <w:vAlign w:val="top"/>
          </w:tcPr>
          <w:p>
            <w:pPr>
              <w:pStyle w:val="TableText"/>
              <w:spacing w:before="40" w:after="40" w:line="240" w:lineRule="auto"/>
              <w:jc w:val="left"/>
            </w:pPr>
            <w:r>
              <w:rPr>
                <w:sz w:val="20"/>
                <w:szCs w:val="20"/>
              </w:rPr>
              <w:t xml:space="preserve">Por debajo de un segundo</w:t>
            </w:r>
          </w:p>
        </w:tc>
        <w:tc>
          <w:tcPr>
            <w:tcW w:w="1300" w:type="dxa"/>
            <w:vAlign w:val="top"/>
          </w:tcPr>
          <w:p>
            <w:pPr>
              <w:pStyle w:val="TableText"/>
              <w:spacing w:before="40" w:after="40" w:line="240" w:lineRule="auto"/>
              <w:jc w:val="right"/>
            </w:pPr>
            <w:r>
              <w:rPr>
                <w:sz w:val="20"/>
                <w:szCs w:val="20"/>
              </w:rPr>
              <w:t xml:space="preserve">5</w:t>
            </w:r>
          </w:p>
        </w:tc>
        <w:tc>
          <w:tcPr>
            <w:tcW w:w="5360" w:type="dxa"/>
            <w:vAlign w:val="top"/>
          </w:tcPr>
          <w:p>
            <w:pPr>
              <w:pStyle w:val="TableText"/>
              <w:spacing w:before="40" w:after="40" w:line="240" w:lineRule="auto"/>
              <w:jc w:val="left"/>
            </w:pPr>
            <w:r>
              <w:rPr>
                <w:sz w:val="20"/>
                <w:szCs w:val="20"/>
              </w:rPr>
              <w:t xml:space="preserve">S02, S05, S06, S07, S08</w:t>
            </w:r>
          </w:p>
        </w:tc>
      </w:tr>
      <w:tr>
        <w:trPr>
          <w:cantSplit/>
        </w:trPr>
        <w:tc>
          <w:tcPr>
            <w:tcW w:w="2700" w:type="dxa"/>
            <w:vAlign w:val="top"/>
          </w:tcPr>
          <w:p>
            <w:pPr>
              <w:pStyle w:val="TableText"/>
              <w:spacing w:before="40" w:after="40" w:line="240" w:lineRule="auto"/>
              <w:jc w:val="left"/>
            </w:pPr>
            <w:r>
              <w:rPr>
                <w:sz w:val="20"/>
                <w:szCs w:val="20"/>
              </w:rPr>
              <w:t xml:space="preserve">De uno a diez segundos</w:t>
            </w:r>
          </w:p>
        </w:tc>
        <w:tc>
          <w:tcPr>
            <w:tcW w:w="1300" w:type="dxa"/>
            <w:vAlign w:val="top"/>
          </w:tcPr>
          <w:p>
            <w:pPr>
              <w:pStyle w:val="TableText"/>
              <w:spacing w:before="40" w:after="40" w:line="240" w:lineRule="auto"/>
              <w:jc w:val="right"/>
            </w:pPr>
            <w:r>
              <w:rPr>
                <w:sz w:val="20"/>
                <w:szCs w:val="20"/>
              </w:rPr>
              <w:t xml:space="preserve">1</w:t>
            </w:r>
          </w:p>
        </w:tc>
        <w:tc>
          <w:tcPr>
            <w:tcW w:w="5360" w:type="dxa"/>
            <w:vAlign w:val="top"/>
          </w:tcPr>
          <w:p>
            <w:pPr>
              <w:pStyle w:val="TableText"/>
              <w:spacing w:before="40" w:after="40" w:line="240" w:lineRule="auto"/>
              <w:jc w:val="left"/>
            </w:pPr>
            <w:r>
              <w:rPr>
                <w:sz w:val="20"/>
                <w:szCs w:val="20"/>
              </w:rPr>
              <w:t xml:space="preserve">S09</w:t>
            </w:r>
          </w:p>
        </w:tc>
      </w:tr>
      <w:tr>
        <w:trPr>
          <w:cantSplit/>
        </w:trPr>
        <w:tc>
          <w:tcPr>
            <w:tcW w:w="2700" w:type="dxa"/>
            <w:vAlign w:val="top"/>
          </w:tcPr>
          <w:p>
            <w:pPr>
              <w:pStyle w:val="TableText"/>
              <w:spacing w:before="40" w:after="40" w:line="240" w:lineRule="auto"/>
              <w:jc w:val="left"/>
            </w:pPr>
            <w:r>
              <w:rPr>
                <w:sz w:val="20"/>
                <w:szCs w:val="20"/>
              </w:rPr>
              <w:t xml:space="preserve">De diez a sesenta segundos</w:t>
            </w:r>
          </w:p>
        </w:tc>
        <w:tc>
          <w:tcPr>
            <w:tcW w:w="1300" w:type="dxa"/>
            <w:vAlign w:val="top"/>
          </w:tcPr>
          <w:p>
            <w:pPr>
              <w:pStyle w:val="TableText"/>
              <w:spacing w:before="40" w:after="40" w:line="240" w:lineRule="auto"/>
              <w:jc w:val="right"/>
            </w:pPr>
            <w:r>
              <w:rPr>
                <w:sz w:val="20"/>
                <w:szCs w:val="20"/>
              </w:rPr>
              <w:t xml:space="preserve">1</w:t>
            </w:r>
          </w:p>
        </w:tc>
        <w:tc>
          <w:tcPr>
            <w:tcW w:w="5360" w:type="dxa"/>
            <w:vAlign w:val="top"/>
          </w:tcPr>
          <w:p>
            <w:pPr>
              <w:pStyle w:val="TableText"/>
              <w:spacing w:before="40" w:after="40" w:line="240" w:lineRule="auto"/>
              <w:jc w:val="left"/>
            </w:pPr>
            <w:r>
              <w:rPr>
                <w:sz w:val="20"/>
                <w:szCs w:val="20"/>
              </w:rPr>
              <w:t xml:space="preserve">S01</w:t>
            </w:r>
          </w:p>
        </w:tc>
      </w:tr>
      <w:tr>
        <w:trPr>
          <w:cantSplit/>
        </w:trPr>
        <w:tc>
          <w:tcPr>
            <w:tcW w:w="2700" w:type="dxa"/>
            <w:vAlign w:val="top"/>
          </w:tcPr>
          <w:p>
            <w:pPr>
              <w:pStyle w:val="TableText"/>
              <w:spacing w:before="40" w:after="40" w:line="240" w:lineRule="auto"/>
              <w:jc w:val="left"/>
            </w:pPr>
            <w:r>
              <w:rPr>
                <w:sz w:val="20"/>
                <w:szCs w:val="20"/>
              </w:rPr>
              <w:t xml:space="preserve">Más de sesenta segundos</w:t>
            </w:r>
          </w:p>
        </w:tc>
        <w:tc>
          <w:tcPr>
            <w:tcW w:w="1300" w:type="dxa"/>
            <w:vAlign w:val="top"/>
          </w:tcPr>
          <w:p>
            <w:pPr>
              <w:pStyle w:val="TableText"/>
              <w:spacing w:before="40" w:after="40" w:line="240" w:lineRule="auto"/>
              <w:jc w:val="right"/>
            </w:pPr>
            <w:r>
              <w:rPr>
                <w:sz w:val="20"/>
                <w:szCs w:val="20"/>
              </w:rPr>
              <w:t xml:space="preserve">2</w:t>
            </w:r>
          </w:p>
        </w:tc>
        <w:tc>
          <w:tcPr>
            <w:tcW w:w="5360" w:type="dxa"/>
            <w:vAlign w:val="top"/>
          </w:tcPr>
          <w:p>
            <w:pPr>
              <w:pStyle w:val="TableText"/>
              <w:spacing w:before="40" w:after="40" w:line="240" w:lineRule="auto"/>
              <w:jc w:val="left"/>
            </w:pPr>
            <w:r>
              <w:rPr>
                <w:sz w:val="20"/>
                <w:szCs w:val="20"/>
              </w:rPr>
              <w:t xml:space="preserve">S03, S04</w:t>
            </w:r>
          </w:p>
        </w:tc>
      </w:tr>
      <w:tr>
        <w:trPr>
          <w:cantSplit/>
        </w:trPr>
        <w:tc>
          <w:tcPr>
            <w:tcW w:w="2700" w:type="dxa"/>
            <w:vAlign w:val="top"/>
          </w:tcPr>
          <w:p>
            <w:pPr>
              <w:pStyle w:val="TableText"/>
              <w:spacing w:before="40" w:after="40" w:line="240" w:lineRule="auto"/>
              <w:jc w:val="left"/>
            </w:pPr>
            <w:r>
              <w:rPr>
                <w:sz w:val="20"/>
                <w:szCs w:val="20"/>
              </w:rPr>
              <w:t xml:space="preserve">Total de escenarios medidos</w:t>
            </w:r>
          </w:p>
        </w:tc>
        <w:tc>
          <w:tcPr>
            <w:tcW w:w="1300" w:type="dxa"/>
            <w:vAlign w:val="top"/>
          </w:tcPr>
          <w:p>
            <w:pPr>
              <w:pStyle w:val="TableText"/>
              <w:spacing w:before="40" w:after="40" w:line="240" w:lineRule="auto"/>
              <w:jc w:val="right"/>
            </w:pPr>
            <w:r>
              <w:rPr>
                <w:sz w:val="20"/>
                <w:szCs w:val="20"/>
              </w:rPr>
              <w:t xml:space="preserve">9</w:t>
            </w:r>
          </w:p>
        </w:tc>
        <w:tc>
          <w:tcPr>
            <w:tcW w:w="5360" w:type="dxa"/>
            <w:vAlign w:val="top"/>
          </w:tcPr>
          <w:p>
            <w:pPr>
              <w:pStyle w:val="TableText"/>
              <w:spacing w:before="40" w:after="40" w:line="240" w:lineRule="auto"/>
              <w:jc w:val="left"/>
            </w:pPr>
            <w:r>
              <w:rPr>
                <w:sz w:val="20"/>
                <w:szCs w:val="20"/>
              </w:rPr>
              <w:t xml:space="preserve">S01 a S09</w:t>
            </w:r>
          </w:p>
        </w:tc>
      </w:tr>
    </w:tbl>
    <w:p>
      <w:pPr>
        <w:pStyle w:val="TableNote"/>
        <w:spacing w:before="60" w:after="240" w:line="240" w:lineRule="auto"/>
      </w:pPr>
      <w:r>
        <w:rPr>
          <w:sz w:val="20"/>
          <w:szCs w:val="20"/>
        </w:rPr>
        <w:t xml:space="preserve">Nota. </w:t>
      </w:r>
      <w:r>
        <w:rPr>
          <w:sz w:val="20"/>
          <w:szCs w:val="20"/>
        </w:rPr>
        <w:t xml:space="preserve">Los tramos agrupan los nueve escenarios que alcanzaron medición en el Prototipo 1. El tramo de uno a diez segundos incluye el valor de 10,000 segundos. La mediana de 0,826 segundos y la media de 41,598 segundos son cálculos propios sobre los nueve valores declarados. Los datos proceden del reporte de indicadores del Prototipo 1.</w:t>
      </w:r>
    </w:p>
    <w:p>
      <w:pPr>
        <w:pStyle w:val="FigureCaption"/>
        <w:keepNext/>
        <w:spacing w:before="240" w:after="0" w:line="240" w:lineRule="auto"/>
      </w:pPr>
      <w:r>
        <w:rPr>
          <w:b/>
          <w:bCs/>
          <w:i w:val="false"/>
          <w:iCs w:val="false"/>
          <w:sz w:val="22"/>
          <w:szCs w:val="22"/>
        </w:rPr>
        <w:t xml:space="preserve">Figura 6</w:t>
      </w:r>
    </w:p>
    <w:p>
      <w:pPr>
        <w:pStyle w:val="FigureCaption"/>
        <w:keepNext/>
        <w:spacing w:before="0" w:after="120" w:line="240" w:lineRule="auto"/>
      </w:pPr>
      <w:r>
        <w:rPr>
          <w:sz w:val="22"/>
          <w:szCs w:val="22"/>
        </w:rPr>
        <w:t xml:space="preserve">Componentes que registran la detección en el Prototipo 1</w:t>
      </w:r>
    </w:p>
    <w:p>
      <w:pPr>
        <w:pStyle w:val="FigureImage"/>
        <w:spacing w:before="120" w:after="60" w:line="240" w:lineRule="auto"/>
        <w:jc w:val="center"/>
      </w:pPr>
      <w:r>
        <w:drawing>
          <wp:inline xmlns:wp="http://schemas.openxmlformats.org/drawingml/2006/wordprocessingDrawing" distT="0" distB="0" distL="0" distR="0">
            <wp:extent cx="4000500" cy="2000250"/>
            <wp:effectExtent l="0" t="0" r="0" b="0"/>
            <wp:docPr id="6" name="Figura 6" descr="Barras con el número de escenarios que aporta cada componente a la cadena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omponentes-deteccion.png"/>
                    <pic:cNvPicPr/>
                  </pic:nvPicPr>
                  <pic:blipFill>
                    <a:blip xmlns:r="http://schemas.openxmlformats.org/officeDocument/2006/relationships" r:embed="R2b95919e17aa4a1f"/>
                    <a:stretch>
                      <a:fillRect/>
                    </a:stretch>
                  </pic:blipFill>
                  <pic:spPr>
                    <a:xfrm>
                      <a:off x="0" y="0"/>
                      <a:ext cx="4000500" cy="200025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Cada barra indica cuántos de los nueve escenarios medidos aporta cada componente a la cadena de alerta. Los cinco componentes cubren los nueve escenarios sin solapamiento.</w:t>
      </w:r>
    </w:p>
    <w:p>
      <w:pPr>
        <w:pStyle w:val="TableTitle"/>
        <w:keepNext/>
        <w:spacing w:before="240" w:after="0" w:line="240" w:lineRule="auto"/>
      </w:pPr>
      <w:r>
        <w:rPr>
          <w:b/>
          <w:bCs/>
          <w:i w:val="false"/>
          <w:iCs w:val="false"/>
          <w:sz w:val="22"/>
          <w:szCs w:val="22"/>
        </w:rPr>
        <w:t xml:space="preserve">Tabla 6</w:t>
      </w:r>
    </w:p>
    <w:p>
      <w:pPr>
        <w:pStyle w:val="TableTitle"/>
        <w:keepNext/>
        <w:spacing w:before="0" w:after="80" w:line="240" w:lineRule="auto"/>
      </w:pPr>
      <w:r>
        <w:rPr>
          <w:sz w:val="22"/>
          <w:szCs w:val="22"/>
        </w:rPr>
        <w:t xml:space="preserve">Componentes que registran la detección en los nueve escenarios medidos del Prototipo 1</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3900"/>
        <w:gridCol w:w="3300"/>
        <w:gridCol w:w="2160"/>
      </w:tblGrid>
      <w:tr>
        <w:trPr>
          <w:tblHeader/>
          <w:cantSplit/>
        </w:trPr>
        <w:tc>
          <w:tcPr>
            <w:tcW w:w="3900" w:type="dxa"/>
            <w:tcBorders>
              <w:bottom w:val="single" w:color="000000" w:sz="6" w:space="0"/>
            </w:tcBorders>
            <w:vAlign w:val="top"/>
          </w:tcPr>
          <w:p>
            <w:pPr>
              <w:pStyle w:val="TableText"/>
              <w:spacing w:before="40" w:after="40" w:line="240" w:lineRule="auto"/>
              <w:jc w:val="left"/>
            </w:pPr>
            <w:r>
              <w:rPr>
                <w:b/>
                <w:bCs/>
                <w:sz w:val="20"/>
                <w:szCs w:val="20"/>
              </w:rPr>
              <w:t xml:space="preserve">Componente que registra la detección</w:t>
            </w:r>
          </w:p>
        </w:tc>
        <w:tc>
          <w:tcPr>
            <w:tcW w:w="3300" w:type="dxa"/>
            <w:tcBorders>
              <w:bottom w:val="single" w:color="000000" w:sz="6" w:space="0"/>
            </w:tcBorders>
            <w:vAlign w:val="top"/>
          </w:tcPr>
          <w:p>
            <w:pPr>
              <w:pStyle w:val="TableText"/>
              <w:spacing w:before="40" w:after="40" w:line="240" w:lineRule="auto"/>
              <w:jc w:val="left"/>
            </w:pPr>
            <w:r>
              <w:rPr>
                <w:b/>
                <w:bCs/>
                <w:sz w:val="20"/>
                <w:szCs w:val="20"/>
              </w:rPr>
              <w:t xml:space="preserve">Escenarios que cubre</w:t>
            </w:r>
          </w:p>
        </w:tc>
        <w:tc>
          <w:tcPr>
            <w:tcW w:w="2160" w:type="dxa"/>
            <w:tcBorders>
              <w:bottom w:val="single" w:color="000000" w:sz="6" w:space="0"/>
            </w:tcBorders>
            <w:vAlign w:val="top"/>
          </w:tcPr>
          <w:p>
            <w:pPr>
              <w:pStyle w:val="TableText"/>
              <w:spacing w:before="40" w:after="40" w:line="240" w:lineRule="auto"/>
              <w:jc w:val="right"/>
            </w:pPr>
            <w:r>
              <w:rPr>
                <w:b/>
                <w:bCs/>
                <w:sz w:val="20"/>
                <w:szCs w:val="20"/>
              </w:rPr>
              <w:t xml:space="preserve">Cantidad</w:t>
            </w:r>
          </w:p>
        </w:tc>
      </w:tr>
      <w:tr>
        <w:trPr>
          <w:cantSplit/>
        </w:trPr>
        <w:tc>
          <w:tcPr>
            <w:tcW w:w="3900" w:type="dxa"/>
            <w:vAlign w:val="top"/>
          </w:tcPr>
          <w:p>
            <w:pPr>
              <w:pStyle w:val="TableText"/>
              <w:spacing w:before="40" w:after="40" w:line="240" w:lineRule="auto"/>
              <w:jc w:val="left"/>
            </w:pPr>
            <w:r>
              <w:rPr>
                <w:sz w:val="20"/>
                <w:szCs w:val="20"/>
              </w:rPr>
              <w:t xml:space="preserve">Interfaz de servicios</w:t>
            </w:r>
          </w:p>
        </w:tc>
        <w:tc>
          <w:tcPr>
            <w:tcW w:w="3300" w:type="dxa"/>
            <w:vAlign w:val="top"/>
          </w:tcPr>
          <w:p>
            <w:pPr>
              <w:pStyle w:val="TableText"/>
              <w:spacing w:before="40" w:after="40" w:line="240" w:lineRule="auto"/>
              <w:jc w:val="left"/>
            </w:pPr>
            <w:r>
              <w:rPr>
                <w:sz w:val="20"/>
                <w:szCs w:val="20"/>
              </w:rPr>
              <w:t xml:space="preserve">S04, S05, S06</w:t>
            </w:r>
          </w:p>
        </w:tc>
        <w:tc>
          <w:tcPr>
            <w:tcW w:w="2160" w:type="dxa"/>
            <w:vAlign w:val="top"/>
          </w:tcPr>
          <w:p>
            <w:pPr>
              <w:pStyle w:val="TableText"/>
              <w:spacing w:before="40" w:after="40" w:line="240" w:lineRule="auto"/>
              <w:jc w:val="right"/>
            </w:pPr>
            <w:r>
              <w:rPr>
                <w:sz w:val="20"/>
                <w:szCs w:val="20"/>
              </w:rPr>
              <w:t xml:space="preserve">3</w:t>
            </w:r>
          </w:p>
        </w:tc>
      </w:tr>
      <w:tr>
        <w:trPr>
          <w:cantSplit/>
        </w:trPr>
        <w:tc>
          <w:tcPr>
            <w:tcW w:w="3900" w:type="dxa"/>
            <w:vAlign w:val="top"/>
          </w:tcPr>
          <w:p>
            <w:pPr>
              <w:pStyle w:val="TableText"/>
              <w:spacing w:before="40" w:after="40" w:line="240" w:lineRule="auto"/>
              <w:jc w:val="left"/>
            </w:pPr>
            <w:r>
              <w:rPr>
                <w:sz w:val="20"/>
                <w:szCs w:val="20"/>
              </w:rPr>
              <w:t xml:space="preserve">Interfaz de servicios con registro de ruta</w:t>
            </w:r>
          </w:p>
        </w:tc>
        <w:tc>
          <w:tcPr>
            <w:tcW w:w="3300" w:type="dxa"/>
            <w:vAlign w:val="top"/>
          </w:tcPr>
          <w:p>
            <w:pPr>
              <w:pStyle w:val="TableText"/>
              <w:spacing w:before="40" w:after="40" w:line="240" w:lineRule="auto"/>
              <w:jc w:val="left"/>
            </w:pPr>
            <w:r>
              <w:rPr>
                <w:sz w:val="20"/>
                <w:szCs w:val="20"/>
              </w:rPr>
              <w:t xml:space="preserve">S07, S08</w:t>
            </w:r>
          </w:p>
        </w:tc>
        <w:tc>
          <w:tcPr>
            <w:tcW w:w="2160" w:type="dxa"/>
            <w:vAlign w:val="top"/>
          </w:tcPr>
          <w:p>
            <w:pPr>
              <w:pStyle w:val="TableText"/>
              <w:spacing w:before="40" w:after="40" w:line="240" w:lineRule="auto"/>
              <w:jc w:val="right"/>
            </w:pPr>
            <w:r>
              <w:rPr>
                <w:sz w:val="20"/>
                <w:szCs w:val="20"/>
              </w:rPr>
              <w:t xml:space="preserve">2</w:t>
            </w:r>
          </w:p>
        </w:tc>
      </w:tr>
      <w:tr>
        <w:trPr>
          <w:cantSplit/>
        </w:trPr>
        <w:tc>
          <w:tcPr>
            <w:tcW w:w="3900" w:type="dxa"/>
            <w:vAlign w:val="top"/>
          </w:tcPr>
          <w:p>
            <w:pPr>
              <w:pStyle w:val="TableText"/>
              <w:spacing w:before="40" w:after="40" w:line="240" w:lineRule="auto"/>
              <w:jc w:val="left"/>
            </w:pPr>
            <w:r>
              <w:rPr>
                <w:sz w:val="20"/>
                <w:szCs w:val="20"/>
              </w:rPr>
              <w:t xml:space="preserve">Emulador de acceso remoto</w:t>
            </w:r>
          </w:p>
        </w:tc>
        <w:tc>
          <w:tcPr>
            <w:tcW w:w="3300" w:type="dxa"/>
            <w:vAlign w:val="top"/>
          </w:tcPr>
          <w:p>
            <w:pPr>
              <w:pStyle w:val="TableText"/>
              <w:spacing w:before="40" w:after="40" w:line="240" w:lineRule="auto"/>
              <w:jc w:val="left"/>
            </w:pPr>
            <w:r>
              <w:rPr>
                <w:sz w:val="20"/>
                <w:szCs w:val="20"/>
              </w:rPr>
              <w:t xml:space="preserve">S03, S09</w:t>
            </w:r>
          </w:p>
        </w:tc>
        <w:tc>
          <w:tcPr>
            <w:tcW w:w="2160" w:type="dxa"/>
            <w:vAlign w:val="top"/>
          </w:tcPr>
          <w:p>
            <w:pPr>
              <w:pStyle w:val="TableText"/>
              <w:spacing w:before="40" w:after="40" w:line="240" w:lineRule="auto"/>
              <w:jc w:val="right"/>
            </w:pPr>
            <w:r>
              <w:rPr>
                <w:sz w:val="20"/>
                <w:szCs w:val="20"/>
              </w:rPr>
              <w:t xml:space="preserve">2</w:t>
            </w:r>
          </w:p>
        </w:tc>
      </w:tr>
      <w:tr>
        <w:trPr>
          <w:cantSplit/>
        </w:trPr>
        <w:tc>
          <w:tcPr>
            <w:tcW w:w="3900" w:type="dxa"/>
            <w:vAlign w:val="top"/>
          </w:tcPr>
          <w:p>
            <w:pPr>
              <w:pStyle w:val="TableText"/>
              <w:spacing w:before="40" w:after="40" w:line="240" w:lineRule="auto"/>
              <w:jc w:val="left"/>
            </w:pPr>
            <w:r>
              <w:rPr>
                <w:sz w:val="20"/>
                <w:szCs w:val="20"/>
              </w:rPr>
              <w:t xml:space="preserve">Interfaz de servicios con vista del atacante</w:t>
            </w:r>
          </w:p>
        </w:tc>
        <w:tc>
          <w:tcPr>
            <w:tcW w:w="3300" w:type="dxa"/>
            <w:vAlign w:val="top"/>
          </w:tcPr>
          <w:p>
            <w:pPr>
              <w:pStyle w:val="TableText"/>
              <w:spacing w:before="40" w:after="40" w:line="240" w:lineRule="auto"/>
              <w:jc w:val="left"/>
            </w:pPr>
            <w:r>
              <w:rPr>
                <w:sz w:val="20"/>
                <w:szCs w:val="20"/>
              </w:rPr>
              <w:t xml:space="preserve">S01</w:t>
            </w:r>
          </w:p>
        </w:tc>
        <w:tc>
          <w:tcPr>
            <w:tcW w:w="2160" w:type="dxa"/>
            <w:vAlign w:val="top"/>
          </w:tcPr>
          <w:p>
            <w:pPr>
              <w:pStyle w:val="TableText"/>
              <w:spacing w:before="40" w:after="40" w:line="240" w:lineRule="auto"/>
              <w:jc w:val="right"/>
            </w:pPr>
            <w:r>
              <w:rPr>
                <w:sz w:val="20"/>
                <w:szCs w:val="20"/>
              </w:rPr>
              <w:t xml:space="preserve">1</w:t>
            </w:r>
          </w:p>
        </w:tc>
      </w:tr>
      <w:tr>
        <w:trPr>
          <w:cantSplit/>
        </w:trPr>
        <w:tc>
          <w:tcPr>
            <w:tcW w:w="3900" w:type="dxa"/>
            <w:vAlign w:val="top"/>
          </w:tcPr>
          <w:p>
            <w:pPr>
              <w:pStyle w:val="TableText"/>
              <w:spacing w:before="40" w:after="40" w:line="240" w:lineRule="auto"/>
              <w:jc w:val="left"/>
            </w:pPr>
            <w:r>
              <w:rPr>
                <w:sz w:val="20"/>
                <w:szCs w:val="20"/>
              </w:rPr>
              <w:t xml:space="preserve">Portal del señuelo</w:t>
            </w:r>
          </w:p>
        </w:tc>
        <w:tc>
          <w:tcPr>
            <w:tcW w:w="3300" w:type="dxa"/>
            <w:vAlign w:val="top"/>
          </w:tcPr>
          <w:p>
            <w:pPr>
              <w:pStyle w:val="TableText"/>
              <w:spacing w:before="40" w:after="40" w:line="240" w:lineRule="auto"/>
              <w:jc w:val="left"/>
            </w:pPr>
            <w:r>
              <w:rPr>
                <w:sz w:val="20"/>
                <w:szCs w:val="20"/>
              </w:rPr>
              <w:t xml:space="preserve">S02</w:t>
            </w:r>
          </w:p>
        </w:tc>
        <w:tc>
          <w:tcPr>
            <w:tcW w:w="2160" w:type="dxa"/>
            <w:vAlign w:val="top"/>
          </w:tcPr>
          <w:p>
            <w:pPr>
              <w:pStyle w:val="TableText"/>
              <w:spacing w:before="40" w:after="40" w:line="240" w:lineRule="auto"/>
              <w:jc w:val="right"/>
            </w:pPr>
            <w:r>
              <w:rPr>
                <w:sz w:val="20"/>
                <w:szCs w:val="20"/>
              </w:rPr>
              <w:t xml:space="preserve">1</w:t>
            </w:r>
          </w:p>
        </w:tc>
      </w:tr>
      <w:tr>
        <w:trPr>
          <w:cantSplit/>
        </w:trPr>
        <w:tc>
          <w:tcPr>
            <w:tcW w:w="3900" w:type="dxa"/>
            <w:vAlign w:val="top"/>
          </w:tcPr>
          <w:p>
            <w:pPr>
              <w:pStyle w:val="TableText"/>
              <w:spacing w:before="40" w:after="40" w:line="240" w:lineRule="auto"/>
              <w:jc w:val="left"/>
            </w:pPr>
            <w:r>
              <w:rPr>
                <w:sz w:val="20"/>
                <w:szCs w:val="20"/>
              </w:rPr>
              <w:t xml:space="preserve">Total de escenarios medidos</w:t>
            </w:r>
          </w:p>
        </w:tc>
        <w:tc>
          <w:tcPr>
            <w:tcW w:w="3300" w:type="dxa"/>
            <w:vAlign w:val="top"/>
          </w:tcPr>
          <w:p>
            <w:pPr>
              <w:pStyle w:val="TableText"/>
              <w:spacing w:before="40" w:after="40" w:line="240" w:lineRule="auto"/>
              <w:jc w:val="left"/>
            </w:pPr>
            <w:r>
              <w:rPr>
                <w:sz w:val="20"/>
                <w:szCs w:val="20"/>
              </w:rPr>
              <w:t xml:space="preserve">S01 a S09</w:t>
            </w:r>
          </w:p>
        </w:tc>
        <w:tc>
          <w:tcPr>
            <w:tcW w:w="2160" w:type="dxa"/>
            <w:vAlign w:val="top"/>
          </w:tcPr>
          <w:p>
            <w:pPr>
              <w:pStyle w:val="TableText"/>
              <w:spacing w:before="40" w:after="40" w:line="240" w:lineRule="auto"/>
              <w:jc w:val="right"/>
            </w:pPr>
            <w:r>
              <w:rPr>
                <w:sz w:val="20"/>
                <w:szCs w:val="20"/>
              </w:rPr>
              <w:t xml:space="preserve">9</w:t>
            </w:r>
          </w:p>
        </w:tc>
      </w:tr>
    </w:tbl>
    <w:p>
      <w:pPr>
        <w:pStyle w:val="TableNote"/>
        <w:spacing w:before="60" w:after="240" w:line="240" w:lineRule="auto"/>
      </w:pPr>
      <w:r>
        <w:rPr>
          <w:sz w:val="20"/>
          <w:szCs w:val="20"/>
        </w:rPr>
        <w:t xml:space="preserve">Nota. </w:t>
      </w:r>
      <w:r>
        <w:rPr>
          <w:sz w:val="20"/>
          <w:szCs w:val="20"/>
        </w:rPr>
        <w:t xml:space="preserve">Cada fila agrupa los escenarios que comparten el mismo componente como fuente de registro, de manera que los nueve escenarios medidos se reparten entre las cinco categorías sin solapamiento. Los datos proceden del reporte de indicadores del Prototipo 1, archivo evidencias/07-metricas/07_kpi-report.json.</w:t>
      </w:r>
    </w:p>
    <w:p>
      <w:pPr>
        <w:pStyle w:val="Normal"/>
        <w:spacing w:after="0" w:line="480" w:lineRule="auto"/>
        <w:ind w:firstLine="720"/>
        <w:jc w:val="both"/>
      </w:pPr>
      <w:r>
        <w:t xml:space="preserve">El inventario del señuelo comprende diecisiete técnicas repartidas en ocho tácticas, mientras que la campaña activa diez de esas técnicas y cada escenario ejerce una distinta. La Figura 7 contrasta el inventario completo con las técnicas que un escenario activa, de manera que la cobertura se lee sin ambigüedad.</w:t>
      </w:r>
    </w:p>
    <w:p>
      <w:pPr>
        <w:pStyle w:val="FigureCaption"/>
        <w:keepNext/>
        <w:spacing w:before="240" w:after="0" w:line="240" w:lineRule="auto"/>
      </w:pPr>
      <w:r>
        <w:rPr>
          <w:b/>
          <w:bCs/>
          <w:i w:val="false"/>
          <w:iCs w:val="false"/>
          <w:sz w:val="22"/>
          <w:szCs w:val="22"/>
        </w:rPr>
        <w:t xml:space="preserve">Figura 7</w:t>
      </w:r>
    </w:p>
    <w:p>
      <w:pPr>
        <w:pStyle w:val="FigureCaption"/>
        <w:keepNext/>
        <w:spacing w:before="0" w:after="120" w:line="240" w:lineRule="auto"/>
      </w:pPr>
      <w:r>
        <w:rPr>
          <w:sz w:val="22"/>
          <w:szCs w:val="22"/>
        </w:rPr>
        <w:t xml:space="preserve">Técnicas del inventario por táctica y técnicas activadas por la campaña</w:t>
      </w:r>
    </w:p>
    <w:p>
      <w:pPr>
        <w:pStyle w:val="FigureImage"/>
        <w:spacing w:before="120" w:after="60" w:line="240" w:lineRule="auto"/>
        <w:jc w:val="center"/>
      </w:pPr>
      <w:r>
        <w:drawing>
          <wp:inline xmlns:wp="http://schemas.openxmlformats.org/drawingml/2006/wordprocessingDrawing" distT="0" distB="0" distL="0" distR="0">
            <wp:extent cx="4000500" cy="2847975"/>
            <wp:effectExtent l="0" t="0" r="0" b="0"/>
            <wp:docPr id="7" name="Figura 7" descr="Comparación por táctica entre las técnicas del inventario y las activadas por un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ecnicas-por-tactica.png"/>
                    <pic:cNvPicPr/>
                  </pic:nvPicPr>
                  <pic:blipFill>
                    <a:blip xmlns:r="http://schemas.openxmlformats.org/officeDocument/2006/relationships" r:embed="R17704def82414804"/>
                    <a:stretch>
                      <a:fillRect/>
                    </a:stretch>
                  </pic:blipFill>
                  <pic:spPr>
                    <a:xfrm>
                      <a:off x="0" y="0"/>
                      <a:ext cx="4000500" cy="284797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barra gris declara las técnicas que ofrece el inventario del señuelo y la barra verde las que activa un escenario de la campaña.</w:t>
      </w:r>
    </w:p>
    <w:p>
      <w:pPr>
        <w:pStyle w:val="TableTitle"/>
        <w:keepNext/>
        <w:spacing w:before="240" w:after="0" w:line="240" w:lineRule="auto"/>
      </w:pPr>
      <w:r>
        <w:rPr>
          <w:b/>
          <w:bCs/>
          <w:i w:val="false"/>
          <w:iCs w:val="false"/>
          <w:sz w:val="22"/>
          <w:szCs w:val="22"/>
        </w:rPr>
        <w:t xml:space="preserve">Tabla 7</w:t>
      </w:r>
    </w:p>
    <w:p>
      <w:pPr>
        <w:pStyle w:val="TableTitle"/>
        <w:keepNext/>
        <w:spacing w:before="0" w:after="80" w:line="240" w:lineRule="auto"/>
      </w:pPr>
      <w:r>
        <w:rPr>
          <w:sz w:val="22"/>
          <w:szCs w:val="22"/>
        </w:rPr>
        <w:t xml:space="preserve">Técnicas del inventario por táctica y técnicas activadas por la campaña</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4000"/>
        <w:gridCol w:w="2680"/>
        <w:gridCol w:w="2680"/>
      </w:tblGrid>
      <w:tr>
        <w:trPr>
          <w:tblHeader/>
          <w:cantSplit/>
        </w:trPr>
        <w:tc>
          <w:tcPr>
            <w:tcW w:w="4000" w:type="dxa"/>
            <w:tcBorders>
              <w:bottom w:val="single" w:color="000000" w:sz="6" w:space="0"/>
            </w:tcBorders>
            <w:vAlign w:val="top"/>
          </w:tcPr>
          <w:p>
            <w:pPr>
              <w:pStyle w:val="TableText"/>
              <w:spacing w:before="40" w:after="40" w:line="240" w:lineRule="auto"/>
              <w:jc w:val="left"/>
            </w:pPr>
            <w:r>
              <w:rPr>
                <w:b/>
                <w:bCs/>
                <w:sz w:val="20"/>
                <w:szCs w:val="20"/>
              </w:rPr>
              <w:t xml:space="preserve">Táctica</w:t>
            </w:r>
          </w:p>
        </w:tc>
        <w:tc>
          <w:tcPr>
            <w:tcW w:w="2680" w:type="dxa"/>
            <w:tcBorders>
              <w:bottom w:val="single" w:color="000000" w:sz="6" w:space="0"/>
            </w:tcBorders>
            <w:vAlign w:val="top"/>
          </w:tcPr>
          <w:p>
            <w:pPr>
              <w:pStyle w:val="TableText"/>
              <w:spacing w:before="40" w:after="40" w:line="240" w:lineRule="auto"/>
              <w:jc w:val="right"/>
            </w:pPr>
            <w:r>
              <w:rPr>
                <w:b/>
                <w:bCs/>
                <w:sz w:val="20"/>
                <w:szCs w:val="20"/>
              </w:rPr>
              <w:t xml:space="preserve">En el inventario</w:t>
            </w:r>
          </w:p>
        </w:tc>
        <w:tc>
          <w:tcPr>
            <w:tcW w:w="2680" w:type="dxa"/>
            <w:tcBorders>
              <w:bottom w:val="single" w:color="000000" w:sz="6" w:space="0"/>
            </w:tcBorders>
            <w:vAlign w:val="top"/>
          </w:tcPr>
          <w:p>
            <w:pPr>
              <w:pStyle w:val="TableText"/>
              <w:spacing w:before="40" w:after="40" w:line="240" w:lineRule="auto"/>
              <w:jc w:val="right"/>
            </w:pPr>
            <w:r>
              <w:rPr>
                <w:b/>
                <w:bCs/>
                <w:sz w:val="20"/>
                <w:szCs w:val="20"/>
              </w:rPr>
              <w:t xml:space="preserve">Activadas por un escenario</w:t>
            </w:r>
          </w:p>
        </w:tc>
      </w:tr>
      <w:tr>
        <w:trPr>
          <w:cantSplit/>
        </w:trPr>
        <w:tc>
          <w:tcPr>
            <w:tcW w:w="4000" w:type="dxa"/>
            <w:vAlign w:val="top"/>
          </w:tcPr>
          <w:p>
            <w:pPr>
              <w:pStyle w:val="TableText"/>
              <w:spacing w:before="40" w:after="40" w:line="240" w:lineRule="auto"/>
              <w:jc w:val="left"/>
            </w:pPr>
            <w:r>
              <w:rPr>
                <w:sz w:val="20"/>
                <w:szCs w:val="20"/>
              </w:rPr>
              <w:t xml:space="preserve">Execution</w:t>
            </w:r>
          </w:p>
        </w:tc>
        <w:tc>
          <w:tcPr>
            <w:tcW w:w="2680" w:type="dxa"/>
            <w:vAlign w:val="top"/>
          </w:tcPr>
          <w:p>
            <w:pPr>
              <w:pStyle w:val="TableText"/>
              <w:spacing w:before="40" w:after="40" w:line="240" w:lineRule="auto"/>
              <w:jc w:val="right"/>
            </w:pPr>
            <w:r>
              <w:rPr>
                <w:sz w:val="20"/>
                <w:szCs w:val="20"/>
              </w:rPr>
              <w:t xml:space="preserve">4</w:t>
            </w:r>
          </w:p>
        </w:tc>
        <w:tc>
          <w:tcPr>
            <w:tcW w:w="2680" w:type="dxa"/>
            <w:vAlign w:val="top"/>
          </w:tcPr>
          <w:p>
            <w:pPr>
              <w:pStyle w:val="TableText"/>
              <w:spacing w:before="40" w:after="40" w:line="240" w:lineRule="auto"/>
              <w:jc w:val="right"/>
            </w:pPr>
            <w:r>
              <w:rPr>
                <w:sz w:val="20"/>
                <w:szCs w:val="20"/>
              </w:rPr>
              <w:t xml:space="preserve">2</w:t>
            </w:r>
          </w:p>
        </w:tc>
      </w:tr>
      <w:tr>
        <w:trPr>
          <w:cantSplit/>
        </w:trPr>
        <w:tc>
          <w:tcPr>
            <w:tcW w:w="4000" w:type="dxa"/>
            <w:vAlign w:val="top"/>
          </w:tcPr>
          <w:p>
            <w:pPr>
              <w:pStyle w:val="TableText"/>
              <w:spacing w:before="40" w:after="40" w:line="240" w:lineRule="auto"/>
              <w:jc w:val="left"/>
            </w:pPr>
            <w:r>
              <w:rPr>
                <w:sz w:val="20"/>
                <w:szCs w:val="20"/>
              </w:rPr>
              <w:t xml:space="preserve">Initial Access</w:t>
            </w:r>
          </w:p>
        </w:tc>
        <w:tc>
          <w:tcPr>
            <w:tcW w:w="2680" w:type="dxa"/>
            <w:vAlign w:val="top"/>
          </w:tcPr>
          <w:p>
            <w:pPr>
              <w:pStyle w:val="TableText"/>
              <w:spacing w:before="40" w:after="40" w:line="240" w:lineRule="auto"/>
              <w:jc w:val="right"/>
            </w:pPr>
            <w:r>
              <w:rPr>
                <w:sz w:val="20"/>
                <w:szCs w:val="20"/>
              </w:rPr>
              <w:t xml:space="preserve">3</w:t>
            </w:r>
          </w:p>
        </w:tc>
        <w:tc>
          <w:tcPr>
            <w:tcW w:w="2680" w:type="dxa"/>
            <w:vAlign w:val="top"/>
          </w:tcPr>
          <w:p>
            <w:pPr>
              <w:pStyle w:val="TableText"/>
              <w:spacing w:before="40" w:after="40" w:line="240" w:lineRule="auto"/>
              <w:jc w:val="right"/>
            </w:pPr>
            <w:r>
              <w:rPr>
                <w:sz w:val="20"/>
                <w:szCs w:val="20"/>
              </w:rPr>
              <w:t xml:space="preserve">2</w:t>
            </w:r>
          </w:p>
        </w:tc>
      </w:tr>
      <w:tr>
        <w:trPr>
          <w:cantSplit/>
        </w:trPr>
        <w:tc>
          <w:tcPr>
            <w:tcW w:w="4000" w:type="dxa"/>
            <w:vAlign w:val="top"/>
          </w:tcPr>
          <w:p>
            <w:pPr>
              <w:pStyle w:val="TableText"/>
              <w:spacing w:before="40" w:after="40" w:line="240" w:lineRule="auto"/>
              <w:jc w:val="left"/>
            </w:pPr>
            <w:r>
              <w:rPr>
                <w:sz w:val="20"/>
                <w:szCs w:val="20"/>
              </w:rPr>
              <w:t xml:space="preserve">Reconnaissance</w:t>
            </w:r>
          </w:p>
        </w:tc>
        <w:tc>
          <w:tcPr>
            <w:tcW w:w="2680" w:type="dxa"/>
            <w:vAlign w:val="top"/>
          </w:tcPr>
          <w:p>
            <w:pPr>
              <w:pStyle w:val="TableText"/>
              <w:spacing w:before="40" w:after="40" w:line="240" w:lineRule="auto"/>
              <w:jc w:val="right"/>
            </w:pPr>
            <w:r>
              <w:rPr>
                <w:sz w:val="20"/>
                <w:szCs w:val="20"/>
              </w:rPr>
              <w:t xml:space="preserve">3</w:t>
            </w:r>
          </w:p>
        </w:tc>
        <w:tc>
          <w:tcPr>
            <w:tcW w:w="2680" w:type="dxa"/>
            <w:vAlign w:val="top"/>
          </w:tcPr>
          <w:p>
            <w:pPr>
              <w:pStyle w:val="TableText"/>
              <w:spacing w:before="40" w:after="40" w:line="240" w:lineRule="auto"/>
              <w:jc w:val="right"/>
            </w:pPr>
            <w:r>
              <w:rPr>
                <w:sz w:val="20"/>
                <w:szCs w:val="20"/>
              </w:rPr>
              <w:t xml:space="preserve">2</w:t>
            </w:r>
          </w:p>
        </w:tc>
      </w:tr>
      <w:tr>
        <w:trPr>
          <w:cantSplit/>
        </w:trPr>
        <w:tc>
          <w:tcPr>
            <w:tcW w:w="4000" w:type="dxa"/>
            <w:vAlign w:val="top"/>
          </w:tcPr>
          <w:p>
            <w:pPr>
              <w:pStyle w:val="TableText"/>
              <w:spacing w:before="40" w:after="40" w:line="240" w:lineRule="auto"/>
              <w:jc w:val="left"/>
            </w:pPr>
            <w:r>
              <w:rPr>
                <w:sz w:val="20"/>
                <w:szCs w:val="20"/>
              </w:rPr>
              <w:t xml:space="preserve">Credential Access</w:t>
            </w:r>
          </w:p>
        </w:tc>
        <w:tc>
          <w:tcPr>
            <w:tcW w:w="2680" w:type="dxa"/>
            <w:vAlign w:val="top"/>
          </w:tcPr>
          <w:p>
            <w:pPr>
              <w:pStyle w:val="TableText"/>
              <w:spacing w:before="40" w:after="40" w:line="240" w:lineRule="auto"/>
              <w:jc w:val="right"/>
            </w:pPr>
            <w:r>
              <w:rPr>
                <w:sz w:val="20"/>
                <w:szCs w:val="20"/>
              </w:rPr>
              <w:t xml:space="preserve">2</w:t>
            </w:r>
          </w:p>
        </w:tc>
        <w:tc>
          <w:tcPr>
            <w:tcW w:w="2680" w:type="dxa"/>
            <w:vAlign w:val="top"/>
          </w:tcPr>
          <w:p>
            <w:pPr>
              <w:pStyle w:val="TableText"/>
              <w:spacing w:before="40" w:after="40" w:line="240" w:lineRule="auto"/>
              <w:jc w:val="right"/>
            </w:pPr>
            <w:r>
              <w:rPr>
                <w:sz w:val="20"/>
                <w:szCs w:val="20"/>
              </w:rPr>
              <w:t xml:space="preserve">2</w:t>
            </w:r>
          </w:p>
        </w:tc>
      </w:tr>
      <w:tr>
        <w:trPr>
          <w:cantSplit/>
        </w:trPr>
        <w:tc>
          <w:tcPr>
            <w:tcW w:w="4000" w:type="dxa"/>
            <w:vAlign w:val="top"/>
          </w:tcPr>
          <w:p>
            <w:pPr>
              <w:pStyle w:val="TableText"/>
              <w:spacing w:before="40" w:after="40" w:line="240" w:lineRule="auto"/>
              <w:jc w:val="left"/>
            </w:pPr>
            <w:r>
              <w:rPr>
                <w:sz w:val="20"/>
                <w:szCs w:val="20"/>
              </w:rPr>
              <w:t xml:space="preserve">Collection</w:t>
            </w:r>
          </w:p>
        </w:tc>
        <w:tc>
          <w:tcPr>
            <w:tcW w:w="2680" w:type="dxa"/>
            <w:vAlign w:val="top"/>
          </w:tcPr>
          <w:p>
            <w:pPr>
              <w:pStyle w:val="TableText"/>
              <w:spacing w:before="40" w:after="40" w:line="240" w:lineRule="auto"/>
              <w:jc w:val="right"/>
            </w:pPr>
            <w:r>
              <w:rPr>
                <w:sz w:val="20"/>
                <w:szCs w:val="20"/>
              </w:rPr>
              <w:t xml:space="preserve">2</w:t>
            </w:r>
          </w:p>
        </w:tc>
        <w:tc>
          <w:tcPr>
            <w:tcW w:w="2680" w:type="dxa"/>
            <w:vAlign w:val="top"/>
          </w:tcPr>
          <w:p>
            <w:pPr>
              <w:pStyle w:val="TableText"/>
              <w:spacing w:before="40" w:after="40" w:line="240" w:lineRule="auto"/>
              <w:jc w:val="right"/>
            </w:pPr>
            <w:r>
              <w:rPr>
                <w:sz w:val="20"/>
                <w:szCs w:val="20"/>
              </w:rPr>
              <w:t xml:space="preserve">0</w:t>
            </w:r>
          </w:p>
        </w:tc>
      </w:tr>
      <w:tr>
        <w:trPr>
          <w:cantSplit/>
        </w:trPr>
        <w:tc>
          <w:tcPr>
            <w:tcW w:w="4000" w:type="dxa"/>
            <w:vAlign w:val="top"/>
          </w:tcPr>
          <w:p>
            <w:pPr>
              <w:pStyle w:val="TableText"/>
              <w:spacing w:before="40" w:after="40" w:line="240" w:lineRule="auto"/>
              <w:jc w:val="left"/>
            </w:pPr>
            <w:r>
              <w:rPr>
                <w:sz w:val="20"/>
                <w:szCs w:val="20"/>
              </w:rPr>
              <w:t xml:space="preserve">Command and Control</w:t>
            </w:r>
          </w:p>
        </w:tc>
        <w:tc>
          <w:tcPr>
            <w:tcW w:w="2680" w:type="dxa"/>
            <w:vAlign w:val="top"/>
          </w:tcPr>
          <w:p>
            <w:pPr>
              <w:pStyle w:val="TableText"/>
              <w:spacing w:before="40" w:after="40" w:line="240" w:lineRule="auto"/>
              <w:jc w:val="right"/>
            </w:pPr>
            <w:r>
              <w:rPr>
                <w:sz w:val="20"/>
                <w:szCs w:val="20"/>
              </w:rPr>
              <w:t xml:space="preserve">1</w:t>
            </w:r>
          </w:p>
        </w:tc>
        <w:tc>
          <w:tcPr>
            <w:tcW w:w="2680" w:type="dxa"/>
            <w:vAlign w:val="top"/>
          </w:tcPr>
          <w:p>
            <w:pPr>
              <w:pStyle w:val="TableText"/>
              <w:spacing w:before="40" w:after="40" w:line="240" w:lineRule="auto"/>
              <w:jc w:val="right"/>
            </w:pPr>
            <w:r>
              <w:rPr>
                <w:sz w:val="20"/>
                <w:szCs w:val="20"/>
              </w:rPr>
              <w:t xml:space="preserve">1</w:t>
            </w:r>
          </w:p>
        </w:tc>
      </w:tr>
      <w:tr>
        <w:trPr>
          <w:cantSplit/>
        </w:trPr>
        <w:tc>
          <w:tcPr>
            <w:tcW w:w="4000" w:type="dxa"/>
            <w:vAlign w:val="top"/>
          </w:tcPr>
          <w:p>
            <w:pPr>
              <w:pStyle w:val="TableText"/>
              <w:spacing w:before="40" w:after="40" w:line="240" w:lineRule="auto"/>
              <w:jc w:val="left"/>
            </w:pPr>
            <w:r>
              <w:rPr>
                <w:sz w:val="20"/>
                <w:szCs w:val="20"/>
              </w:rPr>
              <w:t xml:space="preserve">Discovery</w:t>
            </w:r>
          </w:p>
        </w:tc>
        <w:tc>
          <w:tcPr>
            <w:tcW w:w="2680" w:type="dxa"/>
            <w:vAlign w:val="top"/>
          </w:tcPr>
          <w:p>
            <w:pPr>
              <w:pStyle w:val="TableText"/>
              <w:spacing w:before="40" w:after="40" w:line="240" w:lineRule="auto"/>
              <w:jc w:val="right"/>
            </w:pPr>
            <w:r>
              <w:rPr>
                <w:sz w:val="20"/>
                <w:szCs w:val="20"/>
              </w:rPr>
              <w:t xml:space="preserve">1</w:t>
            </w:r>
          </w:p>
        </w:tc>
        <w:tc>
          <w:tcPr>
            <w:tcW w:w="2680" w:type="dxa"/>
            <w:vAlign w:val="top"/>
          </w:tcPr>
          <w:p>
            <w:pPr>
              <w:pStyle w:val="TableText"/>
              <w:spacing w:before="40" w:after="40" w:line="240" w:lineRule="auto"/>
              <w:jc w:val="right"/>
            </w:pPr>
            <w:r>
              <w:rPr>
                <w:sz w:val="20"/>
                <w:szCs w:val="20"/>
              </w:rPr>
              <w:t xml:space="preserve">0</w:t>
            </w:r>
          </w:p>
        </w:tc>
      </w:tr>
      <w:tr>
        <w:trPr>
          <w:cantSplit/>
        </w:trPr>
        <w:tc>
          <w:tcPr>
            <w:tcW w:w="4000" w:type="dxa"/>
            <w:vAlign w:val="top"/>
          </w:tcPr>
          <w:p>
            <w:pPr>
              <w:pStyle w:val="TableText"/>
              <w:spacing w:before="40" w:after="40" w:line="240" w:lineRule="auto"/>
              <w:jc w:val="left"/>
            </w:pPr>
            <w:r>
              <w:rPr>
                <w:sz w:val="20"/>
                <w:szCs w:val="20"/>
              </w:rPr>
              <w:t xml:space="preserve">Exfiltration</w:t>
            </w:r>
          </w:p>
        </w:tc>
        <w:tc>
          <w:tcPr>
            <w:tcW w:w="2680" w:type="dxa"/>
            <w:vAlign w:val="top"/>
          </w:tcPr>
          <w:p>
            <w:pPr>
              <w:pStyle w:val="TableText"/>
              <w:spacing w:before="40" w:after="40" w:line="240" w:lineRule="auto"/>
              <w:jc w:val="right"/>
            </w:pPr>
            <w:r>
              <w:rPr>
                <w:sz w:val="20"/>
                <w:szCs w:val="20"/>
              </w:rPr>
              <w:t xml:space="preserve">1</w:t>
            </w:r>
          </w:p>
        </w:tc>
        <w:tc>
          <w:tcPr>
            <w:tcW w:w="2680" w:type="dxa"/>
            <w:vAlign w:val="top"/>
          </w:tcPr>
          <w:p>
            <w:pPr>
              <w:pStyle w:val="TableText"/>
              <w:spacing w:before="40" w:after="40" w:line="240" w:lineRule="auto"/>
              <w:jc w:val="right"/>
            </w:pPr>
            <w:r>
              <w:rPr>
                <w:sz w:val="20"/>
                <w:szCs w:val="20"/>
              </w:rPr>
              <w:t xml:space="preserve">1</w:t>
            </w:r>
          </w:p>
        </w:tc>
      </w:tr>
      <w:tr>
        <w:trPr>
          <w:cantSplit/>
        </w:trPr>
        <w:tc>
          <w:tcPr>
            <w:tcW w:w="4000" w:type="dxa"/>
            <w:vAlign w:val="top"/>
          </w:tcPr>
          <w:p>
            <w:pPr>
              <w:pStyle w:val="TableText"/>
              <w:spacing w:before="40" w:after="40" w:line="240" w:lineRule="auto"/>
              <w:jc w:val="left"/>
            </w:pPr>
            <w:r>
              <w:rPr>
                <w:sz w:val="20"/>
                <w:szCs w:val="20"/>
              </w:rPr>
              <w:t xml:space="preserve">Total</w:t>
            </w:r>
          </w:p>
        </w:tc>
        <w:tc>
          <w:tcPr>
            <w:tcW w:w="2680" w:type="dxa"/>
            <w:vAlign w:val="top"/>
          </w:tcPr>
          <w:p>
            <w:pPr>
              <w:pStyle w:val="TableText"/>
              <w:spacing w:before="40" w:after="40" w:line="240" w:lineRule="auto"/>
              <w:jc w:val="right"/>
            </w:pPr>
            <w:r>
              <w:rPr>
                <w:sz w:val="20"/>
                <w:szCs w:val="20"/>
              </w:rPr>
              <w:t xml:space="preserve">17</w:t>
            </w:r>
          </w:p>
        </w:tc>
        <w:tc>
          <w:tcPr>
            <w:tcW w:w="2680" w:type="dxa"/>
            <w:vAlign w:val="top"/>
          </w:tcPr>
          <w:p>
            <w:pPr>
              <w:pStyle w:val="TableText"/>
              <w:spacing w:before="40" w:after="40" w:line="240" w:lineRule="auto"/>
              <w:jc w:val="right"/>
            </w:pPr>
            <w:r>
              <w:rPr>
                <w:sz w:val="20"/>
                <w:szCs w:val="20"/>
              </w:rPr>
              <w:t xml:space="preserve">10</w:t>
            </w:r>
          </w:p>
        </w:tc>
      </w:tr>
    </w:tbl>
    <w:p>
      <w:pPr>
        <w:pStyle w:val="TableNote"/>
        <w:spacing w:before="60" w:after="240" w:line="240" w:lineRule="auto"/>
      </w:pPr>
      <w:r>
        <w:rPr>
          <w:sz w:val="20"/>
          <w:szCs w:val="20"/>
        </w:rPr>
        <w:t xml:space="preserve">Nota. </w:t>
      </w:r>
      <w:r>
        <w:rPr>
          <w:sz w:val="20"/>
          <w:szCs w:val="20"/>
        </w:rPr>
        <w:t xml:space="preserve">La columna de técnicas activadas cuenta únicamente las técnicas que ejecuta un escenario de la campaña, no las que el inventario ofrece. La campaña ejecuta diez escenarios y cada uno ejerce una técnica distinta. Los datos proceden del archivo evidencias/07-metricas/08_mitre-coverage.json.</w:t>
      </w:r>
    </w:p>
    <w:p>
      <w:pPr>
        <w:pStyle w:val="Normal"/>
        <w:spacing w:after="0" w:line="480" w:lineRule="auto"/>
        <w:ind w:firstLine="720"/>
        <w:jc w:val="both"/>
      </w:pPr>
      <w:r>
        <w:t xml:space="preserve">El despliegue verificado distribuye treinta contenedores en cuatro segmentos separados, de manera que el señuelo expuesto no comparte segmento con la gestión ni con los sensores. La Tabla 8 declara la subred, el número de contenedores y la función de cada segmento, mientras que la Figura 8 presenta la misma distribución.</w:t>
      </w:r>
    </w:p>
    <w:p>
      <w:pPr>
        <w:pStyle w:val="FigureCaption"/>
        <w:keepNext/>
        <w:spacing w:before="240" w:after="0" w:line="240" w:lineRule="auto"/>
      </w:pPr>
      <w:r>
        <w:rPr>
          <w:b/>
          <w:bCs/>
          <w:i w:val="false"/>
          <w:iCs w:val="false"/>
          <w:sz w:val="22"/>
          <w:szCs w:val="22"/>
        </w:rPr>
        <w:t xml:space="preserve">Figura 8</w:t>
      </w:r>
    </w:p>
    <w:p>
      <w:pPr>
        <w:pStyle w:val="FigureCaption"/>
        <w:keepNext/>
        <w:spacing w:before="0" w:after="120" w:line="240" w:lineRule="auto"/>
      </w:pPr>
      <w:r>
        <w:rPr>
          <w:sz w:val="22"/>
          <w:szCs w:val="22"/>
        </w:rPr>
        <w:t xml:space="preserve">Contenedores desplegados en cada segmento de red del Prototipo 1</w:t>
      </w:r>
    </w:p>
    <w:p>
      <w:pPr>
        <w:pStyle w:val="FigureImage"/>
        <w:spacing w:before="120" w:after="60" w:line="240" w:lineRule="auto"/>
        <w:jc w:val="center"/>
      </w:pPr>
      <w:r>
        <w:drawing>
          <wp:inline xmlns:wp="http://schemas.openxmlformats.org/drawingml/2006/wordprocessingDrawing" distT="0" distB="0" distL="0" distR="0">
            <wp:extent cx="4000500" cy="1943100"/>
            <wp:effectExtent l="0" t="0" r="0" b="0"/>
            <wp:docPr id="8" name="Figura 8" descr="Barras con la cantidad de contenedores de cada segmento de red y su sub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ontenedores-por-segmento.png"/>
                    <pic:cNvPicPr/>
                  </pic:nvPicPr>
                  <pic:blipFill>
                    <a:blip xmlns:r="http://schemas.openxmlformats.org/officeDocument/2006/relationships" r:embed="R4c3a95d9530d4f0c"/>
                    <a:stretch>
                      <a:fillRect/>
                    </a:stretch>
                  </pic:blipFill>
                  <pic:spPr>
                    <a:xfrm>
                      <a:off x="0" y="0"/>
                      <a:ext cx="4000500" cy="194310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distribución de los treinta contenedores entre los cuatro segmentos verificados. Cada segmento declara su subred a la derecha de la barra.</w:t>
      </w:r>
    </w:p>
    <w:p>
      <w:pPr>
        <w:pStyle w:val="TableTitle"/>
        <w:keepNext/>
        <w:spacing w:before="240" w:after="0" w:line="240" w:lineRule="auto"/>
      </w:pPr>
      <w:r>
        <w:rPr>
          <w:b/>
          <w:bCs/>
          <w:i w:val="false"/>
          <w:iCs w:val="false"/>
          <w:sz w:val="22"/>
          <w:szCs w:val="22"/>
        </w:rPr>
        <w:t xml:space="preserve">Tabla 8</w:t>
      </w:r>
    </w:p>
    <w:p>
      <w:pPr>
        <w:pStyle w:val="TableTitle"/>
        <w:keepNext/>
        <w:spacing w:before="0" w:after="80" w:line="240" w:lineRule="auto"/>
      </w:pPr>
      <w:r>
        <w:rPr>
          <w:sz w:val="22"/>
          <w:szCs w:val="22"/>
        </w:rPr>
        <w:t xml:space="preserve">Segmentación verificada del señuelo del Prototipo 1</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100"/>
        <w:gridCol w:w="1750"/>
        <w:gridCol w:w="1450"/>
        <w:gridCol w:w="4060"/>
      </w:tblGrid>
      <w:tr>
        <w:trPr>
          <w:tblHeader/>
          <w:cantSplit/>
        </w:trPr>
        <w:tc>
          <w:tcPr>
            <w:tcW w:w="2100" w:type="dxa"/>
            <w:tcBorders>
              <w:bottom w:val="single" w:color="000000" w:sz="6" w:space="0"/>
            </w:tcBorders>
            <w:vAlign w:val="top"/>
          </w:tcPr>
          <w:p>
            <w:pPr>
              <w:pStyle w:val="TableText"/>
              <w:spacing w:before="40" w:after="40" w:line="240" w:lineRule="auto"/>
              <w:jc w:val="left"/>
            </w:pPr>
            <w:r>
              <w:rPr>
                <w:b/>
                <w:bCs/>
                <w:sz w:val="20"/>
                <w:szCs w:val="20"/>
              </w:rPr>
              <w:t xml:space="preserve">Red</w:t>
            </w:r>
          </w:p>
        </w:tc>
        <w:tc>
          <w:tcPr>
            <w:tcW w:w="1750" w:type="dxa"/>
            <w:tcBorders>
              <w:bottom w:val="single" w:color="000000" w:sz="6" w:space="0"/>
            </w:tcBorders>
            <w:vAlign w:val="top"/>
          </w:tcPr>
          <w:p>
            <w:pPr>
              <w:pStyle w:val="TableText"/>
              <w:spacing w:before="40" w:after="40" w:line="240" w:lineRule="auto"/>
              <w:jc w:val="left"/>
            </w:pPr>
            <w:r>
              <w:rPr>
                <w:b/>
                <w:bCs/>
                <w:sz w:val="20"/>
                <w:szCs w:val="20"/>
              </w:rPr>
              <w:t xml:space="preserve">Subred</w:t>
            </w:r>
          </w:p>
        </w:tc>
        <w:tc>
          <w:tcPr>
            <w:tcW w:w="1450" w:type="dxa"/>
            <w:tcBorders>
              <w:bottom w:val="single" w:color="000000" w:sz="6" w:space="0"/>
            </w:tcBorders>
            <w:vAlign w:val="top"/>
          </w:tcPr>
          <w:p>
            <w:pPr>
              <w:pStyle w:val="TableText"/>
              <w:spacing w:before="40" w:after="40" w:line="240" w:lineRule="auto"/>
              <w:jc w:val="right"/>
            </w:pPr>
            <w:r>
              <w:rPr>
                <w:b/>
                <w:bCs/>
                <w:sz w:val="20"/>
                <w:szCs w:val="20"/>
              </w:rPr>
              <w:t xml:space="preserve">Contenedores</w:t>
            </w:r>
          </w:p>
        </w:tc>
        <w:tc>
          <w:tcPr>
            <w:tcW w:w="4060" w:type="dxa"/>
            <w:tcBorders>
              <w:bottom w:val="single" w:color="000000" w:sz="6" w:space="0"/>
            </w:tcBorders>
            <w:vAlign w:val="top"/>
          </w:tcPr>
          <w:p>
            <w:pPr>
              <w:pStyle w:val="TableText"/>
              <w:spacing w:before="40" w:after="40" w:line="240" w:lineRule="auto"/>
              <w:jc w:val="left"/>
            </w:pPr>
            <w:r>
              <w:rPr>
                <w:b/>
                <w:bCs/>
                <w:sz w:val="20"/>
                <w:szCs w:val="20"/>
              </w:rPr>
              <w:t xml:space="preserve">Función del segmento</w:t>
            </w:r>
          </w:p>
        </w:tc>
      </w:tr>
      <w:tr>
        <w:trPr>
          <w:cantSplit/>
        </w:trPr>
        <w:tc>
          <w:tcPr>
            <w:tcW w:w="2100" w:type="dxa"/>
            <w:vAlign w:val="top"/>
          </w:tcPr>
          <w:p>
            <w:pPr>
              <w:pStyle w:val="TableText"/>
              <w:spacing w:before="40" w:after="40" w:line="240" w:lineRule="auto"/>
              <w:jc w:val="left"/>
            </w:pPr>
            <w:r>
              <w:rPr>
                <w:sz w:val="20"/>
                <w:szCs w:val="20"/>
              </w:rPr>
              <w:t xml:space="preserve">taxfisco-dmz</w:t>
            </w:r>
          </w:p>
        </w:tc>
        <w:tc>
          <w:tcPr>
            <w:tcW w:w="1750" w:type="dxa"/>
            <w:vAlign w:val="top"/>
          </w:tcPr>
          <w:p>
            <w:pPr>
              <w:pStyle w:val="TableText"/>
              <w:spacing w:before="40" w:after="40" w:line="240" w:lineRule="auto"/>
              <w:jc w:val="left"/>
            </w:pPr>
            <w:r>
              <w:rPr>
                <w:sz w:val="20"/>
                <w:szCs w:val="20"/>
              </w:rPr>
              <w:t xml:space="preserve">10.20.0.0/24</w:t>
            </w:r>
          </w:p>
        </w:tc>
        <w:tc>
          <w:tcPr>
            <w:tcW w:w="1450" w:type="dxa"/>
            <w:vAlign w:val="top"/>
          </w:tcPr>
          <w:p>
            <w:pPr>
              <w:pStyle w:val="TableText"/>
              <w:spacing w:before="40" w:after="40" w:line="240" w:lineRule="auto"/>
              <w:jc w:val="right"/>
            </w:pPr>
            <w:r>
              <w:rPr>
                <w:sz w:val="20"/>
                <w:szCs w:val="20"/>
              </w:rPr>
              <w:t xml:space="preserve">6</w:t>
            </w:r>
          </w:p>
        </w:tc>
        <w:tc>
          <w:tcPr>
            <w:tcW w:w="4060" w:type="dxa"/>
            <w:vAlign w:val="top"/>
          </w:tcPr>
          <w:p>
            <w:pPr>
              <w:pStyle w:val="TableText"/>
              <w:spacing w:before="40" w:after="40" w:line="240" w:lineRule="auto"/>
              <w:jc w:val="left"/>
            </w:pPr>
            <w:r>
              <w:rPr>
                <w:sz w:val="20"/>
                <w:szCs w:val="20"/>
              </w:rPr>
              <w:t xml:space="preserve">Segmento del señuelo expuesto</w:t>
            </w:r>
          </w:p>
        </w:tc>
      </w:tr>
      <w:tr>
        <w:trPr>
          <w:cantSplit/>
        </w:trPr>
        <w:tc>
          <w:tcPr>
            <w:tcW w:w="2100" w:type="dxa"/>
            <w:vAlign w:val="top"/>
          </w:tcPr>
          <w:p>
            <w:pPr>
              <w:pStyle w:val="TableText"/>
              <w:spacing w:before="40" w:after="40" w:line="240" w:lineRule="auto"/>
              <w:jc w:val="left"/>
            </w:pPr>
            <w:r>
              <w:rPr>
                <w:sz w:val="20"/>
                <w:szCs w:val="20"/>
              </w:rPr>
              <w:t xml:space="preserve">taxfisco-honeypot</w:t>
            </w:r>
          </w:p>
        </w:tc>
        <w:tc>
          <w:tcPr>
            <w:tcW w:w="1750" w:type="dxa"/>
            <w:vAlign w:val="top"/>
          </w:tcPr>
          <w:p>
            <w:pPr>
              <w:pStyle w:val="TableText"/>
              <w:spacing w:before="40" w:after="40" w:line="240" w:lineRule="auto"/>
              <w:jc w:val="left"/>
            </w:pPr>
            <w:r>
              <w:rPr>
                <w:sz w:val="20"/>
                <w:szCs w:val="20"/>
              </w:rPr>
              <w:t xml:space="preserve">10.21.0.0/24</w:t>
            </w:r>
          </w:p>
        </w:tc>
        <w:tc>
          <w:tcPr>
            <w:tcW w:w="1450" w:type="dxa"/>
            <w:vAlign w:val="top"/>
          </w:tcPr>
          <w:p>
            <w:pPr>
              <w:pStyle w:val="TableText"/>
              <w:spacing w:before="40" w:after="40" w:line="240" w:lineRule="auto"/>
              <w:jc w:val="right"/>
            </w:pPr>
            <w:r>
              <w:rPr>
                <w:sz w:val="20"/>
                <w:szCs w:val="20"/>
              </w:rPr>
              <w:t xml:space="preserve">3</w:t>
            </w:r>
          </w:p>
        </w:tc>
        <w:tc>
          <w:tcPr>
            <w:tcW w:w="4060" w:type="dxa"/>
            <w:vAlign w:val="top"/>
          </w:tcPr>
          <w:p>
            <w:pPr>
              <w:pStyle w:val="TableText"/>
              <w:spacing w:before="40" w:after="40" w:line="240" w:lineRule="auto"/>
              <w:jc w:val="left"/>
            </w:pPr>
            <w:r>
              <w:rPr>
                <w:sz w:val="20"/>
                <w:szCs w:val="20"/>
              </w:rPr>
              <w:t xml:space="preserve">Segmento interior del señuelo</w:t>
            </w:r>
          </w:p>
        </w:tc>
      </w:tr>
      <w:tr>
        <w:trPr>
          <w:cantSplit/>
        </w:trPr>
        <w:tc>
          <w:tcPr>
            <w:tcW w:w="2100" w:type="dxa"/>
            <w:vAlign w:val="top"/>
          </w:tcPr>
          <w:p>
            <w:pPr>
              <w:pStyle w:val="TableText"/>
              <w:spacing w:before="40" w:after="40" w:line="240" w:lineRule="auto"/>
              <w:jc w:val="left"/>
            </w:pPr>
            <w:r>
              <w:rPr>
                <w:sz w:val="20"/>
                <w:szCs w:val="20"/>
              </w:rPr>
              <w:t xml:space="preserve">taxfisco-soc</w:t>
            </w:r>
          </w:p>
        </w:tc>
        <w:tc>
          <w:tcPr>
            <w:tcW w:w="1750" w:type="dxa"/>
            <w:vAlign w:val="top"/>
          </w:tcPr>
          <w:p>
            <w:pPr>
              <w:pStyle w:val="TableText"/>
              <w:spacing w:before="40" w:after="40" w:line="240" w:lineRule="auto"/>
              <w:jc w:val="left"/>
            </w:pPr>
            <w:r>
              <w:rPr>
                <w:sz w:val="20"/>
                <w:szCs w:val="20"/>
              </w:rPr>
              <w:t xml:space="preserve">10.22.0.0/24</w:t>
            </w:r>
          </w:p>
        </w:tc>
        <w:tc>
          <w:tcPr>
            <w:tcW w:w="1450" w:type="dxa"/>
            <w:vAlign w:val="top"/>
          </w:tcPr>
          <w:p>
            <w:pPr>
              <w:pStyle w:val="TableText"/>
              <w:spacing w:before="40" w:after="40" w:line="240" w:lineRule="auto"/>
              <w:jc w:val="right"/>
            </w:pPr>
            <w:r>
              <w:rPr>
                <w:sz w:val="20"/>
                <w:szCs w:val="20"/>
              </w:rPr>
              <w:t xml:space="preserve">19</w:t>
            </w:r>
          </w:p>
        </w:tc>
        <w:tc>
          <w:tcPr>
            <w:tcW w:w="4060" w:type="dxa"/>
            <w:vAlign w:val="top"/>
          </w:tcPr>
          <w:p>
            <w:pPr>
              <w:pStyle w:val="TableText"/>
              <w:spacing w:before="40" w:after="40" w:line="240" w:lineRule="auto"/>
              <w:jc w:val="left"/>
            </w:pPr>
            <w:r>
              <w:rPr>
                <w:sz w:val="20"/>
                <w:szCs w:val="20"/>
              </w:rPr>
              <w:t xml:space="preserve">Segmento de gestión y análisis</w:t>
            </w:r>
          </w:p>
        </w:tc>
      </w:tr>
      <w:tr>
        <w:trPr>
          <w:cantSplit/>
        </w:trPr>
        <w:tc>
          <w:tcPr>
            <w:tcW w:w="2100" w:type="dxa"/>
            <w:vAlign w:val="top"/>
          </w:tcPr>
          <w:p>
            <w:pPr>
              <w:pStyle w:val="TableText"/>
              <w:spacing w:before="40" w:after="40" w:line="240" w:lineRule="auto"/>
              <w:jc w:val="left"/>
            </w:pPr>
            <w:r>
              <w:rPr>
                <w:sz w:val="20"/>
                <w:szCs w:val="20"/>
              </w:rPr>
              <w:t xml:space="preserve">taxfisco-ids</w:t>
            </w:r>
          </w:p>
        </w:tc>
        <w:tc>
          <w:tcPr>
            <w:tcW w:w="1750" w:type="dxa"/>
            <w:vAlign w:val="top"/>
          </w:tcPr>
          <w:p>
            <w:pPr>
              <w:pStyle w:val="TableText"/>
              <w:spacing w:before="40" w:after="40" w:line="240" w:lineRule="auto"/>
              <w:jc w:val="left"/>
            </w:pPr>
            <w:r>
              <w:rPr>
                <w:sz w:val="20"/>
                <w:szCs w:val="20"/>
              </w:rPr>
              <w:t xml:space="preserve">10.23.0.0/24</w:t>
            </w:r>
          </w:p>
        </w:tc>
        <w:tc>
          <w:tcPr>
            <w:tcW w:w="1450" w:type="dxa"/>
            <w:vAlign w:val="top"/>
          </w:tcPr>
          <w:p>
            <w:pPr>
              <w:pStyle w:val="TableText"/>
              <w:spacing w:before="40" w:after="40" w:line="240" w:lineRule="auto"/>
              <w:jc w:val="right"/>
            </w:pPr>
            <w:r>
              <w:rPr>
                <w:sz w:val="20"/>
                <w:szCs w:val="20"/>
              </w:rPr>
              <w:t xml:space="preserve">2</w:t>
            </w:r>
          </w:p>
        </w:tc>
        <w:tc>
          <w:tcPr>
            <w:tcW w:w="4060" w:type="dxa"/>
            <w:vAlign w:val="top"/>
          </w:tcPr>
          <w:p>
            <w:pPr>
              <w:pStyle w:val="TableText"/>
              <w:spacing w:before="40" w:after="40" w:line="240" w:lineRule="auto"/>
              <w:jc w:val="left"/>
            </w:pPr>
            <w:r>
              <w:rPr>
                <w:sz w:val="20"/>
                <w:szCs w:val="20"/>
              </w:rPr>
              <w:t xml:space="preserve">Segmento de los sensores de red</w:t>
            </w:r>
          </w:p>
        </w:tc>
      </w:tr>
      <w:tr>
        <w:trPr>
          <w:cantSplit/>
        </w:trPr>
        <w:tc>
          <w:tcPr>
            <w:tcW w:w="2100" w:type="dxa"/>
            <w:vAlign w:val="top"/>
          </w:tcPr>
          <w:p>
            <w:pPr>
              <w:pStyle w:val="TableText"/>
              <w:spacing w:before="40" w:after="40" w:line="240" w:lineRule="auto"/>
              <w:jc w:val="left"/>
            </w:pPr>
            <w:r>
              <w:rPr>
                <w:sz w:val="20"/>
                <w:szCs w:val="20"/>
              </w:rPr>
              <w:t xml:space="preserve">Total</w:t>
            </w:r>
          </w:p>
        </w:tc>
        <w:tc>
          <w:tcPr>
            <w:tcW w:w="1750" w:type="dxa"/>
            <w:vAlign w:val="top"/>
          </w:tcPr>
          <w:p>
            <w:pPr>
              <w:pStyle w:val="TableText"/>
              <w:spacing w:before="40" w:after="40" w:line="240" w:lineRule="auto"/>
              <w:jc w:val="left"/>
            </w:pPr>
            <w:r>
              <w:t xml:space="preserve"/>
            </w:r>
          </w:p>
        </w:tc>
        <w:tc>
          <w:tcPr>
            <w:tcW w:w="1450" w:type="dxa"/>
            <w:vAlign w:val="top"/>
          </w:tcPr>
          <w:p>
            <w:pPr>
              <w:pStyle w:val="TableText"/>
              <w:spacing w:before="40" w:after="40" w:line="240" w:lineRule="auto"/>
              <w:jc w:val="right"/>
            </w:pPr>
            <w:r>
              <w:rPr>
                <w:sz w:val="20"/>
                <w:szCs w:val="20"/>
              </w:rPr>
              <w:t xml:space="preserve">30</w:t>
            </w:r>
          </w:p>
        </w:tc>
        <w:tc>
          <w:tcPr>
            <w:tcW w:w="4060" w:type="dxa"/>
            <w:vAlign w:val="top"/>
          </w:tcPr>
          <w:p>
            <w:pPr>
              <w:pStyle w:val="TableText"/>
              <w:spacing w:before="40" w:after="40" w:line="240" w:lineRule="auto"/>
              <w:jc w:val="left"/>
            </w:pPr>
            <w:r>
              <w:rPr>
                <w:sz w:val="20"/>
                <w:szCs w:val="20"/>
              </w:rPr>
              <w:t xml:space="preserve">Cuatro segmentos verificados</w:t>
            </w:r>
          </w:p>
        </w:tc>
      </w:tr>
    </w:tbl>
    <w:p>
      <w:pPr>
        <w:pStyle w:val="TableNote"/>
        <w:spacing w:before="60" w:after="240" w:line="240" w:lineRule="auto"/>
      </w:pPr>
      <w:r>
        <w:rPr>
          <w:sz w:val="20"/>
          <w:szCs w:val="20"/>
        </w:rPr>
        <w:t xml:space="preserve">Nota. </w:t>
      </w:r>
      <w:r>
        <w:rPr>
          <w:sz w:val="20"/>
          <w:szCs w:val="20"/>
        </w:rPr>
        <w:t xml:space="preserve">Los segmentos de red se verifican sobre el archivo de subredes del despliegue. Las subredes corresponden a las redes declaradas en la composición efectiva del laboratorio. El segmento del señuelo expuesto no comparte red con la gestión ni con los sensores. Los datos proceden del archivo evidencias/03-aislamiento-red/02_subnets.txt.</w:t>
      </w:r>
    </w:p>
    <w:p>
      <w:pPr>
        <w:pStyle w:val="Normal"/>
        <w:spacing w:after="0" w:line="480" w:lineRule="auto"/>
        <w:ind w:firstLine="720"/>
        <w:jc w:val="both"/>
      </w:pPr>
      <w:r>
        <w:t xml:space="preserve">El volumen registrado durante el ejercicio declara 8 875 peticiones recibidas por el portal del señuelo, 1 758 atendidas por la interfaz de servicios, 46 ataques registrados y 68 archivos de evidencia con huella verificada. La calidad de la evidencia alcanza 100 de 100, de manera que cada archivo conserva su validez forense.</w:t>
      </w:r>
    </w:p>
    <w:p>
      <w:pPr>
        <w:pStyle w:val="TableTitle"/>
        <w:keepNext/>
        <w:spacing w:before="240" w:after="0" w:line="240" w:lineRule="auto"/>
      </w:pPr>
      <w:r>
        <w:rPr>
          <w:b/>
          <w:bCs/>
          <w:i w:val="false"/>
          <w:iCs w:val="false"/>
          <w:sz w:val="22"/>
          <w:szCs w:val="22"/>
        </w:rPr>
        <w:t xml:space="preserve">Tabla 9</w:t>
      </w:r>
    </w:p>
    <w:p>
      <w:pPr>
        <w:pStyle w:val="TableTitle"/>
        <w:keepNext/>
        <w:spacing w:before="0" w:after="80" w:line="240" w:lineRule="auto"/>
      </w:pPr>
      <w:r>
        <w:rPr>
          <w:sz w:val="22"/>
          <w:szCs w:val="22"/>
        </w:rPr>
        <w:t xml:space="preserve">Volumen de actividad registrado en la ejecución del Prototipo 1</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6360"/>
        <w:gridCol w:w="3000"/>
      </w:tblGrid>
      <w:tr>
        <w:trPr>
          <w:tblHeader/>
          <w:cantSplit/>
        </w:trPr>
        <w:tc>
          <w:tcPr>
            <w:tcW w:w="6360" w:type="dxa"/>
            <w:tcBorders>
              <w:bottom w:val="single" w:color="000000" w:sz="6" w:space="0"/>
            </w:tcBorders>
            <w:vAlign w:val="top"/>
          </w:tcPr>
          <w:p>
            <w:pPr>
              <w:pStyle w:val="TableText"/>
              <w:spacing w:before="40" w:after="40" w:line="240" w:lineRule="auto"/>
              <w:jc w:val="left"/>
            </w:pPr>
            <w:r>
              <w:rPr>
                <w:b/>
                <w:bCs/>
                <w:sz w:val="20"/>
                <w:szCs w:val="20"/>
              </w:rPr>
              <w:t xml:space="preserve">Indicador</w:t>
            </w:r>
          </w:p>
        </w:tc>
        <w:tc>
          <w:tcPr>
            <w:tcW w:w="3000" w:type="dxa"/>
            <w:tcBorders>
              <w:bottom w:val="single" w:color="000000" w:sz="6" w:space="0"/>
            </w:tcBorders>
            <w:vAlign w:val="top"/>
          </w:tcPr>
          <w:p>
            <w:pPr>
              <w:pStyle w:val="TableText"/>
              <w:spacing w:before="40" w:after="40" w:line="240" w:lineRule="auto"/>
              <w:jc w:val="right"/>
            </w:pPr>
            <w:r>
              <w:rPr>
                <w:b/>
                <w:bCs/>
                <w:sz w:val="20"/>
                <w:szCs w:val="20"/>
              </w:rPr>
              <w:t xml:space="preserve">Valor</w:t>
            </w:r>
          </w:p>
        </w:tc>
      </w:tr>
      <w:tr>
        <w:trPr>
          <w:cantSplit/>
        </w:trPr>
        <w:tc>
          <w:tcPr>
            <w:tcW w:w="6360" w:type="dxa"/>
            <w:vAlign w:val="top"/>
          </w:tcPr>
          <w:p>
            <w:pPr>
              <w:pStyle w:val="TableText"/>
              <w:spacing w:before="40" w:after="40" w:line="240" w:lineRule="auto"/>
              <w:jc w:val="left"/>
            </w:pPr>
            <w:r>
              <w:rPr>
                <w:sz w:val="20"/>
                <w:szCs w:val="20"/>
              </w:rPr>
              <w:t xml:space="preserve">Peticiones recibidas por el portal del señuelo</w:t>
            </w:r>
          </w:p>
        </w:tc>
        <w:tc>
          <w:tcPr>
            <w:tcW w:w="3000" w:type="dxa"/>
            <w:vAlign w:val="top"/>
          </w:tcPr>
          <w:p>
            <w:pPr>
              <w:pStyle w:val="TableText"/>
              <w:spacing w:before="40" w:after="40" w:line="240" w:lineRule="auto"/>
              <w:jc w:val="right"/>
            </w:pPr>
            <w:r>
              <w:rPr>
                <w:sz w:val="20"/>
                <w:szCs w:val="20"/>
              </w:rPr>
              <w:t xml:space="preserve">8 875</w:t>
            </w:r>
          </w:p>
        </w:tc>
      </w:tr>
      <w:tr>
        <w:trPr>
          <w:cantSplit/>
        </w:trPr>
        <w:tc>
          <w:tcPr>
            <w:tcW w:w="6360" w:type="dxa"/>
            <w:vAlign w:val="top"/>
          </w:tcPr>
          <w:p>
            <w:pPr>
              <w:pStyle w:val="TableText"/>
              <w:spacing w:before="40" w:after="40" w:line="240" w:lineRule="auto"/>
              <w:jc w:val="left"/>
            </w:pPr>
            <w:r>
              <w:rPr>
                <w:sz w:val="20"/>
                <w:szCs w:val="20"/>
              </w:rPr>
              <w:t xml:space="preserve">Peticiones atendidas por la interfaz de servicios</w:t>
            </w:r>
          </w:p>
        </w:tc>
        <w:tc>
          <w:tcPr>
            <w:tcW w:w="3000" w:type="dxa"/>
            <w:vAlign w:val="top"/>
          </w:tcPr>
          <w:p>
            <w:pPr>
              <w:pStyle w:val="TableText"/>
              <w:spacing w:before="40" w:after="40" w:line="240" w:lineRule="auto"/>
              <w:jc w:val="right"/>
            </w:pPr>
            <w:r>
              <w:rPr>
                <w:sz w:val="20"/>
                <w:szCs w:val="20"/>
              </w:rPr>
              <w:t xml:space="preserve">1 758</w:t>
            </w:r>
          </w:p>
        </w:tc>
      </w:tr>
      <w:tr>
        <w:trPr>
          <w:cantSplit/>
        </w:trPr>
        <w:tc>
          <w:tcPr>
            <w:tcW w:w="6360" w:type="dxa"/>
            <w:vAlign w:val="top"/>
          </w:tcPr>
          <w:p>
            <w:pPr>
              <w:pStyle w:val="TableText"/>
              <w:spacing w:before="40" w:after="40" w:line="240" w:lineRule="auto"/>
              <w:jc w:val="left"/>
            </w:pPr>
            <w:r>
              <w:rPr>
                <w:sz w:val="20"/>
                <w:szCs w:val="20"/>
              </w:rPr>
              <w:t xml:space="preserve">Ataques registrados por el señuelo</w:t>
            </w:r>
          </w:p>
        </w:tc>
        <w:tc>
          <w:tcPr>
            <w:tcW w:w="3000" w:type="dxa"/>
            <w:vAlign w:val="top"/>
          </w:tcPr>
          <w:p>
            <w:pPr>
              <w:pStyle w:val="TableText"/>
              <w:spacing w:before="40" w:after="40" w:line="240" w:lineRule="auto"/>
              <w:jc w:val="right"/>
            </w:pPr>
            <w:r>
              <w:rPr>
                <w:sz w:val="20"/>
                <w:szCs w:val="20"/>
              </w:rPr>
              <w:t xml:space="preserve">46</w:t>
            </w:r>
          </w:p>
        </w:tc>
      </w:tr>
      <w:tr>
        <w:trPr>
          <w:cantSplit/>
        </w:trPr>
        <w:tc>
          <w:tcPr>
            <w:tcW w:w="6360" w:type="dxa"/>
            <w:vAlign w:val="top"/>
          </w:tcPr>
          <w:p>
            <w:pPr>
              <w:pStyle w:val="TableText"/>
              <w:spacing w:before="40" w:after="40" w:line="240" w:lineRule="auto"/>
              <w:jc w:val="left"/>
            </w:pPr>
            <w:r>
              <w:rPr>
                <w:sz w:val="20"/>
                <w:szCs w:val="20"/>
              </w:rPr>
              <w:t xml:space="preserve">Conexiones capturadas por el emulador</w:t>
            </w:r>
          </w:p>
        </w:tc>
        <w:tc>
          <w:tcPr>
            <w:tcW w:w="3000" w:type="dxa"/>
            <w:vAlign w:val="top"/>
          </w:tcPr>
          <w:p>
            <w:pPr>
              <w:pStyle w:val="TableText"/>
              <w:spacing w:before="40" w:after="40" w:line="240" w:lineRule="auto"/>
              <w:jc w:val="right"/>
            </w:pPr>
            <w:r>
              <w:rPr>
                <w:sz w:val="20"/>
                <w:szCs w:val="20"/>
              </w:rPr>
              <w:t xml:space="preserve">8</w:t>
            </w:r>
          </w:p>
        </w:tc>
      </w:tr>
      <w:tr>
        <w:trPr>
          <w:cantSplit/>
        </w:trPr>
        <w:tc>
          <w:tcPr>
            <w:tcW w:w="6360" w:type="dxa"/>
            <w:vAlign w:val="top"/>
          </w:tcPr>
          <w:p>
            <w:pPr>
              <w:pStyle w:val="TableText"/>
              <w:spacing w:before="40" w:after="40" w:line="240" w:lineRule="auto"/>
              <w:jc w:val="left"/>
            </w:pPr>
            <w:r>
              <w:rPr>
                <w:sz w:val="20"/>
                <w:szCs w:val="20"/>
              </w:rPr>
              <w:t xml:space="preserve">Archivos de evidencia con huella verificada</w:t>
            </w:r>
          </w:p>
        </w:tc>
        <w:tc>
          <w:tcPr>
            <w:tcW w:w="3000" w:type="dxa"/>
            <w:vAlign w:val="top"/>
          </w:tcPr>
          <w:p>
            <w:pPr>
              <w:pStyle w:val="TableText"/>
              <w:spacing w:before="40" w:after="40" w:line="240" w:lineRule="auto"/>
              <w:jc w:val="right"/>
            </w:pPr>
            <w:r>
              <w:rPr>
                <w:sz w:val="20"/>
                <w:szCs w:val="20"/>
              </w:rPr>
              <w:t xml:space="preserve">68</w:t>
            </w:r>
          </w:p>
        </w:tc>
      </w:tr>
      <w:tr>
        <w:trPr>
          <w:cantSplit/>
        </w:trPr>
        <w:tc>
          <w:tcPr>
            <w:tcW w:w="6360" w:type="dxa"/>
            <w:vAlign w:val="top"/>
          </w:tcPr>
          <w:p>
            <w:pPr>
              <w:pStyle w:val="TableText"/>
              <w:spacing w:before="40" w:after="40" w:line="240" w:lineRule="auto"/>
              <w:jc w:val="left"/>
            </w:pPr>
            <w:r>
              <w:rPr>
                <w:sz w:val="20"/>
                <w:szCs w:val="20"/>
              </w:rPr>
              <w:t xml:space="preserve">Calidad de la evidencia verificada</w:t>
            </w:r>
          </w:p>
        </w:tc>
        <w:tc>
          <w:tcPr>
            <w:tcW w:w="3000" w:type="dxa"/>
            <w:vAlign w:val="top"/>
          </w:tcPr>
          <w:p>
            <w:pPr>
              <w:pStyle w:val="TableText"/>
              <w:spacing w:before="40" w:after="40" w:line="240" w:lineRule="auto"/>
              <w:jc w:val="right"/>
            </w:pPr>
            <w:r>
              <w:rPr>
                <w:sz w:val="20"/>
                <w:szCs w:val="20"/>
              </w:rPr>
              <w:t xml:space="preserve">100 de 100</w:t>
            </w:r>
          </w:p>
        </w:tc>
      </w:tr>
    </w:tbl>
    <w:p>
      <w:pPr>
        <w:pStyle w:val="TableNote"/>
        <w:spacing w:before="60" w:after="240" w:line="240" w:lineRule="auto"/>
      </w:pPr>
      <w:r>
        <w:rPr>
          <w:sz w:val="20"/>
          <w:szCs w:val="20"/>
        </w:rPr>
        <w:t xml:space="preserve">Nota. </w:t>
      </w:r>
      <w:r>
        <w:rPr>
          <w:sz w:val="20"/>
          <w:szCs w:val="20"/>
        </w:rPr>
        <w:t xml:space="preserve">Los registros corresponden a la ejecución del Prototipo 1 del 14 de septiembre de 2026. La calidad de la evidencia se verifica sobre la huella de cada archivo conservado. Los datos proceden de los archivos de evidencia del Prototipo 1.</w:t>
      </w:r>
    </w:p>
    <w:p>
      <w:pPr>
        <w:pStyle w:val="Normal"/>
        <w:spacing w:after="0" w:line="480" w:lineRule="auto"/>
        <w:ind w:firstLine="720"/>
        <w:jc w:val="both"/>
      </w:pPr>
      <w:r>
        <w:t xml:space="preserve">La media de 41,598 segundos y la mediana de 0,826 segundos describen la misma medición desde dos planos distintos. La media la elevan dos escenarios de larga duración, la inyección de consultas con 260,108 segundos y la fuerza bruta por acceso remoto con 85 segundos, mientras que los otros siete escenarios se resuelven entre los 141 milisegundos y los 16,405 segundos.</w:t>
      </w:r>
    </w:p>
    <w:p>
      <w:pPr>
        <w:pStyle w:val="Normal"/>
        <w:spacing w:after="0" w:line="480" w:lineRule="auto"/>
        <w:ind w:firstLine="720"/>
        <w:jc w:val="both"/>
      </w:pPr>
      <w:r>
        <w:t xml:space="preserve">La mediana es un cálculo propio sobre los nueve valores que declara el reporte, de manera que no sustituye a ningún indicador publicado. El capítulo la emplea como titular porque describe el comportamiento típico de la cadena, mientras que la media queda como dato complementario en la tabla de referencia.</w:t>
      </w:r>
    </w:p>
    <w:p>
      <w:pPr>
        <w:pStyle w:val="Heading1"/>
        <w:keepNext/>
        <w:spacing w:before="360" w:after="120" w:line="240" w:lineRule="auto"/>
        <w:jc w:val="left"/>
        <w:outlineLvl w:val="0"/>
      </w:pPr>
      <w:r>
        <w:rPr>
          <w:b/>
          <w:bCs/>
        </w:rPr>
        <w:t xml:space="preserve">5. El puente entre los dos laboratorios</w:t>
      </w:r>
    </w:p>
    <w:p>
      <w:pPr>
        <w:pStyle w:val="Normal"/>
        <w:spacing w:after="0" w:line="480" w:lineRule="auto"/>
        <w:ind w:firstLine="720"/>
        <w:jc w:val="both"/>
      </w:pPr>
      <w:r>
        <w:t xml:space="preserve">Los dos prototipos se necesitan entre sí, de manera que cada uno cubre lo que el otro deja ver. El primero comprueba que cada componente opera por separado, mientras que el segundo comprueba qué mejora produce la corrección de los vacíos que el primero expone. La conexión más clara aparece en el escenario S10, que corresponde a la exfiltración por nombres de dominio.</w:t>
      </w:r>
    </w:p>
    <w:p>
      <w:pPr>
        <w:pStyle w:val="Normal"/>
        <w:spacing w:after="0" w:line="480" w:lineRule="auto"/>
        <w:ind w:firstLine="720"/>
        <w:jc w:val="both"/>
      </w:pPr>
      <w:r>
        <w:t xml:space="preserve">En el primer laboratorio ese escenario no produce tiempo de detección, porque el cálculo solo consulta tres fuentes y ninguna de ellas lee el tráfico DNS. El registro de lecciones del segundo laboratorio recoge el mismo hallazgo en la lección L14, cuya corrección incorpora la consulta DNS como fuente adicional, de manera que en la medición final ese escenario registra 0,646 segundos con el sensor de red como fuente.</w:t>
      </w:r>
    </w:p>
    <w:p>
      <w:pPr>
        <w:pStyle w:val="TableTitle"/>
        <w:keepNext/>
        <w:spacing w:before="240" w:after="0" w:line="240" w:lineRule="auto"/>
      </w:pPr>
      <w:r>
        <w:rPr>
          <w:b/>
          <w:bCs/>
          <w:i w:val="false"/>
          <w:iCs w:val="false"/>
          <w:sz w:val="22"/>
          <w:szCs w:val="22"/>
        </w:rPr>
        <w:t xml:space="preserve">Tabla 10</w:t>
      </w:r>
    </w:p>
    <w:p>
      <w:pPr>
        <w:pStyle w:val="TableTitle"/>
        <w:keepNext/>
        <w:spacing w:before="0" w:after="80" w:line="240" w:lineRule="auto"/>
      </w:pPr>
      <w:r>
        <w:rPr>
          <w:sz w:val="22"/>
          <w:szCs w:val="22"/>
        </w:rPr>
        <w:t xml:space="preserve">Escenarios que producen medición en los dos laboratorios</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800"/>
        <w:gridCol w:w="1700"/>
        <w:gridCol w:w="1900"/>
        <w:gridCol w:w="2960"/>
      </w:tblGrid>
      <w:tr>
        <w:trPr>
          <w:tblHeader/>
          <w:cantSplit/>
        </w:trPr>
        <w:tc>
          <w:tcPr>
            <w:tcW w:w="2800" w:type="dxa"/>
            <w:tcBorders>
              <w:bottom w:val="single" w:color="000000" w:sz="6" w:space="0"/>
            </w:tcBorders>
            <w:vAlign w:val="top"/>
          </w:tcPr>
          <w:p>
            <w:pPr>
              <w:pStyle w:val="TableText"/>
              <w:spacing w:before="40" w:after="40" w:line="240" w:lineRule="auto"/>
              <w:jc w:val="left"/>
            </w:pPr>
            <w:r>
              <w:rPr>
                <w:b/>
                <w:bCs/>
                <w:sz w:val="20"/>
                <w:szCs w:val="20"/>
              </w:rPr>
              <w:t xml:space="preserve">Escenario</w:t>
            </w:r>
          </w:p>
        </w:tc>
        <w:tc>
          <w:tcPr>
            <w:tcW w:w="1700" w:type="dxa"/>
            <w:tcBorders>
              <w:bottom w:val="single" w:color="000000" w:sz="6" w:space="0"/>
            </w:tcBorders>
            <w:vAlign w:val="top"/>
          </w:tcPr>
          <w:p>
            <w:pPr>
              <w:pStyle w:val="TableText"/>
              <w:spacing w:before="40" w:after="40" w:line="240" w:lineRule="auto"/>
              <w:jc w:val="right"/>
            </w:pPr>
            <w:r>
              <w:rPr>
                <w:b/>
                <w:bCs/>
                <w:sz w:val="20"/>
                <w:szCs w:val="20"/>
              </w:rPr>
              <w:t xml:space="preserve">Prototipo 1</w:t>
            </w:r>
          </w:p>
        </w:tc>
        <w:tc>
          <w:tcPr>
            <w:tcW w:w="1900" w:type="dxa"/>
            <w:tcBorders>
              <w:bottom w:val="single" w:color="000000" w:sz="6" w:space="0"/>
            </w:tcBorders>
            <w:vAlign w:val="top"/>
          </w:tcPr>
          <w:p>
            <w:pPr>
              <w:pStyle w:val="TableText"/>
              <w:spacing w:before="40" w:after="40" w:line="240" w:lineRule="auto"/>
              <w:jc w:val="right"/>
            </w:pPr>
            <w:r>
              <w:rPr>
                <w:b/>
                <w:bCs/>
                <w:sz w:val="20"/>
                <w:szCs w:val="20"/>
              </w:rPr>
              <w:t xml:space="preserve">Prototipo 2, medición final</w:t>
            </w:r>
          </w:p>
        </w:tc>
        <w:tc>
          <w:tcPr>
            <w:tcW w:w="2960" w:type="dxa"/>
            <w:tcBorders>
              <w:bottom w:val="single" w:color="000000" w:sz="6" w:space="0"/>
            </w:tcBorders>
            <w:vAlign w:val="top"/>
          </w:tcPr>
          <w:p>
            <w:pPr>
              <w:pStyle w:val="TableText"/>
              <w:spacing w:before="40" w:after="40" w:line="240" w:lineRule="auto"/>
              <w:jc w:val="left"/>
            </w:pPr>
            <w:r>
              <w:rPr>
                <w:b/>
                <w:bCs/>
                <w:sz w:val="20"/>
                <w:szCs w:val="20"/>
              </w:rPr>
              <w:t xml:space="preserve">Qué cambió</w:t>
            </w:r>
          </w:p>
        </w:tc>
      </w:tr>
      <w:tr>
        <w:trPr>
          <w:cantSplit/>
        </w:trPr>
        <w:tc>
          <w:tcPr>
            <w:tcW w:w="2800" w:type="dxa"/>
            <w:vAlign w:val="top"/>
          </w:tcPr>
          <w:p>
            <w:pPr>
              <w:pStyle w:val="TableText"/>
              <w:spacing w:before="40" w:after="40" w:line="240" w:lineRule="auto"/>
              <w:jc w:val="left"/>
            </w:pPr>
            <w:r>
              <w:rPr>
                <w:sz w:val="20"/>
                <w:szCs w:val="20"/>
              </w:rPr>
              <w:t xml:space="preserve">S10 · Exfiltración por nombres de dominio</w:t>
            </w:r>
          </w:p>
        </w:tc>
        <w:tc>
          <w:tcPr>
            <w:tcW w:w="1700" w:type="dxa"/>
            <w:vAlign w:val="top"/>
          </w:tcPr>
          <w:p>
            <w:pPr>
              <w:pStyle w:val="TableText"/>
              <w:spacing w:before="40" w:after="40" w:line="240" w:lineRule="auto"/>
              <w:jc w:val="right"/>
            </w:pPr>
            <w:r>
              <w:rPr>
                <w:sz w:val="20"/>
                <w:szCs w:val="20"/>
              </w:rPr>
              <w:t xml:space="preserve">Fuera de la medición</w:t>
            </w:r>
          </w:p>
        </w:tc>
        <w:tc>
          <w:tcPr>
            <w:tcW w:w="1900" w:type="dxa"/>
            <w:vAlign w:val="top"/>
          </w:tcPr>
          <w:p>
            <w:pPr>
              <w:pStyle w:val="TableText"/>
              <w:spacing w:before="40" w:after="40" w:line="240" w:lineRule="auto"/>
              <w:jc w:val="right"/>
            </w:pPr>
            <w:r>
              <w:rPr>
                <w:sz w:val="20"/>
                <w:szCs w:val="20"/>
              </w:rPr>
              <w:t xml:space="preserve">0,646 s</w:t>
            </w:r>
          </w:p>
        </w:tc>
        <w:tc>
          <w:tcPr>
            <w:tcW w:w="2960" w:type="dxa"/>
            <w:vAlign w:val="top"/>
          </w:tcPr>
          <w:p>
            <w:pPr>
              <w:pStyle w:val="TableText"/>
              <w:spacing w:before="40" w:after="40" w:line="240" w:lineRule="auto"/>
              <w:jc w:val="left"/>
            </w:pPr>
            <w:r>
              <w:rPr>
                <w:sz w:val="20"/>
                <w:szCs w:val="20"/>
              </w:rPr>
              <w:t xml:space="preserve">La fuente DNS del sensor de red entra en el cálculo</w:t>
            </w:r>
          </w:p>
        </w:tc>
      </w:tr>
      <w:tr>
        <w:trPr>
          <w:cantSplit/>
        </w:trPr>
        <w:tc>
          <w:tcPr>
            <w:tcW w:w="2800" w:type="dxa"/>
            <w:vAlign w:val="top"/>
          </w:tcPr>
          <w:p>
            <w:pPr>
              <w:pStyle w:val="TableText"/>
              <w:spacing w:before="40" w:after="40" w:line="240" w:lineRule="auto"/>
              <w:jc w:val="left"/>
            </w:pPr>
            <w:r>
              <w:rPr>
                <w:sz w:val="20"/>
                <w:szCs w:val="20"/>
              </w:rPr>
              <w:t xml:space="preserve">S08 · Depósito de archivo</w:t>
            </w:r>
          </w:p>
        </w:tc>
        <w:tc>
          <w:tcPr>
            <w:tcW w:w="1700" w:type="dxa"/>
            <w:vAlign w:val="top"/>
          </w:tcPr>
          <w:p>
            <w:pPr>
              <w:pStyle w:val="TableText"/>
              <w:spacing w:before="40" w:after="40" w:line="240" w:lineRule="auto"/>
              <w:jc w:val="right"/>
            </w:pPr>
            <w:r>
              <w:rPr>
                <w:sz w:val="20"/>
                <w:szCs w:val="20"/>
              </w:rPr>
              <w:t xml:space="preserve">0,533 s</w:t>
            </w:r>
          </w:p>
        </w:tc>
        <w:tc>
          <w:tcPr>
            <w:tcW w:w="1900" w:type="dxa"/>
            <w:vAlign w:val="top"/>
          </w:tcPr>
          <w:p>
            <w:pPr>
              <w:pStyle w:val="TableText"/>
              <w:spacing w:before="40" w:after="40" w:line="240" w:lineRule="auto"/>
              <w:jc w:val="right"/>
            </w:pPr>
            <w:r>
              <w:rPr>
                <w:sz w:val="20"/>
                <w:szCs w:val="20"/>
              </w:rPr>
              <w:t xml:space="preserve">0,562 s</w:t>
            </w:r>
          </w:p>
        </w:tc>
        <w:tc>
          <w:tcPr>
            <w:tcW w:w="2960" w:type="dxa"/>
            <w:vAlign w:val="top"/>
          </w:tcPr>
          <w:p>
            <w:pPr>
              <w:pStyle w:val="TableText"/>
              <w:spacing w:before="40" w:after="40" w:line="240" w:lineRule="auto"/>
              <w:jc w:val="left"/>
            </w:pPr>
            <w:r>
              <w:rPr>
                <w:sz w:val="20"/>
                <w:szCs w:val="20"/>
              </w:rPr>
              <w:t xml:space="preserve">El archivo señuelo pasa a ser fuente propia</w:t>
            </w:r>
          </w:p>
        </w:tc>
      </w:tr>
      <w:tr>
        <w:trPr>
          <w:cantSplit/>
        </w:trPr>
        <w:tc>
          <w:tcPr>
            <w:tcW w:w="2800" w:type="dxa"/>
            <w:vAlign w:val="top"/>
          </w:tcPr>
          <w:p>
            <w:pPr>
              <w:pStyle w:val="TableText"/>
              <w:spacing w:before="40" w:after="40" w:line="240" w:lineRule="auto"/>
              <w:jc w:val="left"/>
            </w:pPr>
            <w:r>
              <w:rPr>
                <w:sz w:val="20"/>
                <w:szCs w:val="20"/>
              </w:rPr>
              <w:t xml:space="preserve">S09 · Conexión inversa</w:t>
            </w:r>
          </w:p>
        </w:tc>
        <w:tc>
          <w:tcPr>
            <w:tcW w:w="1700" w:type="dxa"/>
            <w:vAlign w:val="top"/>
          </w:tcPr>
          <w:p>
            <w:pPr>
              <w:pStyle w:val="TableText"/>
              <w:spacing w:before="40" w:after="40" w:line="240" w:lineRule="auto"/>
              <w:jc w:val="right"/>
            </w:pPr>
            <w:r>
              <w:rPr>
                <w:sz w:val="20"/>
                <w:szCs w:val="20"/>
              </w:rPr>
              <w:t xml:space="preserve">10,000 s</w:t>
            </w:r>
          </w:p>
        </w:tc>
        <w:tc>
          <w:tcPr>
            <w:tcW w:w="1900" w:type="dxa"/>
            <w:vAlign w:val="top"/>
          </w:tcPr>
          <w:p>
            <w:pPr>
              <w:pStyle w:val="TableText"/>
              <w:spacing w:before="40" w:after="40" w:line="240" w:lineRule="auto"/>
              <w:jc w:val="right"/>
            </w:pPr>
            <w:r>
              <w:rPr>
                <w:sz w:val="20"/>
                <w:szCs w:val="20"/>
              </w:rPr>
              <w:t xml:space="preserve">0,000 s</w:t>
            </w:r>
          </w:p>
        </w:tc>
        <w:tc>
          <w:tcPr>
            <w:tcW w:w="2960" w:type="dxa"/>
            <w:vAlign w:val="top"/>
          </w:tcPr>
          <w:p>
            <w:pPr>
              <w:pStyle w:val="TableText"/>
              <w:spacing w:before="40" w:after="40" w:line="240" w:lineRule="auto"/>
              <w:jc w:val="left"/>
            </w:pPr>
            <w:r>
              <w:rPr>
                <w:sz w:val="20"/>
                <w:szCs w:val="20"/>
              </w:rPr>
              <w:t xml:space="preserve">El emulador de acceso remoto queda verificado desde el arranque</w:t>
            </w:r>
          </w:p>
        </w:tc>
      </w:tr>
    </w:tbl>
    <w:p>
      <w:pPr>
        <w:pStyle w:val="TableNote"/>
        <w:spacing w:before="60" w:after="240" w:line="240" w:lineRule="auto"/>
      </w:pPr>
      <w:r>
        <w:rPr>
          <w:sz w:val="20"/>
          <w:szCs w:val="20"/>
        </w:rPr>
        <w:t xml:space="preserve">Nota. </w:t>
      </w:r>
      <w:r>
        <w:rPr>
          <w:sz w:val="20"/>
          <w:szCs w:val="20"/>
        </w:rPr>
        <w:t xml:space="preserve">Los tiempos de S08 y S09 son comparables porque el mismo escenario produce una medición en los dos laboratorios. Los tiempos medios no son comparables, porque el primer laboratorio promedia nueve escenarios y el segundo promedia diez.</w:t>
      </w:r>
    </w:p>
    <w:p>
      <w:pPr>
        <w:pStyle w:val="Normal"/>
        <w:spacing w:after="0" w:line="480" w:lineRule="auto"/>
        <w:ind w:firstLine="720"/>
        <w:jc w:val="both"/>
      </w:pPr>
      <w:r>
        <w:t xml:space="preserve">Los tiempos de S08 y S09 resultan comparables porque el mismo escenario produce una medición en los dos casos. El tiempo medio de cada laboratorio no resulta comparable, porque el primero promedia nueve escenarios y el segundo promedia diez, de manera que ese contraste mide el cambio de cobertura de la medición y no el cambio de velocidad de la detección.</w:t>
      </w:r>
    </w:p>
    <w:p>
      <w:pPr>
        <w:pStyle w:val="Heading1"/>
        <w:keepNext/>
        <w:spacing w:before="360" w:after="120" w:line="240" w:lineRule="auto"/>
        <w:jc w:val="left"/>
        <w:outlineLvl w:val="0"/>
      </w:pPr>
      <w:r>
        <w:rPr>
          <w:b/>
          <w:bCs/>
        </w:rPr>
        <w:t xml:space="preserve">6. Las dos vueltas del laboratorio del Prototipo 2</w:t>
      </w:r>
    </w:p>
    <w:p>
      <w:pPr>
        <w:pStyle w:val="Normal"/>
        <w:spacing w:after="0" w:line="480" w:lineRule="auto"/>
        <w:ind w:firstLine="720"/>
        <w:jc w:val="both"/>
      </w:pPr>
      <w:r>
        <w:t xml:space="preserve">El segundo laboratorio comprueba qué produce la metodología cuando se aplica por segunda vez sobre el mismo señuelo. El señuelo ejecuta los mismos diez escenarios en las dos vueltas con las mismas técnicas, de manera que la diferencia entre las columnas corresponde al trabajo de la metodología y no a un cambio de instrumentación.</w:t>
      </w:r>
    </w:p>
    <w:p>
      <w:pPr>
        <w:pStyle w:val="Normal"/>
        <w:spacing w:after="0" w:line="480" w:lineRule="auto"/>
        <w:ind w:firstLine="720"/>
        <w:jc w:val="both"/>
      </w:pPr>
      <w:r>
        <w:t xml:space="preserve">Seis indicadores cambian entre la vuelta 1 y la medición posterior, mientras que cuatro permanecen constantes en las dos vueltas del ejercicio. Los escenarios con medición pasan de cuatro a diez, lo mismo que ocurre con las técnicas que cuentan con fuente de detección, de manera que las fuentes de registro pasan de tres a seis al igual que las tácticas con fuente asignada.</w:t>
      </w:r>
    </w:p>
    <w:p>
      <w:pPr>
        <w:pStyle w:val="FigureCaption"/>
        <w:keepNext/>
        <w:spacing w:before="240" w:after="0" w:line="240" w:lineRule="auto"/>
      </w:pPr>
      <w:r>
        <w:rPr>
          <w:b/>
          <w:bCs/>
          <w:i w:val="false"/>
          <w:iCs w:val="false"/>
          <w:sz w:val="22"/>
          <w:szCs w:val="22"/>
        </w:rPr>
        <w:t xml:space="preserve">Figura 9</w:t>
      </w:r>
    </w:p>
    <w:p>
      <w:pPr>
        <w:pStyle w:val="FigureCaption"/>
        <w:keepNext/>
        <w:spacing w:before="0" w:after="120" w:line="240" w:lineRule="auto"/>
      </w:pPr>
      <w:r>
        <w:rPr>
          <w:sz w:val="22"/>
          <w:szCs w:val="22"/>
        </w:rPr>
        <w:t xml:space="preserve">Cobertura de la medición en la vuelta 1 y en la medición final del Prototipo 2</w:t>
      </w:r>
    </w:p>
    <w:p>
      <w:pPr>
        <w:pStyle w:val="FigureImage"/>
        <w:spacing w:before="120" w:after="60" w:line="240" w:lineRule="auto"/>
        <w:jc w:val="center"/>
      </w:pPr>
      <w:r>
        <w:drawing>
          <wp:inline xmlns:wp="http://schemas.openxmlformats.org/drawingml/2006/wordprocessingDrawing" distT="0" distB="0" distL="0" distR="0">
            <wp:extent cx="4000500" cy="2514600"/>
            <wp:effectExtent l="0" t="0" r="0" b="0"/>
            <wp:docPr id="9" name="Figura 9" descr="Comparación de la cobertura de medición entre la vuelta 1 y la med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obertura-prototipo-2.png"/>
                    <pic:cNvPicPr/>
                  </pic:nvPicPr>
                  <pic:blipFill>
                    <a:blip xmlns:r="http://schemas.openxmlformats.org/officeDocument/2006/relationships" r:embed="R50bc589cb6cf41a0"/>
                    <a:stretch>
                      <a:fillRect/>
                    </a:stretch>
                  </pic:blipFill>
                  <pic:spPr>
                    <a:xfrm>
                      <a:off x="0" y="0"/>
                      <a:ext cx="4000500" cy="251460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Cada par de barras compara la vuelta 1 con la medición final del Prototipo 2. La cobertura de medición pasa de cuatro a diez escenarios.</w:t>
      </w:r>
    </w:p>
    <w:p>
      <w:pPr>
        <w:pStyle w:val="TableTitle"/>
        <w:keepNext/>
        <w:spacing w:before="240" w:after="0" w:line="240" w:lineRule="auto"/>
      </w:pPr>
      <w:r>
        <w:rPr>
          <w:b/>
          <w:bCs/>
          <w:i w:val="false"/>
          <w:iCs w:val="false"/>
          <w:sz w:val="22"/>
          <w:szCs w:val="22"/>
        </w:rPr>
        <w:t xml:space="preserve">Tabla 11</w:t>
      </w:r>
    </w:p>
    <w:p>
      <w:pPr>
        <w:pStyle w:val="TableTitle"/>
        <w:keepNext/>
        <w:spacing w:before="0" w:after="80" w:line="240" w:lineRule="auto"/>
      </w:pPr>
      <w:r>
        <w:rPr>
          <w:sz w:val="22"/>
          <w:szCs w:val="22"/>
        </w:rPr>
        <w:t xml:space="preserve">Lectura del cambio entre las dos vueltas del Prototipo 2</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4560"/>
        <w:gridCol w:w="1600"/>
        <w:gridCol w:w="1900"/>
        <w:gridCol w:w="1300"/>
      </w:tblGrid>
      <w:tr>
        <w:trPr>
          <w:tblHeader/>
          <w:cantSplit/>
        </w:trPr>
        <w:tc>
          <w:tcPr>
            <w:tcW w:w="4560" w:type="dxa"/>
            <w:tcBorders>
              <w:bottom w:val="single" w:color="000000" w:sz="6" w:space="0"/>
            </w:tcBorders>
            <w:vAlign w:val="top"/>
          </w:tcPr>
          <w:p>
            <w:pPr>
              <w:pStyle w:val="TableText"/>
              <w:spacing w:before="40" w:after="40" w:line="240" w:lineRule="auto"/>
              <w:jc w:val="left"/>
            </w:pPr>
            <w:r>
              <w:rPr>
                <w:b/>
                <w:bCs/>
                <w:sz w:val="20"/>
                <w:szCs w:val="20"/>
              </w:rPr>
              <w:t xml:space="preserve">Indicador</w:t>
            </w:r>
          </w:p>
        </w:tc>
        <w:tc>
          <w:tcPr>
            <w:tcW w:w="1600" w:type="dxa"/>
            <w:tcBorders>
              <w:bottom w:val="single" w:color="000000" w:sz="6" w:space="0"/>
            </w:tcBorders>
            <w:vAlign w:val="top"/>
          </w:tcPr>
          <w:p>
            <w:pPr>
              <w:pStyle w:val="TableText"/>
              <w:spacing w:before="40" w:after="40" w:line="240" w:lineRule="auto"/>
              <w:jc w:val="right"/>
            </w:pPr>
            <w:r>
              <w:rPr>
                <w:b/>
                <w:bCs/>
                <w:sz w:val="20"/>
                <w:szCs w:val="20"/>
              </w:rPr>
              <w:t xml:space="preserve">Vuelta 1</w:t>
            </w:r>
          </w:p>
        </w:tc>
        <w:tc>
          <w:tcPr>
            <w:tcW w:w="1900" w:type="dxa"/>
            <w:tcBorders>
              <w:bottom w:val="single" w:color="000000" w:sz="6" w:space="0"/>
            </w:tcBorders>
            <w:vAlign w:val="top"/>
          </w:tcPr>
          <w:p>
            <w:pPr>
              <w:pStyle w:val="TableText"/>
              <w:spacing w:before="40" w:after="40" w:line="240" w:lineRule="auto"/>
              <w:jc w:val="right"/>
            </w:pPr>
            <w:r>
              <w:rPr>
                <w:b/>
                <w:bCs/>
                <w:sz w:val="20"/>
                <w:szCs w:val="20"/>
              </w:rPr>
              <w:t xml:space="preserve">Medición final</w:t>
            </w:r>
          </w:p>
        </w:tc>
        <w:tc>
          <w:tcPr>
            <w:tcW w:w="1300" w:type="dxa"/>
            <w:tcBorders>
              <w:bottom w:val="single" w:color="000000" w:sz="6" w:space="0"/>
            </w:tcBorders>
            <w:vAlign w:val="top"/>
          </w:tcPr>
          <w:p>
            <w:pPr>
              <w:pStyle w:val="TableText"/>
              <w:spacing w:before="40" w:after="40" w:line="240" w:lineRule="auto"/>
              <w:jc w:val="right"/>
            </w:pPr>
            <w:r>
              <w:rPr>
                <w:b/>
                <w:bCs/>
                <w:sz w:val="20"/>
                <w:szCs w:val="20"/>
              </w:rPr>
              <w:t xml:space="preserve">Cambio</w:t>
            </w:r>
          </w:p>
        </w:tc>
      </w:tr>
      <w:tr>
        <w:trPr>
          <w:cantSplit/>
        </w:trPr>
        <w:tc>
          <w:tcPr>
            <w:tcW w:w="4560" w:type="dxa"/>
            <w:vAlign w:val="top"/>
          </w:tcPr>
          <w:p>
            <w:pPr>
              <w:pStyle w:val="TableText"/>
              <w:spacing w:before="40" w:after="40" w:line="240" w:lineRule="auto"/>
              <w:jc w:val="left"/>
            </w:pPr>
            <w:r>
              <w:rPr>
                <w:sz w:val="20"/>
                <w:szCs w:val="20"/>
              </w:rPr>
              <w:t xml:space="preserve">Escenarios con tiempo medido</w:t>
            </w:r>
          </w:p>
        </w:tc>
        <w:tc>
          <w:tcPr>
            <w:tcW w:w="1600" w:type="dxa"/>
            <w:vAlign w:val="top"/>
          </w:tcPr>
          <w:p>
            <w:pPr>
              <w:pStyle w:val="TableText"/>
              <w:spacing w:before="40" w:after="40" w:line="240" w:lineRule="auto"/>
              <w:jc w:val="right"/>
            </w:pPr>
            <w:r>
              <w:rPr>
                <w:sz w:val="20"/>
                <w:szCs w:val="20"/>
              </w:rPr>
              <w:t xml:space="preserve">4</w:t>
            </w:r>
          </w:p>
        </w:tc>
        <w:tc>
          <w:tcPr>
            <w:tcW w:w="1900" w:type="dxa"/>
            <w:vAlign w:val="top"/>
          </w:tcPr>
          <w:p>
            <w:pPr>
              <w:pStyle w:val="TableText"/>
              <w:spacing w:before="40" w:after="40" w:line="240" w:lineRule="auto"/>
              <w:jc w:val="right"/>
            </w:pPr>
            <w:r>
              <w:rPr>
                <w:sz w:val="20"/>
                <w:szCs w:val="20"/>
              </w:rPr>
              <w:t xml:space="preserve">10</w:t>
            </w:r>
          </w:p>
        </w:tc>
        <w:tc>
          <w:tcPr>
            <w:tcW w:w="1300" w:type="dxa"/>
            <w:vAlign w:val="top"/>
          </w:tcPr>
          <w:p>
            <w:pPr>
              <w:pStyle w:val="TableText"/>
              <w:spacing w:before="40" w:after="40" w:line="240" w:lineRule="auto"/>
              <w:jc w:val="right"/>
            </w:pPr>
            <w:r>
              <w:rPr>
                <w:sz w:val="20"/>
                <w:szCs w:val="20"/>
              </w:rPr>
              <w:t xml:space="preserve">+6</w:t>
            </w:r>
          </w:p>
        </w:tc>
      </w:tr>
      <w:tr>
        <w:trPr>
          <w:cantSplit/>
        </w:trPr>
        <w:tc>
          <w:tcPr>
            <w:tcW w:w="4560" w:type="dxa"/>
            <w:vAlign w:val="top"/>
          </w:tcPr>
          <w:p>
            <w:pPr>
              <w:pStyle w:val="TableText"/>
              <w:spacing w:before="40" w:after="40" w:line="240" w:lineRule="auto"/>
              <w:jc w:val="left"/>
            </w:pPr>
            <w:r>
              <w:rPr>
                <w:sz w:val="20"/>
                <w:szCs w:val="20"/>
              </w:rPr>
              <w:t xml:space="preserve">Fuentes de registro</w:t>
            </w:r>
          </w:p>
        </w:tc>
        <w:tc>
          <w:tcPr>
            <w:tcW w:w="1600" w:type="dxa"/>
            <w:vAlign w:val="top"/>
          </w:tcPr>
          <w:p>
            <w:pPr>
              <w:pStyle w:val="TableText"/>
              <w:spacing w:before="40" w:after="40" w:line="240" w:lineRule="auto"/>
              <w:jc w:val="right"/>
            </w:pPr>
            <w:r>
              <w:rPr>
                <w:sz w:val="20"/>
                <w:szCs w:val="20"/>
              </w:rPr>
              <w:t xml:space="preserve">3</w:t>
            </w:r>
          </w:p>
        </w:tc>
        <w:tc>
          <w:tcPr>
            <w:tcW w:w="1900" w:type="dxa"/>
            <w:vAlign w:val="top"/>
          </w:tcPr>
          <w:p>
            <w:pPr>
              <w:pStyle w:val="TableText"/>
              <w:spacing w:before="40" w:after="40" w:line="240" w:lineRule="auto"/>
              <w:jc w:val="right"/>
            </w:pPr>
            <w:r>
              <w:rPr>
                <w:sz w:val="20"/>
                <w:szCs w:val="20"/>
              </w:rPr>
              <w:t xml:space="preserve">6</w:t>
            </w:r>
          </w:p>
        </w:tc>
        <w:tc>
          <w:tcPr>
            <w:tcW w:w="1300" w:type="dxa"/>
            <w:vAlign w:val="top"/>
          </w:tcPr>
          <w:p>
            <w:pPr>
              <w:pStyle w:val="TableText"/>
              <w:spacing w:before="40" w:after="40" w:line="240" w:lineRule="auto"/>
              <w:jc w:val="right"/>
            </w:pPr>
            <w:r>
              <w:rPr>
                <w:sz w:val="20"/>
                <w:szCs w:val="20"/>
              </w:rPr>
              <w:t xml:space="preserve">+3</w:t>
            </w:r>
          </w:p>
        </w:tc>
      </w:tr>
      <w:tr>
        <w:trPr>
          <w:cantSplit/>
        </w:trPr>
        <w:tc>
          <w:tcPr>
            <w:tcW w:w="4560" w:type="dxa"/>
            <w:vAlign w:val="top"/>
          </w:tcPr>
          <w:p>
            <w:pPr>
              <w:pStyle w:val="TableText"/>
              <w:spacing w:before="40" w:after="40" w:line="240" w:lineRule="auto"/>
              <w:jc w:val="left"/>
            </w:pPr>
            <w:r>
              <w:rPr>
                <w:sz w:val="20"/>
                <w:szCs w:val="20"/>
              </w:rPr>
              <w:t xml:space="preserve">Técnicas con fuente de detección</w:t>
            </w:r>
          </w:p>
        </w:tc>
        <w:tc>
          <w:tcPr>
            <w:tcW w:w="1600" w:type="dxa"/>
            <w:vAlign w:val="top"/>
          </w:tcPr>
          <w:p>
            <w:pPr>
              <w:pStyle w:val="TableText"/>
              <w:spacing w:before="40" w:after="40" w:line="240" w:lineRule="auto"/>
              <w:jc w:val="right"/>
            </w:pPr>
            <w:r>
              <w:rPr>
                <w:sz w:val="20"/>
                <w:szCs w:val="20"/>
              </w:rPr>
              <w:t xml:space="preserve">4</w:t>
            </w:r>
          </w:p>
        </w:tc>
        <w:tc>
          <w:tcPr>
            <w:tcW w:w="1900" w:type="dxa"/>
            <w:vAlign w:val="top"/>
          </w:tcPr>
          <w:p>
            <w:pPr>
              <w:pStyle w:val="TableText"/>
              <w:spacing w:before="40" w:after="40" w:line="240" w:lineRule="auto"/>
              <w:jc w:val="right"/>
            </w:pPr>
            <w:r>
              <w:rPr>
                <w:sz w:val="20"/>
                <w:szCs w:val="20"/>
              </w:rPr>
              <w:t xml:space="preserve">10</w:t>
            </w:r>
          </w:p>
        </w:tc>
        <w:tc>
          <w:tcPr>
            <w:tcW w:w="1300" w:type="dxa"/>
            <w:vAlign w:val="top"/>
          </w:tcPr>
          <w:p>
            <w:pPr>
              <w:pStyle w:val="TableText"/>
              <w:spacing w:before="40" w:after="40" w:line="240" w:lineRule="auto"/>
              <w:jc w:val="right"/>
            </w:pPr>
            <w:r>
              <w:rPr>
                <w:sz w:val="20"/>
                <w:szCs w:val="20"/>
              </w:rPr>
              <w:t xml:space="preserve">+6</w:t>
            </w:r>
          </w:p>
        </w:tc>
      </w:tr>
      <w:tr>
        <w:trPr>
          <w:cantSplit/>
        </w:trPr>
        <w:tc>
          <w:tcPr>
            <w:tcW w:w="4560" w:type="dxa"/>
            <w:vAlign w:val="top"/>
          </w:tcPr>
          <w:p>
            <w:pPr>
              <w:pStyle w:val="TableText"/>
              <w:spacing w:before="40" w:after="40" w:line="240" w:lineRule="auto"/>
              <w:jc w:val="left"/>
            </w:pPr>
            <w:r>
              <w:rPr>
                <w:sz w:val="20"/>
                <w:szCs w:val="20"/>
              </w:rPr>
              <w:t xml:space="preserve">Tácticas con fuente de detección</w:t>
            </w:r>
          </w:p>
        </w:tc>
        <w:tc>
          <w:tcPr>
            <w:tcW w:w="1600" w:type="dxa"/>
            <w:vAlign w:val="top"/>
          </w:tcPr>
          <w:p>
            <w:pPr>
              <w:pStyle w:val="TableText"/>
              <w:spacing w:before="40" w:after="40" w:line="240" w:lineRule="auto"/>
              <w:jc w:val="right"/>
            </w:pPr>
            <w:r>
              <w:rPr>
                <w:sz w:val="20"/>
                <w:szCs w:val="20"/>
              </w:rPr>
              <w:t xml:space="preserve">3</w:t>
            </w:r>
          </w:p>
        </w:tc>
        <w:tc>
          <w:tcPr>
            <w:tcW w:w="1900" w:type="dxa"/>
            <w:vAlign w:val="top"/>
          </w:tcPr>
          <w:p>
            <w:pPr>
              <w:pStyle w:val="TableText"/>
              <w:spacing w:before="40" w:after="40" w:line="240" w:lineRule="auto"/>
              <w:jc w:val="right"/>
            </w:pPr>
            <w:r>
              <w:rPr>
                <w:sz w:val="20"/>
                <w:szCs w:val="20"/>
              </w:rPr>
              <w:t xml:space="preserve">6</w:t>
            </w:r>
          </w:p>
        </w:tc>
        <w:tc>
          <w:tcPr>
            <w:tcW w:w="1300" w:type="dxa"/>
            <w:vAlign w:val="top"/>
          </w:tcPr>
          <w:p>
            <w:pPr>
              <w:pStyle w:val="TableText"/>
              <w:spacing w:before="40" w:after="40" w:line="240" w:lineRule="auto"/>
              <w:jc w:val="right"/>
            </w:pPr>
            <w:r>
              <w:rPr>
                <w:sz w:val="20"/>
                <w:szCs w:val="20"/>
              </w:rPr>
              <w:t xml:space="preserve">+3</w:t>
            </w:r>
          </w:p>
        </w:tc>
      </w:tr>
      <w:tr>
        <w:trPr>
          <w:cantSplit/>
        </w:trPr>
        <w:tc>
          <w:tcPr>
            <w:tcW w:w="4560" w:type="dxa"/>
            <w:vAlign w:val="top"/>
          </w:tcPr>
          <w:p>
            <w:pPr>
              <w:pStyle w:val="TableText"/>
              <w:spacing w:before="40" w:after="40" w:line="240" w:lineRule="auto"/>
              <w:jc w:val="left"/>
            </w:pPr>
            <w:r>
              <w:rPr>
                <w:sz w:val="20"/>
                <w:szCs w:val="20"/>
              </w:rPr>
              <w:t xml:space="preserve">Percentil 95 de detección</w:t>
            </w:r>
          </w:p>
        </w:tc>
        <w:tc>
          <w:tcPr>
            <w:tcW w:w="1600" w:type="dxa"/>
            <w:vAlign w:val="top"/>
          </w:tcPr>
          <w:p>
            <w:pPr>
              <w:pStyle w:val="TableText"/>
              <w:spacing w:before="40" w:after="40" w:line="240" w:lineRule="auto"/>
              <w:jc w:val="right"/>
            </w:pPr>
            <w:r>
              <w:rPr>
                <w:sz w:val="20"/>
                <w:szCs w:val="20"/>
              </w:rPr>
              <w:t xml:space="preserve">14,583 s</w:t>
            </w:r>
          </w:p>
        </w:tc>
        <w:tc>
          <w:tcPr>
            <w:tcW w:w="1900" w:type="dxa"/>
            <w:vAlign w:val="top"/>
          </w:tcPr>
          <w:p>
            <w:pPr>
              <w:pStyle w:val="TableText"/>
              <w:spacing w:before="40" w:after="40" w:line="240" w:lineRule="auto"/>
              <w:jc w:val="right"/>
            </w:pPr>
            <w:r>
              <w:rPr>
                <w:sz w:val="20"/>
                <w:szCs w:val="20"/>
              </w:rPr>
              <w:t xml:space="preserve">9,266 s</w:t>
            </w:r>
          </w:p>
        </w:tc>
        <w:tc>
          <w:tcPr>
            <w:tcW w:w="1300" w:type="dxa"/>
            <w:vAlign w:val="top"/>
          </w:tcPr>
          <w:p>
            <w:pPr>
              <w:pStyle w:val="TableText"/>
              <w:spacing w:before="40" w:after="40" w:line="240" w:lineRule="auto"/>
              <w:jc w:val="right"/>
            </w:pPr>
            <w:r>
              <w:rPr>
                <w:sz w:val="20"/>
                <w:szCs w:val="20"/>
              </w:rPr>
              <w:t xml:space="preserve">−5,317 s</w:t>
            </w:r>
          </w:p>
        </w:tc>
      </w:tr>
      <w:tr>
        <w:trPr>
          <w:cantSplit/>
        </w:trPr>
        <w:tc>
          <w:tcPr>
            <w:tcW w:w="4560" w:type="dxa"/>
            <w:vAlign w:val="top"/>
          </w:tcPr>
          <w:p>
            <w:pPr>
              <w:pStyle w:val="TableText"/>
              <w:spacing w:before="40" w:after="40" w:line="240" w:lineRule="auto"/>
              <w:jc w:val="left"/>
            </w:pPr>
            <w:r>
              <w:rPr>
                <w:sz w:val="20"/>
                <w:szCs w:val="20"/>
              </w:rPr>
              <w:t xml:space="preserve">Lecciones cerradas</w:t>
            </w:r>
          </w:p>
        </w:tc>
        <w:tc>
          <w:tcPr>
            <w:tcW w:w="1600" w:type="dxa"/>
            <w:vAlign w:val="top"/>
          </w:tcPr>
          <w:p>
            <w:pPr>
              <w:pStyle w:val="TableText"/>
              <w:spacing w:before="40" w:after="40" w:line="240" w:lineRule="auto"/>
              <w:jc w:val="right"/>
            </w:pPr>
            <w:r>
              <w:rPr>
                <w:sz w:val="20"/>
                <w:szCs w:val="20"/>
              </w:rPr>
              <w:t xml:space="preserve">7</w:t>
            </w:r>
          </w:p>
        </w:tc>
        <w:tc>
          <w:tcPr>
            <w:tcW w:w="1900" w:type="dxa"/>
            <w:vAlign w:val="top"/>
          </w:tcPr>
          <w:p>
            <w:pPr>
              <w:pStyle w:val="TableText"/>
              <w:spacing w:before="40" w:after="40" w:line="240" w:lineRule="auto"/>
              <w:jc w:val="right"/>
            </w:pPr>
            <w:r>
              <w:rPr>
                <w:sz w:val="20"/>
                <w:szCs w:val="20"/>
              </w:rPr>
              <w:t xml:space="preserve">14</w:t>
            </w:r>
          </w:p>
        </w:tc>
        <w:tc>
          <w:tcPr>
            <w:tcW w:w="1300" w:type="dxa"/>
            <w:vAlign w:val="top"/>
          </w:tcPr>
          <w:p>
            <w:pPr>
              <w:pStyle w:val="TableText"/>
              <w:spacing w:before="40" w:after="40" w:line="240" w:lineRule="auto"/>
              <w:jc w:val="right"/>
            </w:pPr>
            <w:r>
              <w:rPr>
                <w:sz w:val="20"/>
                <w:szCs w:val="20"/>
              </w:rPr>
              <w:t xml:space="preserve">+7</w:t>
            </w:r>
          </w:p>
        </w:tc>
      </w:tr>
      <w:tr>
        <w:trPr>
          <w:cantSplit/>
        </w:trPr>
        <w:tc>
          <w:tcPr>
            <w:tcW w:w="4560" w:type="dxa"/>
            <w:vAlign w:val="top"/>
          </w:tcPr>
          <w:p>
            <w:pPr>
              <w:pStyle w:val="TableText"/>
              <w:spacing w:before="40" w:after="40" w:line="240" w:lineRule="auto"/>
              <w:jc w:val="left"/>
            </w:pPr>
            <w:r>
              <w:rPr>
                <w:sz w:val="20"/>
                <w:szCs w:val="20"/>
              </w:rPr>
              <w:t xml:space="preserve">Escenarios ejecutados</w:t>
            </w:r>
          </w:p>
        </w:tc>
        <w:tc>
          <w:tcPr>
            <w:tcW w:w="1600" w:type="dxa"/>
            <w:vAlign w:val="top"/>
          </w:tcPr>
          <w:p>
            <w:pPr>
              <w:pStyle w:val="TableText"/>
              <w:spacing w:before="40" w:after="40" w:line="240" w:lineRule="auto"/>
              <w:jc w:val="right"/>
            </w:pPr>
            <w:r>
              <w:rPr>
                <w:sz w:val="20"/>
                <w:szCs w:val="20"/>
              </w:rPr>
              <w:t xml:space="preserve">10</w:t>
            </w:r>
          </w:p>
        </w:tc>
        <w:tc>
          <w:tcPr>
            <w:tcW w:w="1900" w:type="dxa"/>
            <w:vAlign w:val="top"/>
          </w:tcPr>
          <w:p>
            <w:pPr>
              <w:pStyle w:val="TableText"/>
              <w:spacing w:before="40" w:after="40" w:line="240" w:lineRule="auto"/>
              <w:jc w:val="right"/>
            </w:pPr>
            <w:r>
              <w:rPr>
                <w:sz w:val="20"/>
                <w:szCs w:val="20"/>
              </w:rPr>
              <w:t xml:space="preserve">10</w:t>
            </w:r>
          </w:p>
        </w:tc>
        <w:tc>
          <w:tcPr>
            <w:tcW w:w="1300" w:type="dxa"/>
            <w:vAlign w:val="top"/>
          </w:tcPr>
          <w:p>
            <w:pPr>
              <w:pStyle w:val="TableText"/>
              <w:spacing w:before="40" w:after="40" w:line="240" w:lineRule="auto"/>
              <w:jc w:val="right"/>
            </w:pPr>
            <w:r>
              <w:rPr>
                <w:sz w:val="20"/>
                <w:szCs w:val="20"/>
              </w:rPr>
              <w:t xml:space="preserve">=</w:t>
            </w:r>
          </w:p>
        </w:tc>
      </w:tr>
      <w:tr>
        <w:trPr>
          <w:cantSplit/>
        </w:trPr>
        <w:tc>
          <w:tcPr>
            <w:tcW w:w="4560" w:type="dxa"/>
            <w:vAlign w:val="top"/>
          </w:tcPr>
          <w:p>
            <w:pPr>
              <w:pStyle w:val="TableText"/>
              <w:spacing w:before="40" w:after="40" w:line="240" w:lineRule="auto"/>
              <w:jc w:val="left"/>
            </w:pPr>
            <w:r>
              <w:rPr>
                <w:sz w:val="20"/>
                <w:szCs w:val="20"/>
              </w:rPr>
              <w:t xml:space="preserve">Técnicas del inventario</w:t>
            </w:r>
          </w:p>
        </w:tc>
        <w:tc>
          <w:tcPr>
            <w:tcW w:w="1600" w:type="dxa"/>
            <w:vAlign w:val="top"/>
          </w:tcPr>
          <w:p>
            <w:pPr>
              <w:pStyle w:val="TableText"/>
              <w:spacing w:before="40" w:after="40" w:line="240" w:lineRule="auto"/>
              <w:jc w:val="right"/>
            </w:pPr>
            <w:r>
              <w:rPr>
                <w:sz w:val="20"/>
                <w:szCs w:val="20"/>
              </w:rPr>
              <w:t xml:space="preserve">17</w:t>
            </w:r>
          </w:p>
        </w:tc>
        <w:tc>
          <w:tcPr>
            <w:tcW w:w="1900" w:type="dxa"/>
            <w:vAlign w:val="top"/>
          </w:tcPr>
          <w:p>
            <w:pPr>
              <w:pStyle w:val="TableText"/>
              <w:spacing w:before="40" w:after="40" w:line="240" w:lineRule="auto"/>
              <w:jc w:val="right"/>
            </w:pPr>
            <w:r>
              <w:rPr>
                <w:sz w:val="20"/>
                <w:szCs w:val="20"/>
              </w:rPr>
              <w:t xml:space="preserve">17</w:t>
            </w:r>
          </w:p>
        </w:tc>
        <w:tc>
          <w:tcPr>
            <w:tcW w:w="1300" w:type="dxa"/>
            <w:vAlign w:val="top"/>
          </w:tcPr>
          <w:p>
            <w:pPr>
              <w:pStyle w:val="TableText"/>
              <w:spacing w:before="40" w:after="40" w:line="240" w:lineRule="auto"/>
              <w:jc w:val="right"/>
            </w:pPr>
            <w:r>
              <w:rPr>
                <w:sz w:val="20"/>
                <w:szCs w:val="20"/>
              </w:rPr>
              <w:t xml:space="preserve">=</w:t>
            </w:r>
          </w:p>
        </w:tc>
      </w:tr>
      <w:tr>
        <w:trPr>
          <w:cantSplit/>
        </w:trPr>
        <w:tc>
          <w:tcPr>
            <w:tcW w:w="4560" w:type="dxa"/>
            <w:vAlign w:val="top"/>
          </w:tcPr>
          <w:p>
            <w:pPr>
              <w:pStyle w:val="TableText"/>
              <w:spacing w:before="40" w:after="40" w:line="240" w:lineRule="auto"/>
              <w:jc w:val="left"/>
            </w:pPr>
            <w:r>
              <w:rPr>
                <w:sz w:val="20"/>
                <w:szCs w:val="20"/>
              </w:rPr>
              <w:t xml:space="preserve">Archivos de evidencia</w:t>
            </w:r>
          </w:p>
        </w:tc>
        <w:tc>
          <w:tcPr>
            <w:tcW w:w="1600" w:type="dxa"/>
            <w:vAlign w:val="top"/>
          </w:tcPr>
          <w:p>
            <w:pPr>
              <w:pStyle w:val="TableText"/>
              <w:spacing w:before="40" w:after="40" w:line="240" w:lineRule="auto"/>
              <w:jc w:val="right"/>
            </w:pPr>
            <w:r>
              <w:rPr>
                <w:sz w:val="20"/>
                <w:szCs w:val="20"/>
              </w:rPr>
              <w:t xml:space="preserve">91</w:t>
            </w:r>
          </w:p>
        </w:tc>
        <w:tc>
          <w:tcPr>
            <w:tcW w:w="1900" w:type="dxa"/>
            <w:vAlign w:val="top"/>
          </w:tcPr>
          <w:p>
            <w:pPr>
              <w:pStyle w:val="TableText"/>
              <w:spacing w:before="40" w:after="40" w:line="240" w:lineRule="auto"/>
              <w:jc w:val="right"/>
            </w:pPr>
            <w:r>
              <w:rPr>
                <w:sz w:val="20"/>
                <w:szCs w:val="20"/>
              </w:rPr>
              <w:t xml:space="preserve">91</w:t>
            </w:r>
          </w:p>
        </w:tc>
        <w:tc>
          <w:tcPr>
            <w:tcW w:w="1300" w:type="dxa"/>
            <w:vAlign w:val="top"/>
          </w:tcPr>
          <w:p>
            <w:pPr>
              <w:pStyle w:val="TableText"/>
              <w:spacing w:before="40" w:after="40" w:line="240" w:lineRule="auto"/>
              <w:jc w:val="right"/>
            </w:pPr>
            <w:r>
              <w:rPr>
                <w:sz w:val="20"/>
                <w:szCs w:val="20"/>
              </w:rPr>
              <w:t xml:space="preserve">=</w:t>
            </w:r>
          </w:p>
        </w:tc>
      </w:tr>
      <w:tr>
        <w:trPr>
          <w:cantSplit/>
        </w:trPr>
        <w:tc>
          <w:tcPr>
            <w:tcW w:w="4560" w:type="dxa"/>
            <w:vAlign w:val="top"/>
          </w:tcPr>
          <w:p>
            <w:pPr>
              <w:pStyle w:val="TableText"/>
              <w:spacing w:before="40" w:after="40" w:line="240" w:lineRule="auto"/>
              <w:jc w:val="left"/>
            </w:pPr>
            <w:r>
              <w:rPr>
                <w:sz w:val="20"/>
                <w:szCs w:val="20"/>
              </w:rPr>
              <w:t xml:space="preserve">Calidad de la evidencia</w:t>
            </w:r>
          </w:p>
        </w:tc>
        <w:tc>
          <w:tcPr>
            <w:tcW w:w="1600" w:type="dxa"/>
            <w:vAlign w:val="top"/>
          </w:tcPr>
          <w:p>
            <w:pPr>
              <w:pStyle w:val="TableText"/>
              <w:spacing w:before="40" w:after="40" w:line="240" w:lineRule="auto"/>
              <w:jc w:val="right"/>
            </w:pPr>
            <w:r>
              <w:rPr>
                <w:sz w:val="20"/>
                <w:szCs w:val="20"/>
              </w:rPr>
              <w:t xml:space="preserve">100</w:t>
            </w:r>
          </w:p>
        </w:tc>
        <w:tc>
          <w:tcPr>
            <w:tcW w:w="1900" w:type="dxa"/>
            <w:vAlign w:val="top"/>
          </w:tcPr>
          <w:p>
            <w:pPr>
              <w:pStyle w:val="TableText"/>
              <w:spacing w:before="40" w:after="40" w:line="240" w:lineRule="auto"/>
              <w:jc w:val="right"/>
            </w:pPr>
            <w:r>
              <w:rPr>
                <w:sz w:val="20"/>
                <w:szCs w:val="20"/>
              </w:rPr>
              <w:t xml:space="preserve">100</w:t>
            </w:r>
          </w:p>
        </w:tc>
        <w:tc>
          <w:tcPr>
            <w:tcW w:w="1300" w:type="dxa"/>
            <w:vAlign w:val="top"/>
          </w:tcPr>
          <w:p>
            <w:pPr>
              <w:pStyle w:val="TableText"/>
              <w:spacing w:before="40" w:after="40" w:line="240" w:lineRule="auto"/>
              <w:jc w:val="right"/>
            </w:pPr>
            <w:r>
              <w:rPr>
                <w:sz w:val="20"/>
                <w:szCs w:val="20"/>
              </w:rPr>
              <w:t xml:space="preserve">=</w:t>
            </w:r>
          </w:p>
        </w:tc>
      </w:tr>
    </w:tbl>
    <w:p>
      <w:pPr>
        <w:pStyle w:val="TableNote"/>
        <w:spacing w:before="60" w:after="240" w:line="240" w:lineRule="auto"/>
      </w:pPr>
      <w:r>
        <w:rPr>
          <w:sz w:val="20"/>
          <w:szCs w:val="20"/>
        </w:rPr>
        <w:t xml:space="preserve">Nota. </w:t>
      </w:r>
      <w:r>
        <w:rPr>
          <w:sz w:val="20"/>
          <w:szCs w:val="20"/>
        </w:rPr>
        <w:t xml:space="preserve">Las filas con cambio corresponden a los indicadores que dependen del instrumental de medición, mientras que las filas con signo igual corresponden a los indicadores que permanecen constantes en las dos vueltas. El percentil 95 se calcula sobre los valores de origen con tres decimales. Los datos proceden de los reportes de indicadores de las dos vueltas del Prototipo 2.</w:t>
      </w:r>
    </w:p>
    <w:p>
      <w:pPr>
        <w:pStyle w:val="Normal"/>
        <w:spacing w:after="0" w:line="480" w:lineRule="auto"/>
        <w:ind w:firstLine="720"/>
        <w:jc w:val="both"/>
      </w:pPr>
      <w:r>
        <w:t xml:space="preserve">Los cuatro indicadores constantes constituyen la prueba de que la diferencia procede de la corrección del instrumental, de manera que un cambio en el volumen de evidencia o en el catálogo de amenazas habría producido una comparación sin control y la igualdad de esas cuatro variables sostiene la lectura de las seis que cambian.</w:t>
      </w:r>
    </w:p>
    <w:p>
      <w:pPr>
        <w:pStyle w:val="Normal"/>
        <w:spacing w:after="0" w:line="480" w:lineRule="auto"/>
        <w:ind w:firstLine="720"/>
        <w:jc w:val="both"/>
      </w:pPr>
      <w:r>
        <w:t xml:space="preserve">El percentil 95 de detección desciende de 14,583 a 9,266 segundos, lo que supone una reducción de 5,317 segundos y confirma que la mejora se sostiene en la cola de la distribución y no solo en el promedio. El registro de lecciones aprendidas pasa de siete a catorce entradas cerradas, de manera que la segunda vuelta incorpora la corrección de todo lo que la primera dejó ver.</w:t>
      </w:r>
    </w:p>
    <w:p>
      <w:pPr>
        <w:pStyle w:val="Heading1"/>
        <w:keepNext/>
        <w:spacing w:before="360" w:after="120" w:line="240" w:lineRule="auto"/>
        <w:jc w:val="left"/>
        <w:outlineLvl w:val="0"/>
      </w:pPr>
      <w:r>
        <w:rPr>
          <w:b/>
          <w:bCs/>
        </w:rPr>
        <w:t xml:space="preserve">7. Tiempo de detección por escenario en el Prototipo 2</w:t>
      </w:r>
    </w:p>
    <w:p>
      <w:pPr>
        <w:pStyle w:val="Normal"/>
        <w:spacing w:after="0" w:line="480" w:lineRule="auto"/>
        <w:ind w:firstLine="720"/>
        <w:jc w:val="both"/>
      </w:pPr>
      <w:r>
        <w:t xml:space="preserve">Solo cuatro escenarios conservan medición en las dos vueltas, de manera que esos cuatro constituyen la base comparable. Los otros seis amplían la cobertura en la medición final y se listan aparte con la fuente que registra cada uno, mientras que la Figura 10 presenta la comparación de los cuatro escenarios medidos en ambas vueltas.</w:t>
      </w:r>
    </w:p>
    <w:p>
      <w:pPr>
        <w:pStyle w:val="FigureCaption"/>
        <w:keepNext/>
        <w:spacing w:before="240" w:after="0" w:line="240" w:lineRule="auto"/>
      </w:pPr>
      <w:r>
        <w:rPr>
          <w:b/>
          <w:bCs/>
          <w:i w:val="false"/>
          <w:iCs w:val="false"/>
          <w:sz w:val="22"/>
          <w:szCs w:val="22"/>
        </w:rPr>
        <w:t xml:space="preserve">Figura 10</w:t>
      </w:r>
    </w:p>
    <w:p>
      <w:pPr>
        <w:pStyle w:val="FigureCaption"/>
        <w:keepNext/>
        <w:spacing w:before="0" w:after="120" w:line="240" w:lineRule="auto"/>
      </w:pPr>
      <w:r>
        <w:rPr>
          <w:sz w:val="22"/>
          <w:szCs w:val="22"/>
        </w:rPr>
        <w:t xml:space="preserve">Tiempo de detección de los cuatro escenarios medidos en las dos vueltas del Prototipo 2</w:t>
      </w:r>
    </w:p>
    <w:p>
      <w:pPr>
        <w:pStyle w:val="FigureImage"/>
        <w:spacing w:before="120" w:after="60" w:line="240" w:lineRule="auto"/>
        <w:jc w:val="center"/>
      </w:pPr>
      <w:r>
        <w:drawing>
          <wp:inline xmlns:wp="http://schemas.openxmlformats.org/drawingml/2006/wordprocessingDrawing" distT="0" distB="0" distL="0" distR="0">
            <wp:extent cx="5943600" cy="1419225"/>
            <wp:effectExtent l="0" t="0" r="0" b="0"/>
            <wp:docPr id="10" name="Figura 10" descr="Comparación de los cuatro escenarios medidos en ambas vueltas, con la reducción porcentual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iempo-escenarios-comparables.png"/>
                    <pic:cNvPicPr/>
                  </pic:nvPicPr>
                  <pic:blipFill>
                    <a:blip xmlns:r="http://schemas.openxmlformats.org/officeDocument/2006/relationships" r:embed="R8d503a2ad339489a"/>
                    <a:stretch>
                      <a:fillRect/>
                    </a:stretch>
                  </pic:blipFill>
                  <pic:spPr>
                    <a:xfrm>
                      <a:off x="0" y="0"/>
                      <a:ext cx="5943600" cy="141922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Las barras grises corresponden a la vuelta 1 y las verdes a la medición final. La cifra de la derecha es la reducción porcentual de cada escenario.</w:t>
      </w:r>
    </w:p>
    <w:p>
      <w:pPr>
        <w:pStyle w:val="TableTitle"/>
        <w:keepNext/>
        <w:spacing w:before="240" w:after="0" w:line="240" w:lineRule="auto"/>
      </w:pPr>
      <w:r>
        <w:rPr>
          <w:b/>
          <w:bCs/>
          <w:i w:val="false"/>
          <w:iCs w:val="false"/>
          <w:sz w:val="22"/>
          <w:szCs w:val="22"/>
        </w:rPr>
        <w:t xml:space="preserve">Tabla 12</w:t>
      </w:r>
    </w:p>
    <w:p>
      <w:pPr>
        <w:pStyle w:val="TableTitle"/>
        <w:keepNext/>
        <w:spacing w:before="0" w:after="80" w:line="240" w:lineRule="auto"/>
      </w:pPr>
      <w:r>
        <w:rPr>
          <w:sz w:val="22"/>
          <w:szCs w:val="22"/>
        </w:rPr>
        <w:t xml:space="preserve">Escenarios que conservan medición en las dos vueltas del Prototipo 2</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400"/>
        <w:gridCol w:w="1150"/>
        <w:gridCol w:w="1200"/>
        <w:gridCol w:w="1400"/>
        <w:gridCol w:w="1100"/>
        <w:gridCol w:w="2110"/>
      </w:tblGrid>
      <w:tr>
        <w:trPr>
          <w:tblHeader/>
          <w:cantSplit/>
        </w:trPr>
        <w:tc>
          <w:tcPr>
            <w:tcW w:w="2400" w:type="dxa"/>
            <w:tcBorders>
              <w:bottom w:val="single" w:color="000000" w:sz="6" w:space="0"/>
            </w:tcBorders>
            <w:vAlign w:val="top"/>
          </w:tcPr>
          <w:p>
            <w:pPr>
              <w:pStyle w:val="TableText"/>
              <w:spacing w:before="40" w:after="40" w:line="240" w:lineRule="auto"/>
              <w:jc w:val="left"/>
            </w:pPr>
            <w:r>
              <w:rPr>
                <w:b/>
                <w:bCs/>
                <w:sz w:val="20"/>
                <w:szCs w:val="20"/>
              </w:rPr>
              <w:t xml:space="preserve">Escenario</w:t>
            </w:r>
          </w:p>
        </w:tc>
        <w:tc>
          <w:tcPr>
            <w:tcW w:w="1150" w:type="dxa"/>
            <w:tcBorders>
              <w:bottom w:val="single" w:color="000000" w:sz="6" w:space="0"/>
            </w:tcBorders>
            <w:vAlign w:val="top"/>
          </w:tcPr>
          <w:p>
            <w:pPr>
              <w:pStyle w:val="TableText"/>
              <w:spacing w:before="40" w:after="40" w:line="240" w:lineRule="auto"/>
              <w:jc w:val="right"/>
            </w:pPr>
            <w:r>
              <w:rPr>
                <w:b/>
                <w:bCs/>
                <w:sz w:val="20"/>
                <w:szCs w:val="20"/>
              </w:rPr>
              <w:t xml:space="preserve">Técnica</w:t>
            </w:r>
          </w:p>
        </w:tc>
        <w:tc>
          <w:tcPr>
            <w:tcW w:w="1200" w:type="dxa"/>
            <w:tcBorders>
              <w:bottom w:val="single" w:color="000000" w:sz="6" w:space="0"/>
            </w:tcBorders>
            <w:vAlign w:val="top"/>
          </w:tcPr>
          <w:p>
            <w:pPr>
              <w:pStyle w:val="TableText"/>
              <w:spacing w:before="40" w:after="40" w:line="240" w:lineRule="auto"/>
              <w:jc w:val="right"/>
            </w:pPr>
            <w:r>
              <w:rPr>
                <w:b/>
                <w:bCs/>
                <w:sz w:val="20"/>
                <w:szCs w:val="20"/>
              </w:rPr>
              <w:t xml:space="preserve">Vuelta 1</w:t>
            </w:r>
          </w:p>
        </w:tc>
        <w:tc>
          <w:tcPr>
            <w:tcW w:w="1400" w:type="dxa"/>
            <w:tcBorders>
              <w:bottom w:val="single" w:color="000000" w:sz="6" w:space="0"/>
            </w:tcBorders>
            <w:vAlign w:val="top"/>
          </w:tcPr>
          <w:p>
            <w:pPr>
              <w:pStyle w:val="TableText"/>
              <w:spacing w:before="40" w:after="40" w:line="240" w:lineRule="auto"/>
              <w:jc w:val="right"/>
            </w:pPr>
            <w:r>
              <w:rPr>
                <w:b/>
                <w:bCs/>
                <w:sz w:val="20"/>
                <w:szCs w:val="20"/>
              </w:rPr>
              <w:t xml:space="preserve">Medición final</w:t>
            </w:r>
          </w:p>
        </w:tc>
        <w:tc>
          <w:tcPr>
            <w:tcW w:w="1100" w:type="dxa"/>
            <w:tcBorders>
              <w:bottom w:val="single" w:color="000000" w:sz="6" w:space="0"/>
            </w:tcBorders>
            <w:vAlign w:val="top"/>
          </w:tcPr>
          <w:p>
            <w:pPr>
              <w:pStyle w:val="TableText"/>
              <w:spacing w:before="40" w:after="40" w:line="240" w:lineRule="auto"/>
              <w:jc w:val="right"/>
            </w:pPr>
            <w:r>
              <w:rPr>
                <w:b/>
                <w:bCs/>
                <w:sz w:val="20"/>
                <w:szCs w:val="20"/>
              </w:rPr>
              <w:t xml:space="preserve">Reducción</w:t>
            </w:r>
          </w:p>
        </w:tc>
        <w:tc>
          <w:tcPr>
            <w:tcW w:w="2110" w:type="dxa"/>
            <w:tcBorders>
              <w:bottom w:val="single" w:color="000000" w:sz="6" w:space="0"/>
            </w:tcBorders>
            <w:vAlign w:val="top"/>
          </w:tcPr>
          <w:p>
            <w:pPr>
              <w:pStyle w:val="TableText"/>
              <w:spacing w:before="40" w:after="40" w:line="240" w:lineRule="auto"/>
              <w:jc w:val="left"/>
            </w:pPr>
            <w:r>
              <w:rPr>
                <w:b/>
                <w:bCs/>
                <w:sz w:val="20"/>
                <w:szCs w:val="20"/>
              </w:rPr>
              <w:t xml:space="preserve">Origen del dato</w:t>
            </w:r>
          </w:p>
        </w:tc>
      </w:tr>
      <w:tr>
        <w:trPr>
          <w:cantSplit/>
        </w:trPr>
        <w:tc>
          <w:tcPr>
            <w:tcW w:w="2400" w:type="dxa"/>
            <w:vAlign w:val="top"/>
          </w:tcPr>
          <w:p>
            <w:pPr>
              <w:pStyle w:val="TableText"/>
              <w:spacing w:before="40" w:after="40" w:line="240" w:lineRule="auto"/>
              <w:jc w:val="left"/>
            </w:pPr>
            <w:r>
              <w:rPr>
                <w:sz w:val="20"/>
                <w:szCs w:val="20"/>
              </w:rPr>
              <w:t xml:space="preserve">S01 · Reconocimiento activo</w:t>
            </w:r>
          </w:p>
        </w:tc>
        <w:tc>
          <w:tcPr>
            <w:tcW w:w="1150" w:type="dxa"/>
            <w:vAlign w:val="top"/>
          </w:tcPr>
          <w:p>
            <w:pPr>
              <w:pStyle w:val="TableText"/>
              <w:spacing w:before="40" w:after="40" w:line="240" w:lineRule="auto"/>
              <w:jc w:val="right"/>
            </w:pPr>
            <w:r>
              <w:rPr>
                <w:sz w:val="20"/>
                <w:szCs w:val="20"/>
              </w:rPr>
              <w:t xml:space="preserve">T1595</w:t>
            </w:r>
          </w:p>
        </w:tc>
        <w:tc>
          <w:tcPr>
            <w:tcW w:w="1200" w:type="dxa"/>
            <w:vAlign w:val="top"/>
          </w:tcPr>
          <w:p>
            <w:pPr>
              <w:pStyle w:val="TableText"/>
              <w:spacing w:before="40" w:after="40" w:line="240" w:lineRule="auto"/>
              <w:jc w:val="right"/>
            </w:pPr>
            <w:r>
              <w:rPr>
                <w:sz w:val="20"/>
                <w:szCs w:val="20"/>
              </w:rPr>
              <w:t xml:space="preserve">16,851 s</w:t>
            </w:r>
          </w:p>
        </w:tc>
        <w:tc>
          <w:tcPr>
            <w:tcW w:w="1400" w:type="dxa"/>
            <w:vAlign w:val="top"/>
          </w:tcPr>
          <w:p>
            <w:pPr>
              <w:pStyle w:val="TableText"/>
              <w:spacing w:before="40" w:after="40" w:line="240" w:lineRule="auto"/>
              <w:jc w:val="right"/>
            </w:pPr>
            <w:r>
              <w:rPr>
                <w:sz w:val="20"/>
                <w:szCs w:val="20"/>
              </w:rPr>
              <w:t xml:space="preserve">15,910 s</w:t>
            </w:r>
          </w:p>
        </w:tc>
        <w:tc>
          <w:tcPr>
            <w:tcW w:w="1100" w:type="dxa"/>
            <w:vAlign w:val="top"/>
          </w:tcPr>
          <w:p>
            <w:pPr>
              <w:pStyle w:val="TableText"/>
              <w:spacing w:before="40" w:after="40" w:line="240" w:lineRule="auto"/>
              <w:jc w:val="right"/>
            </w:pPr>
            <w:r>
              <w:rPr>
                <w:sz w:val="20"/>
                <w:szCs w:val="20"/>
              </w:rPr>
              <w:t xml:space="preserve">5,6 %</w:t>
            </w:r>
          </w:p>
        </w:tc>
        <w:tc>
          <w:tcPr>
            <w:tcW w:w="2110" w:type="dxa"/>
            <w:vAlign w:val="top"/>
          </w:tcPr>
          <w:p>
            <w:pPr>
              <w:pStyle w:val="TableText"/>
              <w:spacing w:before="40" w:after="40" w:line="240" w:lineRule="auto"/>
              <w:jc w:val="left"/>
            </w:pPr>
            <w:r>
              <w:rPr>
                <w:sz w:val="20"/>
                <w:szCs w:val="20"/>
              </w:rPr>
              <w:t xml:space="preserve">Interfaz de servicios del atacante</w:t>
            </w:r>
          </w:p>
        </w:tc>
      </w:tr>
      <w:tr>
        <w:trPr>
          <w:cantSplit/>
        </w:trPr>
        <w:tc>
          <w:tcPr>
            <w:tcW w:w="2400" w:type="dxa"/>
            <w:vAlign w:val="top"/>
          </w:tcPr>
          <w:p>
            <w:pPr>
              <w:pStyle w:val="TableText"/>
              <w:spacing w:before="40" w:after="40" w:line="240" w:lineRule="auto"/>
              <w:jc w:val="left"/>
            </w:pPr>
            <w:r>
              <w:rPr>
                <w:sz w:val="20"/>
                <w:szCs w:val="20"/>
              </w:rPr>
              <w:t xml:space="preserve">S02 · Escaneo web</w:t>
            </w:r>
          </w:p>
        </w:tc>
        <w:tc>
          <w:tcPr>
            <w:tcW w:w="1150" w:type="dxa"/>
            <w:vAlign w:val="top"/>
          </w:tcPr>
          <w:p>
            <w:pPr>
              <w:pStyle w:val="TableText"/>
              <w:spacing w:before="40" w:after="40" w:line="240" w:lineRule="auto"/>
              <w:jc w:val="right"/>
            </w:pPr>
            <w:r>
              <w:rPr>
                <w:sz w:val="20"/>
                <w:szCs w:val="20"/>
              </w:rPr>
              <w:t xml:space="preserve">T1595.002</w:t>
            </w:r>
          </w:p>
        </w:tc>
        <w:tc>
          <w:tcPr>
            <w:tcW w:w="1200" w:type="dxa"/>
            <w:vAlign w:val="top"/>
          </w:tcPr>
          <w:p>
            <w:pPr>
              <w:pStyle w:val="TableText"/>
              <w:spacing w:before="40" w:after="40" w:line="240" w:lineRule="auto"/>
              <w:jc w:val="right"/>
            </w:pPr>
            <w:r>
              <w:rPr>
                <w:sz w:val="20"/>
                <w:szCs w:val="20"/>
              </w:rPr>
              <w:t xml:space="preserve">1,214 s</w:t>
            </w:r>
          </w:p>
        </w:tc>
        <w:tc>
          <w:tcPr>
            <w:tcW w:w="1400" w:type="dxa"/>
            <w:vAlign w:val="top"/>
          </w:tcPr>
          <w:p>
            <w:pPr>
              <w:pStyle w:val="TableText"/>
              <w:spacing w:before="40" w:after="40" w:line="240" w:lineRule="auto"/>
              <w:jc w:val="right"/>
            </w:pPr>
            <w:r>
              <w:rPr>
                <w:sz w:val="20"/>
                <w:szCs w:val="20"/>
              </w:rPr>
              <w:t xml:space="preserve">1,095 s</w:t>
            </w:r>
          </w:p>
        </w:tc>
        <w:tc>
          <w:tcPr>
            <w:tcW w:w="1100" w:type="dxa"/>
            <w:vAlign w:val="top"/>
          </w:tcPr>
          <w:p>
            <w:pPr>
              <w:pStyle w:val="TableText"/>
              <w:spacing w:before="40" w:after="40" w:line="240" w:lineRule="auto"/>
              <w:jc w:val="right"/>
            </w:pPr>
            <w:r>
              <w:rPr>
                <w:sz w:val="20"/>
                <w:szCs w:val="20"/>
              </w:rPr>
              <w:t xml:space="preserve">9,8 %</w:t>
            </w:r>
          </w:p>
        </w:tc>
        <w:tc>
          <w:tcPr>
            <w:tcW w:w="2110" w:type="dxa"/>
            <w:vAlign w:val="top"/>
          </w:tcPr>
          <w:p>
            <w:pPr>
              <w:pStyle w:val="TableText"/>
              <w:spacing w:before="40" w:after="40" w:line="240" w:lineRule="auto"/>
              <w:jc w:val="left"/>
            </w:pPr>
            <w:r>
              <w:rPr>
                <w:sz w:val="20"/>
                <w:szCs w:val="20"/>
              </w:rPr>
              <w:t xml:space="preserve">Portal del señuelo</w:t>
            </w:r>
          </w:p>
        </w:tc>
      </w:tr>
      <w:tr>
        <w:trPr>
          <w:cantSplit/>
        </w:trPr>
        <w:tc>
          <w:tcPr>
            <w:tcW w:w="2400" w:type="dxa"/>
            <w:vAlign w:val="top"/>
          </w:tcPr>
          <w:p>
            <w:pPr>
              <w:pStyle w:val="TableText"/>
              <w:spacing w:before="40" w:after="40" w:line="240" w:lineRule="auto"/>
              <w:jc w:val="left"/>
            </w:pPr>
            <w:r>
              <w:rPr>
                <w:sz w:val="20"/>
                <w:szCs w:val="20"/>
              </w:rPr>
              <w:t xml:space="preserve">S05 · Suplantación de credenciales</w:t>
            </w:r>
          </w:p>
        </w:tc>
        <w:tc>
          <w:tcPr>
            <w:tcW w:w="1150" w:type="dxa"/>
            <w:vAlign w:val="top"/>
          </w:tcPr>
          <w:p>
            <w:pPr>
              <w:pStyle w:val="TableText"/>
              <w:spacing w:before="40" w:after="40" w:line="240" w:lineRule="auto"/>
              <w:jc w:val="right"/>
            </w:pPr>
            <w:r>
              <w:rPr>
                <w:sz w:val="20"/>
                <w:szCs w:val="20"/>
              </w:rPr>
              <w:t xml:space="preserve">T1110.004</w:t>
            </w:r>
          </w:p>
        </w:tc>
        <w:tc>
          <w:tcPr>
            <w:tcW w:w="1200" w:type="dxa"/>
            <w:vAlign w:val="top"/>
          </w:tcPr>
          <w:p>
            <w:pPr>
              <w:pStyle w:val="TableText"/>
              <w:spacing w:before="40" w:after="40" w:line="240" w:lineRule="auto"/>
              <w:jc w:val="right"/>
            </w:pPr>
            <w:r>
              <w:rPr>
                <w:sz w:val="20"/>
                <w:szCs w:val="20"/>
              </w:rPr>
              <w:t xml:space="preserve">1,734 s</w:t>
            </w:r>
          </w:p>
        </w:tc>
        <w:tc>
          <w:tcPr>
            <w:tcW w:w="1400" w:type="dxa"/>
            <w:vAlign w:val="top"/>
          </w:tcPr>
          <w:p>
            <w:pPr>
              <w:pStyle w:val="TableText"/>
              <w:spacing w:before="40" w:after="40" w:line="240" w:lineRule="auto"/>
              <w:jc w:val="right"/>
            </w:pPr>
            <w:r>
              <w:rPr>
                <w:sz w:val="20"/>
                <w:szCs w:val="20"/>
              </w:rPr>
              <w:t xml:space="preserve">1,145 s</w:t>
            </w:r>
          </w:p>
        </w:tc>
        <w:tc>
          <w:tcPr>
            <w:tcW w:w="1100" w:type="dxa"/>
            <w:vAlign w:val="top"/>
          </w:tcPr>
          <w:p>
            <w:pPr>
              <w:pStyle w:val="TableText"/>
              <w:spacing w:before="40" w:after="40" w:line="240" w:lineRule="auto"/>
              <w:jc w:val="right"/>
            </w:pPr>
            <w:r>
              <w:rPr>
                <w:sz w:val="20"/>
                <w:szCs w:val="20"/>
              </w:rPr>
              <w:t xml:space="preserve">34,0 %</w:t>
            </w:r>
          </w:p>
        </w:tc>
        <w:tc>
          <w:tcPr>
            <w:tcW w:w="2110" w:type="dxa"/>
            <w:vAlign w:val="top"/>
          </w:tcPr>
          <w:p>
            <w:pPr>
              <w:pStyle w:val="TableText"/>
              <w:spacing w:before="40" w:after="40" w:line="240" w:lineRule="auto"/>
              <w:jc w:val="left"/>
            </w:pPr>
            <w:r>
              <w:rPr>
                <w:sz w:val="20"/>
                <w:szCs w:val="20"/>
              </w:rPr>
              <w:t xml:space="preserve">Interfaz de servicios del señuelo</w:t>
            </w:r>
          </w:p>
        </w:tc>
      </w:tr>
      <w:tr>
        <w:trPr>
          <w:cantSplit/>
        </w:trPr>
        <w:tc>
          <w:tcPr>
            <w:tcW w:w="2400" w:type="dxa"/>
            <w:vAlign w:val="top"/>
          </w:tcPr>
          <w:p>
            <w:pPr>
              <w:pStyle w:val="TableText"/>
              <w:spacing w:before="40" w:after="40" w:line="240" w:lineRule="auto"/>
              <w:jc w:val="left"/>
            </w:pPr>
            <w:r>
              <w:rPr>
                <w:sz w:val="20"/>
                <w:szCs w:val="20"/>
              </w:rPr>
              <w:t xml:space="preserve">S07 · Abuso de la interfaz</w:t>
            </w:r>
          </w:p>
        </w:tc>
        <w:tc>
          <w:tcPr>
            <w:tcW w:w="1150" w:type="dxa"/>
            <w:vAlign w:val="top"/>
          </w:tcPr>
          <w:p>
            <w:pPr>
              <w:pStyle w:val="TableText"/>
              <w:spacing w:before="40" w:after="40" w:line="240" w:lineRule="auto"/>
              <w:jc w:val="right"/>
            </w:pPr>
            <w:r>
              <w:rPr>
                <w:sz w:val="20"/>
                <w:szCs w:val="20"/>
              </w:rPr>
              <w:t xml:space="preserve">T1078</w:t>
            </w:r>
          </w:p>
        </w:tc>
        <w:tc>
          <w:tcPr>
            <w:tcW w:w="1200" w:type="dxa"/>
            <w:vAlign w:val="top"/>
          </w:tcPr>
          <w:p>
            <w:pPr>
              <w:pStyle w:val="TableText"/>
              <w:spacing w:before="40" w:after="40" w:line="240" w:lineRule="auto"/>
              <w:jc w:val="right"/>
            </w:pPr>
            <w:r>
              <w:rPr>
                <w:sz w:val="20"/>
                <w:szCs w:val="20"/>
              </w:rPr>
              <w:t xml:space="preserve">1,063 s</w:t>
            </w:r>
          </w:p>
        </w:tc>
        <w:tc>
          <w:tcPr>
            <w:tcW w:w="1400" w:type="dxa"/>
            <w:vAlign w:val="top"/>
          </w:tcPr>
          <w:p>
            <w:pPr>
              <w:pStyle w:val="TableText"/>
              <w:spacing w:before="40" w:after="40" w:line="240" w:lineRule="auto"/>
              <w:jc w:val="right"/>
            </w:pPr>
            <w:r>
              <w:rPr>
                <w:sz w:val="20"/>
                <w:szCs w:val="20"/>
              </w:rPr>
              <w:t xml:space="preserve">0,264 s</w:t>
            </w:r>
          </w:p>
        </w:tc>
        <w:tc>
          <w:tcPr>
            <w:tcW w:w="1100" w:type="dxa"/>
            <w:vAlign w:val="top"/>
          </w:tcPr>
          <w:p>
            <w:pPr>
              <w:pStyle w:val="TableText"/>
              <w:spacing w:before="40" w:after="40" w:line="240" w:lineRule="auto"/>
              <w:jc w:val="right"/>
            </w:pPr>
            <w:r>
              <w:rPr>
                <w:sz w:val="20"/>
                <w:szCs w:val="20"/>
              </w:rPr>
              <w:t xml:space="preserve">75,2 %</w:t>
            </w:r>
          </w:p>
        </w:tc>
        <w:tc>
          <w:tcPr>
            <w:tcW w:w="2110" w:type="dxa"/>
            <w:vAlign w:val="top"/>
          </w:tcPr>
          <w:p>
            <w:pPr>
              <w:pStyle w:val="TableText"/>
              <w:spacing w:before="40" w:after="40" w:line="240" w:lineRule="auto"/>
              <w:jc w:val="left"/>
            </w:pPr>
            <w:r>
              <w:rPr>
                <w:sz w:val="20"/>
                <w:szCs w:val="20"/>
              </w:rPr>
              <w:t xml:space="preserve">Interfaz de servicios del señuelo</w:t>
            </w:r>
          </w:p>
        </w:tc>
      </w:tr>
    </w:tbl>
    <w:p>
      <w:pPr>
        <w:pStyle w:val="TableNote"/>
        <w:spacing w:before="60" w:after="240" w:line="240" w:lineRule="auto"/>
      </w:pPr>
      <w:r>
        <w:rPr>
          <w:sz w:val="20"/>
          <w:szCs w:val="20"/>
        </w:rPr>
        <w:t xml:space="preserve">Nota. </w:t>
      </w:r>
      <w:r>
        <w:rPr>
          <w:sz w:val="20"/>
          <w:szCs w:val="20"/>
        </w:rPr>
        <w:t xml:space="preserve">La reducción se calcula sobre los valores de origen con tres decimales, no sobre los valores redondeados de la tabla. Solo cuatro escenarios conservan medición en las dos vueltas, de manera que la comparación se sostiene en el escenario y no en el promedio. Los datos proceden de los reportes de indicadores de las dos vueltas del Prototipo 2.</w:t>
      </w:r>
    </w:p>
    <w:p>
      <w:pPr>
        <w:pStyle w:val="Normal"/>
        <w:spacing w:after="0" w:line="480" w:lineRule="auto"/>
        <w:ind w:firstLine="720"/>
        <w:jc w:val="both"/>
      </w:pPr>
      <w:r>
        <w:t xml:space="preserve">La reducción más marcada corresponde al abuso de la interfaz, que pasa de 1,063 a 0,264 segundos, con una reducción del 75,2 %. El reconocimiento activo obtiene la menor reducción, con un 5,6 %, porque su primer evento tarda en llegar al señuelo a través de la red, mientras que la Tabla 13 recoge los seis escenarios que amplían la cobertura.</w:t>
      </w:r>
    </w:p>
    <w:p>
      <w:pPr>
        <w:pStyle w:val="TableTitle"/>
        <w:keepNext/>
        <w:spacing w:before="240" w:after="0" w:line="240" w:lineRule="auto"/>
      </w:pPr>
      <w:r>
        <w:rPr>
          <w:b/>
          <w:bCs/>
          <w:i w:val="false"/>
          <w:iCs w:val="false"/>
          <w:sz w:val="22"/>
          <w:szCs w:val="22"/>
        </w:rPr>
        <w:t xml:space="preserve">Tabla 13</w:t>
      </w:r>
    </w:p>
    <w:p>
      <w:pPr>
        <w:pStyle w:val="TableTitle"/>
        <w:keepNext/>
        <w:spacing w:before="0" w:after="80" w:line="240" w:lineRule="auto"/>
      </w:pPr>
      <w:r>
        <w:rPr>
          <w:sz w:val="22"/>
          <w:szCs w:val="22"/>
        </w:rPr>
        <w:t xml:space="preserve">Escenarios que amplían la cobertura de medición en la medición final del Prototipo 2</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600"/>
        <w:gridCol w:w="1200"/>
        <w:gridCol w:w="1700"/>
        <w:gridCol w:w="1400"/>
        <w:gridCol w:w="2460"/>
      </w:tblGrid>
      <w:tr>
        <w:trPr>
          <w:tblHeader/>
          <w:cantSplit/>
        </w:trPr>
        <w:tc>
          <w:tcPr>
            <w:tcW w:w="2600" w:type="dxa"/>
            <w:tcBorders>
              <w:bottom w:val="single" w:color="000000" w:sz="6" w:space="0"/>
            </w:tcBorders>
            <w:vAlign w:val="top"/>
          </w:tcPr>
          <w:p>
            <w:pPr>
              <w:pStyle w:val="TableText"/>
              <w:spacing w:before="40" w:after="40" w:line="240" w:lineRule="auto"/>
              <w:jc w:val="left"/>
            </w:pPr>
            <w:r>
              <w:rPr>
                <w:b/>
                <w:bCs/>
                <w:sz w:val="20"/>
                <w:szCs w:val="20"/>
              </w:rPr>
              <w:t xml:space="preserve">Escenario</w:t>
            </w:r>
          </w:p>
        </w:tc>
        <w:tc>
          <w:tcPr>
            <w:tcW w:w="1200" w:type="dxa"/>
            <w:tcBorders>
              <w:bottom w:val="single" w:color="000000" w:sz="6" w:space="0"/>
            </w:tcBorders>
            <w:vAlign w:val="top"/>
          </w:tcPr>
          <w:p>
            <w:pPr>
              <w:pStyle w:val="TableText"/>
              <w:spacing w:before="40" w:after="40" w:line="240" w:lineRule="auto"/>
              <w:jc w:val="right"/>
            </w:pPr>
            <w:r>
              <w:rPr>
                <w:b/>
                <w:bCs/>
                <w:sz w:val="20"/>
                <w:szCs w:val="20"/>
              </w:rPr>
              <w:t xml:space="preserve">Técnica</w:t>
            </w:r>
          </w:p>
        </w:tc>
        <w:tc>
          <w:tcPr>
            <w:tcW w:w="1700" w:type="dxa"/>
            <w:tcBorders>
              <w:bottom w:val="single" w:color="000000" w:sz="6" w:space="0"/>
            </w:tcBorders>
            <w:vAlign w:val="top"/>
          </w:tcPr>
          <w:p>
            <w:pPr>
              <w:pStyle w:val="TableText"/>
              <w:spacing w:before="40" w:after="40" w:line="240" w:lineRule="auto"/>
              <w:jc w:val="left"/>
            </w:pPr>
            <w:r>
              <w:rPr>
                <w:b/>
                <w:bCs/>
                <w:sz w:val="20"/>
                <w:szCs w:val="20"/>
              </w:rPr>
              <w:t xml:space="preserve">Vuelta 1</w:t>
            </w:r>
          </w:p>
        </w:tc>
        <w:tc>
          <w:tcPr>
            <w:tcW w:w="1400" w:type="dxa"/>
            <w:tcBorders>
              <w:bottom w:val="single" w:color="000000" w:sz="6" w:space="0"/>
            </w:tcBorders>
            <w:vAlign w:val="top"/>
          </w:tcPr>
          <w:p>
            <w:pPr>
              <w:pStyle w:val="TableText"/>
              <w:spacing w:before="40" w:after="40" w:line="240" w:lineRule="auto"/>
              <w:jc w:val="right"/>
            </w:pPr>
            <w:r>
              <w:rPr>
                <w:b/>
                <w:bCs/>
                <w:sz w:val="20"/>
                <w:szCs w:val="20"/>
              </w:rPr>
              <w:t xml:space="preserve">Medición final</w:t>
            </w:r>
          </w:p>
        </w:tc>
        <w:tc>
          <w:tcPr>
            <w:tcW w:w="2460" w:type="dxa"/>
            <w:tcBorders>
              <w:bottom w:val="single" w:color="000000" w:sz="6" w:space="0"/>
            </w:tcBorders>
            <w:vAlign w:val="top"/>
          </w:tcPr>
          <w:p>
            <w:pPr>
              <w:pStyle w:val="TableText"/>
              <w:spacing w:before="40" w:after="40" w:line="240" w:lineRule="auto"/>
              <w:jc w:val="left"/>
            </w:pPr>
            <w:r>
              <w:rPr>
                <w:b/>
                <w:bCs/>
                <w:sz w:val="20"/>
                <w:szCs w:val="20"/>
              </w:rPr>
              <w:t xml:space="preserve">Fuente que lo registra</w:t>
            </w:r>
          </w:p>
        </w:tc>
      </w:tr>
      <w:tr>
        <w:trPr>
          <w:cantSplit/>
        </w:trPr>
        <w:tc>
          <w:tcPr>
            <w:tcW w:w="2600" w:type="dxa"/>
            <w:vAlign w:val="top"/>
          </w:tcPr>
          <w:p>
            <w:pPr>
              <w:pStyle w:val="TableText"/>
              <w:spacing w:before="40" w:after="40" w:line="240" w:lineRule="auto"/>
              <w:jc w:val="left"/>
            </w:pPr>
            <w:r>
              <w:rPr>
                <w:sz w:val="20"/>
                <w:szCs w:val="20"/>
              </w:rPr>
              <w:t xml:space="preserve">S03 · Fuerza bruta por acceso remoto</w:t>
            </w:r>
          </w:p>
        </w:tc>
        <w:tc>
          <w:tcPr>
            <w:tcW w:w="1200" w:type="dxa"/>
            <w:vAlign w:val="top"/>
          </w:tcPr>
          <w:p>
            <w:pPr>
              <w:pStyle w:val="TableText"/>
              <w:spacing w:before="40" w:after="40" w:line="240" w:lineRule="auto"/>
              <w:jc w:val="right"/>
            </w:pPr>
            <w:r>
              <w:rPr>
                <w:sz w:val="20"/>
                <w:szCs w:val="20"/>
              </w:rPr>
              <w:t xml:space="preserve">T1110.001</w:t>
            </w:r>
          </w:p>
        </w:tc>
        <w:tc>
          <w:tcPr>
            <w:tcW w:w="1700" w:type="dxa"/>
            <w:vAlign w:val="top"/>
          </w:tcPr>
          <w:p>
            <w:pPr>
              <w:pStyle w:val="TableText"/>
              <w:spacing w:before="40" w:after="40" w:line="240" w:lineRule="auto"/>
              <w:jc w:val="left"/>
            </w:pPr>
            <w:r>
              <w:rPr>
                <w:sz w:val="20"/>
                <w:szCs w:val="20"/>
              </w:rPr>
              <w:t xml:space="preserve">Fuera de la referencia</w:t>
            </w:r>
          </w:p>
        </w:tc>
        <w:tc>
          <w:tcPr>
            <w:tcW w:w="1400" w:type="dxa"/>
            <w:vAlign w:val="top"/>
          </w:tcPr>
          <w:p>
            <w:pPr>
              <w:pStyle w:val="TableText"/>
              <w:spacing w:before="40" w:after="40" w:line="240" w:lineRule="auto"/>
              <w:jc w:val="right"/>
            </w:pPr>
            <w:r>
              <w:rPr>
                <w:sz w:val="20"/>
                <w:szCs w:val="20"/>
              </w:rPr>
              <w:t xml:space="preserve">0,000 s</w:t>
            </w:r>
          </w:p>
        </w:tc>
        <w:tc>
          <w:tcPr>
            <w:tcW w:w="2460" w:type="dxa"/>
            <w:vAlign w:val="top"/>
          </w:tcPr>
          <w:p>
            <w:pPr>
              <w:pStyle w:val="TableText"/>
              <w:spacing w:before="40" w:after="40" w:line="240" w:lineRule="auto"/>
              <w:jc w:val="left"/>
            </w:pPr>
            <w:r>
              <w:rPr>
                <w:sz w:val="20"/>
                <w:szCs w:val="20"/>
              </w:rPr>
              <w:t xml:space="preserve">Emulador de acceso remoto</w:t>
            </w:r>
          </w:p>
        </w:tc>
      </w:tr>
      <w:tr>
        <w:trPr>
          <w:cantSplit/>
        </w:trPr>
        <w:tc>
          <w:tcPr>
            <w:tcW w:w="2600" w:type="dxa"/>
            <w:vAlign w:val="top"/>
          </w:tcPr>
          <w:p>
            <w:pPr>
              <w:pStyle w:val="TableText"/>
              <w:spacing w:before="40" w:after="40" w:line="240" w:lineRule="auto"/>
              <w:jc w:val="left"/>
            </w:pPr>
            <w:r>
              <w:rPr>
                <w:sz w:val="20"/>
                <w:szCs w:val="20"/>
              </w:rPr>
              <w:t xml:space="preserve">S04 · Inyección de consultas</w:t>
            </w:r>
          </w:p>
        </w:tc>
        <w:tc>
          <w:tcPr>
            <w:tcW w:w="1200" w:type="dxa"/>
            <w:vAlign w:val="top"/>
          </w:tcPr>
          <w:p>
            <w:pPr>
              <w:pStyle w:val="TableText"/>
              <w:spacing w:before="40" w:after="40" w:line="240" w:lineRule="auto"/>
              <w:jc w:val="right"/>
            </w:pPr>
            <w:r>
              <w:rPr>
                <w:sz w:val="20"/>
                <w:szCs w:val="20"/>
              </w:rPr>
              <w:t xml:space="preserve">T1190</w:t>
            </w:r>
          </w:p>
        </w:tc>
        <w:tc>
          <w:tcPr>
            <w:tcW w:w="1700" w:type="dxa"/>
            <w:vAlign w:val="top"/>
          </w:tcPr>
          <w:p>
            <w:pPr>
              <w:pStyle w:val="TableText"/>
              <w:spacing w:before="40" w:after="40" w:line="240" w:lineRule="auto"/>
              <w:jc w:val="left"/>
            </w:pPr>
            <w:r>
              <w:rPr>
                <w:sz w:val="20"/>
                <w:szCs w:val="20"/>
              </w:rPr>
              <w:t xml:space="preserve">Fuera de la referencia</w:t>
            </w:r>
          </w:p>
        </w:tc>
        <w:tc>
          <w:tcPr>
            <w:tcW w:w="1400" w:type="dxa"/>
            <w:vAlign w:val="top"/>
          </w:tcPr>
          <w:p>
            <w:pPr>
              <w:pStyle w:val="TableText"/>
              <w:spacing w:before="40" w:after="40" w:line="240" w:lineRule="auto"/>
              <w:jc w:val="right"/>
            </w:pPr>
            <w:r>
              <w:rPr>
                <w:sz w:val="20"/>
                <w:szCs w:val="20"/>
              </w:rPr>
              <w:t xml:space="preserve">0,137 s</w:t>
            </w:r>
          </w:p>
        </w:tc>
        <w:tc>
          <w:tcPr>
            <w:tcW w:w="2460" w:type="dxa"/>
            <w:vAlign w:val="top"/>
          </w:tcPr>
          <w:p>
            <w:pPr>
              <w:pStyle w:val="TableText"/>
              <w:spacing w:before="40" w:after="40" w:line="240" w:lineRule="auto"/>
              <w:jc w:val="left"/>
            </w:pPr>
            <w:r>
              <w:rPr>
                <w:sz w:val="20"/>
                <w:szCs w:val="20"/>
              </w:rPr>
              <w:t xml:space="preserve">Portal del señuelo</w:t>
            </w:r>
          </w:p>
        </w:tc>
      </w:tr>
      <w:tr>
        <w:trPr>
          <w:cantSplit/>
        </w:trPr>
        <w:tc>
          <w:tcPr>
            <w:tcW w:w="2600" w:type="dxa"/>
            <w:vAlign w:val="top"/>
          </w:tcPr>
          <w:p>
            <w:pPr>
              <w:pStyle w:val="TableText"/>
              <w:spacing w:before="40" w:after="40" w:line="240" w:lineRule="auto"/>
              <w:jc w:val="left"/>
            </w:pPr>
            <w:r>
              <w:rPr>
                <w:sz w:val="20"/>
                <w:szCs w:val="20"/>
              </w:rPr>
              <w:t xml:space="preserve">S06 · Inyección en el navegador</w:t>
            </w:r>
          </w:p>
        </w:tc>
        <w:tc>
          <w:tcPr>
            <w:tcW w:w="1200" w:type="dxa"/>
            <w:vAlign w:val="top"/>
          </w:tcPr>
          <w:p>
            <w:pPr>
              <w:pStyle w:val="TableText"/>
              <w:spacing w:before="40" w:after="40" w:line="240" w:lineRule="auto"/>
              <w:jc w:val="right"/>
            </w:pPr>
            <w:r>
              <w:rPr>
                <w:sz w:val="20"/>
                <w:szCs w:val="20"/>
              </w:rPr>
              <w:t xml:space="preserve">T1059.007</w:t>
            </w:r>
          </w:p>
        </w:tc>
        <w:tc>
          <w:tcPr>
            <w:tcW w:w="1700" w:type="dxa"/>
            <w:vAlign w:val="top"/>
          </w:tcPr>
          <w:p>
            <w:pPr>
              <w:pStyle w:val="TableText"/>
              <w:spacing w:before="40" w:after="40" w:line="240" w:lineRule="auto"/>
              <w:jc w:val="left"/>
            </w:pPr>
            <w:r>
              <w:rPr>
                <w:sz w:val="20"/>
                <w:szCs w:val="20"/>
              </w:rPr>
              <w:t xml:space="preserve">Fuera de la referencia</w:t>
            </w:r>
          </w:p>
        </w:tc>
        <w:tc>
          <w:tcPr>
            <w:tcW w:w="1400" w:type="dxa"/>
            <w:vAlign w:val="top"/>
          </w:tcPr>
          <w:p>
            <w:pPr>
              <w:pStyle w:val="TableText"/>
              <w:spacing w:before="40" w:after="40" w:line="240" w:lineRule="auto"/>
              <w:jc w:val="right"/>
            </w:pPr>
            <w:r>
              <w:rPr>
                <w:sz w:val="20"/>
                <w:szCs w:val="20"/>
              </w:rPr>
              <w:t xml:space="preserve">0,460 s</w:t>
            </w:r>
          </w:p>
        </w:tc>
        <w:tc>
          <w:tcPr>
            <w:tcW w:w="2460" w:type="dxa"/>
            <w:vAlign w:val="top"/>
          </w:tcPr>
          <w:p>
            <w:pPr>
              <w:pStyle w:val="TableText"/>
              <w:spacing w:before="40" w:after="40" w:line="240" w:lineRule="auto"/>
              <w:jc w:val="left"/>
            </w:pPr>
            <w:r>
              <w:rPr>
                <w:sz w:val="20"/>
                <w:szCs w:val="20"/>
              </w:rPr>
              <w:t xml:space="preserve">Portal del señuelo</w:t>
            </w:r>
          </w:p>
        </w:tc>
      </w:tr>
      <w:tr>
        <w:trPr>
          <w:cantSplit/>
        </w:trPr>
        <w:tc>
          <w:tcPr>
            <w:tcW w:w="2600" w:type="dxa"/>
            <w:vAlign w:val="top"/>
          </w:tcPr>
          <w:p>
            <w:pPr>
              <w:pStyle w:val="TableText"/>
              <w:spacing w:before="40" w:after="40" w:line="240" w:lineRule="auto"/>
              <w:jc w:val="left"/>
            </w:pPr>
            <w:r>
              <w:rPr>
                <w:sz w:val="20"/>
                <w:szCs w:val="20"/>
              </w:rPr>
              <w:t xml:space="preserve">S08 · Depósito de archivo</w:t>
            </w:r>
          </w:p>
        </w:tc>
        <w:tc>
          <w:tcPr>
            <w:tcW w:w="1200" w:type="dxa"/>
            <w:vAlign w:val="top"/>
          </w:tcPr>
          <w:p>
            <w:pPr>
              <w:pStyle w:val="TableText"/>
              <w:spacing w:before="40" w:after="40" w:line="240" w:lineRule="auto"/>
              <w:jc w:val="right"/>
            </w:pPr>
            <w:r>
              <w:rPr>
                <w:sz w:val="20"/>
                <w:szCs w:val="20"/>
              </w:rPr>
              <w:t xml:space="preserve">T1105</w:t>
            </w:r>
          </w:p>
        </w:tc>
        <w:tc>
          <w:tcPr>
            <w:tcW w:w="1700" w:type="dxa"/>
            <w:vAlign w:val="top"/>
          </w:tcPr>
          <w:p>
            <w:pPr>
              <w:pStyle w:val="TableText"/>
              <w:spacing w:before="40" w:after="40" w:line="240" w:lineRule="auto"/>
              <w:jc w:val="left"/>
            </w:pPr>
            <w:r>
              <w:rPr>
                <w:sz w:val="20"/>
                <w:szCs w:val="20"/>
              </w:rPr>
              <w:t xml:space="preserve">Fuera de la referencia</w:t>
            </w:r>
          </w:p>
        </w:tc>
        <w:tc>
          <w:tcPr>
            <w:tcW w:w="1400" w:type="dxa"/>
            <w:vAlign w:val="top"/>
          </w:tcPr>
          <w:p>
            <w:pPr>
              <w:pStyle w:val="TableText"/>
              <w:spacing w:before="40" w:after="40" w:line="240" w:lineRule="auto"/>
              <w:jc w:val="right"/>
            </w:pPr>
            <w:r>
              <w:rPr>
                <w:sz w:val="20"/>
                <w:szCs w:val="20"/>
              </w:rPr>
              <w:t xml:space="preserve">0,562 s</w:t>
            </w:r>
          </w:p>
        </w:tc>
        <w:tc>
          <w:tcPr>
            <w:tcW w:w="2460" w:type="dxa"/>
            <w:vAlign w:val="top"/>
          </w:tcPr>
          <w:p>
            <w:pPr>
              <w:pStyle w:val="TableText"/>
              <w:spacing w:before="40" w:after="40" w:line="240" w:lineRule="auto"/>
              <w:jc w:val="left"/>
            </w:pPr>
            <w:r>
              <w:rPr>
                <w:sz w:val="20"/>
                <w:szCs w:val="20"/>
              </w:rPr>
              <w:t xml:space="preserve">Archivo señuelo</w:t>
            </w:r>
          </w:p>
        </w:tc>
      </w:tr>
      <w:tr>
        <w:trPr>
          <w:cantSplit/>
        </w:trPr>
        <w:tc>
          <w:tcPr>
            <w:tcW w:w="2600" w:type="dxa"/>
            <w:vAlign w:val="top"/>
          </w:tcPr>
          <w:p>
            <w:pPr>
              <w:pStyle w:val="TableText"/>
              <w:spacing w:before="40" w:after="40" w:line="240" w:lineRule="auto"/>
              <w:jc w:val="left"/>
            </w:pPr>
            <w:r>
              <w:rPr>
                <w:sz w:val="20"/>
                <w:szCs w:val="20"/>
              </w:rPr>
              <w:t xml:space="preserve">S09 · Conexión inversa</w:t>
            </w:r>
          </w:p>
        </w:tc>
        <w:tc>
          <w:tcPr>
            <w:tcW w:w="1200" w:type="dxa"/>
            <w:vAlign w:val="top"/>
          </w:tcPr>
          <w:p>
            <w:pPr>
              <w:pStyle w:val="TableText"/>
              <w:spacing w:before="40" w:after="40" w:line="240" w:lineRule="auto"/>
              <w:jc w:val="right"/>
            </w:pPr>
            <w:r>
              <w:rPr>
                <w:sz w:val="20"/>
                <w:szCs w:val="20"/>
              </w:rPr>
              <w:t xml:space="preserve">T1059.004</w:t>
            </w:r>
          </w:p>
        </w:tc>
        <w:tc>
          <w:tcPr>
            <w:tcW w:w="1700" w:type="dxa"/>
            <w:vAlign w:val="top"/>
          </w:tcPr>
          <w:p>
            <w:pPr>
              <w:pStyle w:val="TableText"/>
              <w:spacing w:before="40" w:after="40" w:line="240" w:lineRule="auto"/>
              <w:jc w:val="left"/>
            </w:pPr>
            <w:r>
              <w:rPr>
                <w:sz w:val="20"/>
                <w:szCs w:val="20"/>
              </w:rPr>
              <w:t xml:space="preserve">Fuera de la referencia</w:t>
            </w:r>
          </w:p>
        </w:tc>
        <w:tc>
          <w:tcPr>
            <w:tcW w:w="1400" w:type="dxa"/>
            <w:vAlign w:val="top"/>
          </w:tcPr>
          <w:p>
            <w:pPr>
              <w:pStyle w:val="TableText"/>
              <w:spacing w:before="40" w:after="40" w:line="240" w:lineRule="auto"/>
              <w:jc w:val="right"/>
            </w:pPr>
            <w:r>
              <w:rPr>
                <w:sz w:val="20"/>
                <w:szCs w:val="20"/>
              </w:rPr>
              <w:t xml:space="preserve">0,000 s</w:t>
            </w:r>
          </w:p>
        </w:tc>
        <w:tc>
          <w:tcPr>
            <w:tcW w:w="2460" w:type="dxa"/>
            <w:vAlign w:val="top"/>
          </w:tcPr>
          <w:p>
            <w:pPr>
              <w:pStyle w:val="TableText"/>
              <w:spacing w:before="40" w:after="40" w:line="240" w:lineRule="auto"/>
              <w:jc w:val="left"/>
            </w:pPr>
            <w:r>
              <w:rPr>
                <w:sz w:val="20"/>
                <w:szCs w:val="20"/>
              </w:rPr>
              <w:t xml:space="preserve">Emulador de acceso remoto</w:t>
            </w:r>
          </w:p>
        </w:tc>
      </w:tr>
      <w:tr>
        <w:trPr>
          <w:cantSplit/>
        </w:trPr>
        <w:tc>
          <w:tcPr>
            <w:tcW w:w="2600" w:type="dxa"/>
            <w:vAlign w:val="top"/>
          </w:tcPr>
          <w:p>
            <w:pPr>
              <w:pStyle w:val="TableText"/>
              <w:spacing w:before="40" w:after="40" w:line="240" w:lineRule="auto"/>
              <w:jc w:val="left"/>
            </w:pPr>
            <w:r>
              <w:rPr>
                <w:sz w:val="20"/>
                <w:szCs w:val="20"/>
              </w:rPr>
              <w:t xml:space="preserve">S10 · Exfiltración por nombres de dominio</w:t>
            </w:r>
          </w:p>
        </w:tc>
        <w:tc>
          <w:tcPr>
            <w:tcW w:w="1200" w:type="dxa"/>
            <w:vAlign w:val="top"/>
          </w:tcPr>
          <w:p>
            <w:pPr>
              <w:pStyle w:val="TableText"/>
              <w:spacing w:before="40" w:after="40" w:line="240" w:lineRule="auto"/>
              <w:jc w:val="right"/>
            </w:pPr>
            <w:r>
              <w:rPr>
                <w:sz w:val="20"/>
                <w:szCs w:val="20"/>
              </w:rPr>
              <w:t xml:space="preserve">T1048.003</w:t>
            </w:r>
          </w:p>
        </w:tc>
        <w:tc>
          <w:tcPr>
            <w:tcW w:w="1700" w:type="dxa"/>
            <w:vAlign w:val="top"/>
          </w:tcPr>
          <w:p>
            <w:pPr>
              <w:pStyle w:val="TableText"/>
              <w:spacing w:before="40" w:after="40" w:line="240" w:lineRule="auto"/>
              <w:jc w:val="left"/>
            </w:pPr>
            <w:r>
              <w:rPr>
                <w:sz w:val="20"/>
                <w:szCs w:val="20"/>
              </w:rPr>
              <w:t xml:space="preserve">Fuera de la referencia</w:t>
            </w:r>
          </w:p>
        </w:tc>
        <w:tc>
          <w:tcPr>
            <w:tcW w:w="1400" w:type="dxa"/>
            <w:vAlign w:val="top"/>
          </w:tcPr>
          <w:p>
            <w:pPr>
              <w:pStyle w:val="TableText"/>
              <w:spacing w:before="40" w:after="40" w:line="240" w:lineRule="auto"/>
              <w:jc w:val="right"/>
            </w:pPr>
            <w:r>
              <w:rPr>
                <w:sz w:val="20"/>
                <w:szCs w:val="20"/>
              </w:rPr>
              <w:t xml:space="preserve">0,646 s</w:t>
            </w:r>
          </w:p>
        </w:tc>
        <w:tc>
          <w:tcPr>
            <w:tcW w:w="2460" w:type="dxa"/>
            <w:vAlign w:val="top"/>
          </w:tcPr>
          <w:p>
            <w:pPr>
              <w:pStyle w:val="TableText"/>
              <w:spacing w:before="40" w:after="40" w:line="240" w:lineRule="auto"/>
              <w:jc w:val="left"/>
            </w:pPr>
            <w:r>
              <w:rPr>
                <w:sz w:val="20"/>
                <w:szCs w:val="20"/>
              </w:rPr>
              <w:t xml:space="preserve">Sensor de red</w:t>
            </w:r>
          </w:p>
        </w:tc>
      </w:tr>
    </w:tbl>
    <w:p>
      <w:pPr>
        <w:pStyle w:val="TableNote"/>
        <w:spacing w:before="60" w:after="240" w:line="240" w:lineRule="auto"/>
      </w:pPr>
      <w:r>
        <w:rPr>
          <w:sz w:val="20"/>
          <w:szCs w:val="20"/>
        </w:rPr>
        <w:t xml:space="preserve">Nota. </w:t>
      </w:r>
      <w:r>
        <w:rPr>
          <w:sz w:val="20"/>
          <w:szCs w:val="20"/>
        </w:rPr>
        <w:t xml:space="preserve">Los seis escenarios que amplían la cobertura no tienen valor de referencia en la vuelta 1, de manera que la tabla no les asigna ese dato. Los valores de 0,000 segundos corresponden a detecciones registradas en el mismo segundo del arranque del escenario.</w:t>
      </w:r>
    </w:p>
    <w:p>
      <w:pPr>
        <w:pStyle w:val="Normal"/>
        <w:spacing w:after="0" w:line="480" w:lineRule="auto"/>
        <w:ind w:firstLine="720"/>
        <w:jc w:val="both"/>
      </w:pPr>
      <w:r>
        <w:t xml:space="preserve">El señuelo captura los diez escenarios en las dos vueltas, de manera que lo que se amplía es la cobertura de la medición y no la captura de la actividad del atacante. Los dos valores de 0,000 segundos delatan que la cadena de registro opera desde el inicio de la campaña, de manera que la cobertura final no depende de una activación tardía de los sensores.</w:t>
      </w:r>
    </w:p>
    <w:p>
      <w:pPr>
        <w:pStyle w:val="Heading1"/>
        <w:keepNext/>
        <w:spacing w:before="360" w:after="120" w:line="240" w:lineRule="auto"/>
        <w:jc w:val="left"/>
        <w:outlineLvl w:val="0"/>
      </w:pPr>
      <w:r>
        <w:rPr>
          <w:b/>
          <w:bCs/>
        </w:rPr>
        <w:t xml:space="preserve">8. Distribución del tiempo de detección en la medición final</w:t>
      </w:r>
    </w:p>
    <w:p>
      <w:pPr>
        <w:pStyle w:val="Normal"/>
        <w:spacing w:after="0" w:line="480" w:lineRule="auto"/>
        <w:ind w:firstLine="720"/>
        <w:jc w:val="both"/>
      </w:pPr>
      <w:r>
        <w:t xml:space="preserve">La distribución del tiempo de detección describe el conjunto de los diez escenarios del segundo laboratorio, de manera que la lectura del comportamiento global no dependa de un caso aislado. La Tabla 14 agrupa los escenarios por tramo de tiempo y la Figura 11 presenta esa misma agrupación en forma de gráfico.</w:t>
      </w:r>
    </w:p>
    <w:p>
      <w:pPr>
        <w:pStyle w:val="FigureCaption"/>
        <w:keepNext/>
        <w:spacing w:before="240" w:after="0" w:line="240" w:lineRule="auto"/>
      </w:pPr>
      <w:r>
        <w:rPr>
          <w:b/>
          <w:bCs/>
          <w:i w:val="false"/>
          <w:iCs w:val="false"/>
          <w:sz w:val="22"/>
          <w:szCs w:val="22"/>
        </w:rPr>
        <w:t xml:space="preserve">Figura 11</w:t>
      </w:r>
    </w:p>
    <w:p>
      <w:pPr>
        <w:pStyle w:val="FigureCaption"/>
        <w:keepNext/>
        <w:spacing w:before="0" w:after="120" w:line="240" w:lineRule="auto"/>
      </w:pPr>
      <w:r>
        <w:rPr>
          <w:sz w:val="22"/>
          <w:szCs w:val="22"/>
        </w:rPr>
        <w:t xml:space="preserve">Distribución del tiempo de detección de los diez escenarios de la medición final</w:t>
      </w:r>
    </w:p>
    <w:p>
      <w:pPr>
        <w:pStyle w:val="FigureImage"/>
        <w:spacing w:before="120" w:after="60" w:line="240" w:lineRule="auto"/>
        <w:jc w:val="center"/>
      </w:pPr>
      <w:r>
        <w:drawing>
          <wp:inline xmlns:wp="http://schemas.openxmlformats.org/drawingml/2006/wordprocessingDrawing" distT="0" distB="0" distL="0" distR="0">
            <wp:extent cx="5943600" cy="1400175"/>
            <wp:effectExtent l="0" t="0" r="0" b="0"/>
            <wp:docPr id="11" name="Figura 11" descr="Histograma de los diez escenarios de la medición final agrupados por tramo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istribucion-tiempo-final.png"/>
                    <pic:cNvPicPr/>
                  </pic:nvPicPr>
                  <pic:blipFill>
                    <a:blip xmlns:r="http://schemas.openxmlformats.org/officeDocument/2006/relationships" r:embed="Rbd697d615bf34b56"/>
                    <a:stretch>
                      <a:fillRect/>
                    </a:stretch>
                  </pic:blipFill>
                  <pic:spPr>
                    <a:xfrm>
                      <a:off x="0" y="0"/>
                      <a:ext cx="5943600" cy="140017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El histograma agrupa los diez escenarios de la medición final por tramo de tiempo. Los tramos reproducen los tiempos de la tabla del apartado sobre el tiempo de detección por escenario.</w:t>
      </w:r>
    </w:p>
    <w:p>
      <w:pPr>
        <w:pStyle w:val="TableTitle"/>
        <w:keepNext/>
        <w:spacing w:before="240" w:after="0" w:line="240" w:lineRule="auto"/>
      </w:pPr>
      <w:r>
        <w:rPr>
          <w:b/>
          <w:bCs/>
          <w:i w:val="false"/>
          <w:iCs w:val="false"/>
          <w:sz w:val="22"/>
          <w:szCs w:val="22"/>
        </w:rPr>
        <w:t xml:space="preserve">Tabla 14</w:t>
      </w:r>
    </w:p>
    <w:p>
      <w:pPr>
        <w:pStyle w:val="TableTitle"/>
        <w:keepNext/>
        <w:spacing w:before="0" w:after="80" w:line="240" w:lineRule="auto"/>
      </w:pPr>
      <w:r>
        <w:rPr>
          <w:sz w:val="22"/>
          <w:szCs w:val="22"/>
        </w:rPr>
        <w:t xml:space="preserve">Distribución del tiempo de detección de los diez escenarios de la medición final</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700"/>
        <w:gridCol w:w="1300"/>
        <w:gridCol w:w="5360"/>
      </w:tblGrid>
      <w:tr>
        <w:trPr>
          <w:tblHeader/>
          <w:cantSplit/>
        </w:trPr>
        <w:tc>
          <w:tcPr>
            <w:tcW w:w="2700" w:type="dxa"/>
            <w:tcBorders>
              <w:bottom w:val="single" w:color="000000" w:sz="6" w:space="0"/>
            </w:tcBorders>
            <w:vAlign w:val="top"/>
          </w:tcPr>
          <w:p>
            <w:pPr>
              <w:pStyle w:val="TableText"/>
              <w:spacing w:before="40" w:after="40" w:line="240" w:lineRule="auto"/>
              <w:jc w:val="left"/>
            </w:pPr>
            <w:r>
              <w:rPr>
                <w:b/>
                <w:bCs/>
                <w:sz w:val="20"/>
                <w:szCs w:val="20"/>
              </w:rPr>
              <w:t xml:space="preserve">Tramo de tiempo</w:t>
            </w:r>
          </w:p>
        </w:tc>
        <w:tc>
          <w:tcPr>
            <w:tcW w:w="1300" w:type="dxa"/>
            <w:tcBorders>
              <w:bottom w:val="single" w:color="000000" w:sz="6" w:space="0"/>
            </w:tcBorders>
            <w:vAlign w:val="top"/>
          </w:tcPr>
          <w:p>
            <w:pPr>
              <w:pStyle w:val="TableText"/>
              <w:spacing w:before="40" w:after="40" w:line="240" w:lineRule="auto"/>
              <w:jc w:val="right"/>
            </w:pPr>
            <w:r>
              <w:rPr>
                <w:b/>
                <w:bCs/>
                <w:sz w:val="20"/>
                <w:szCs w:val="20"/>
              </w:rPr>
              <w:t xml:space="preserve">Escenarios</w:t>
            </w:r>
          </w:p>
        </w:tc>
        <w:tc>
          <w:tcPr>
            <w:tcW w:w="5360" w:type="dxa"/>
            <w:tcBorders>
              <w:bottom w:val="single" w:color="000000" w:sz="6" w:space="0"/>
            </w:tcBorders>
            <w:vAlign w:val="top"/>
          </w:tcPr>
          <w:p>
            <w:pPr>
              <w:pStyle w:val="TableText"/>
              <w:spacing w:before="40" w:after="40" w:line="240" w:lineRule="auto"/>
              <w:jc w:val="left"/>
            </w:pPr>
            <w:r>
              <w:rPr>
                <w:b/>
                <w:bCs/>
                <w:sz w:val="20"/>
                <w:szCs w:val="20"/>
              </w:rPr>
              <w:t xml:space="preserve">Identificación de los escenarios</w:t>
            </w:r>
          </w:p>
        </w:tc>
      </w:tr>
      <w:tr>
        <w:trPr>
          <w:cantSplit/>
        </w:trPr>
        <w:tc>
          <w:tcPr>
            <w:tcW w:w="2700" w:type="dxa"/>
            <w:vAlign w:val="top"/>
          </w:tcPr>
          <w:p>
            <w:pPr>
              <w:pStyle w:val="TableText"/>
              <w:spacing w:before="40" w:after="40" w:line="240" w:lineRule="auto"/>
              <w:jc w:val="left"/>
            </w:pPr>
            <w:r>
              <w:rPr>
                <w:sz w:val="20"/>
                <w:szCs w:val="20"/>
              </w:rPr>
              <w:t xml:space="preserve">Por debajo de 0,2 segundos</w:t>
            </w:r>
          </w:p>
        </w:tc>
        <w:tc>
          <w:tcPr>
            <w:tcW w:w="1300" w:type="dxa"/>
            <w:vAlign w:val="top"/>
          </w:tcPr>
          <w:p>
            <w:pPr>
              <w:pStyle w:val="TableText"/>
              <w:spacing w:before="40" w:after="40" w:line="240" w:lineRule="auto"/>
              <w:jc w:val="right"/>
            </w:pPr>
            <w:r>
              <w:rPr>
                <w:sz w:val="20"/>
                <w:szCs w:val="20"/>
              </w:rPr>
              <w:t xml:space="preserve">3</w:t>
            </w:r>
          </w:p>
        </w:tc>
        <w:tc>
          <w:tcPr>
            <w:tcW w:w="5360" w:type="dxa"/>
            <w:vAlign w:val="top"/>
          </w:tcPr>
          <w:p>
            <w:pPr>
              <w:pStyle w:val="TableText"/>
              <w:spacing w:before="40" w:after="40" w:line="240" w:lineRule="auto"/>
              <w:jc w:val="left"/>
            </w:pPr>
            <w:r>
              <w:rPr>
                <w:sz w:val="20"/>
                <w:szCs w:val="20"/>
              </w:rPr>
              <w:t xml:space="preserve">S03, S04, S09</w:t>
            </w:r>
          </w:p>
        </w:tc>
      </w:tr>
      <w:tr>
        <w:trPr>
          <w:cantSplit/>
        </w:trPr>
        <w:tc>
          <w:tcPr>
            <w:tcW w:w="2700" w:type="dxa"/>
            <w:vAlign w:val="top"/>
          </w:tcPr>
          <w:p>
            <w:pPr>
              <w:pStyle w:val="TableText"/>
              <w:spacing w:before="40" w:after="40" w:line="240" w:lineRule="auto"/>
              <w:jc w:val="left"/>
            </w:pPr>
            <w:r>
              <w:rPr>
                <w:sz w:val="20"/>
                <w:szCs w:val="20"/>
              </w:rPr>
              <w:t xml:space="preserve">De 0,2 a 0,5 segundos</w:t>
            </w:r>
          </w:p>
        </w:tc>
        <w:tc>
          <w:tcPr>
            <w:tcW w:w="1300" w:type="dxa"/>
            <w:vAlign w:val="top"/>
          </w:tcPr>
          <w:p>
            <w:pPr>
              <w:pStyle w:val="TableText"/>
              <w:spacing w:before="40" w:after="40" w:line="240" w:lineRule="auto"/>
              <w:jc w:val="right"/>
            </w:pPr>
            <w:r>
              <w:rPr>
                <w:sz w:val="20"/>
                <w:szCs w:val="20"/>
              </w:rPr>
              <w:t xml:space="preserve">2</w:t>
            </w:r>
          </w:p>
        </w:tc>
        <w:tc>
          <w:tcPr>
            <w:tcW w:w="5360" w:type="dxa"/>
            <w:vAlign w:val="top"/>
          </w:tcPr>
          <w:p>
            <w:pPr>
              <w:pStyle w:val="TableText"/>
              <w:spacing w:before="40" w:after="40" w:line="240" w:lineRule="auto"/>
              <w:jc w:val="left"/>
            </w:pPr>
            <w:r>
              <w:rPr>
                <w:sz w:val="20"/>
                <w:szCs w:val="20"/>
              </w:rPr>
              <w:t xml:space="preserve">S06, S07</w:t>
            </w:r>
          </w:p>
        </w:tc>
      </w:tr>
      <w:tr>
        <w:trPr>
          <w:cantSplit/>
        </w:trPr>
        <w:tc>
          <w:tcPr>
            <w:tcW w:w="2700" w:type="dxa"/>
            <w:vAlign w:val="top"/>
          </w:tcPr>
          <w:p>
            <w:pPr>
              <w:pStyle w:val="TableText"/>
              <w:spacing w:before="40" w:after="40" w:line="240" w:lineRule="auto"/>
              <w:jc w:val="left"/>
            </w:pPr>
            <w:r>
              <w:rPr>
                <w:sz w:val="20"/>
                <w:szCs w:val="20"/>
              </w:rPr>
              <w:t xml:space="preserve">De 0,5 a 1,0 segundos</w:t>
            </w:r>
          </w:p>
        </w:tc>
        <w:tc>
          <w:tcPr>
            <w:tcW w:w="1300" w:type="dxa"/>
            <w:vAlign w:val="top"/>
          </w:tcPr>
          <w:p>
            <w:pPr>
              <w:pStyle w:val="TableText"/>
              <w:spacing w:before="40" w:after="40" w:line="240" w:lineRule="auto"/>
              <w:jc w:val="right"/>
            </w:pPr>
            <w:r>
              <w:rPr>
                <w:sz w:val="20"/>
                <w:szCs w:val="20"/>
              </w:rPr>
              <w:t xml:space="preserve">2</w:t>
            </w:r>
          </w:p>
        </w:tc>
        <w:tc>
          <w:tcPr>
            <w:tcW w:w="5360" w:type="dxa"/>
            <w:vAlign w:val="top"/>
          </w:tcPr>
          <w:p>
            <w:pPr>
              <w:pStyle w:val="TableText"/>
              <w:spacing w:before="40" w:after="40" w:line="240" w:lineRule="auto"/>
              <w:jc w:val="left"/>
            </w:pPr>
            <w:r>
              <w:rPr>
                <w:sz w:val="20"/>
                <w:szCs w:val="20"/>
              </w:rPr>
              <w:t xml:space="preserve">S08, S10</w:t>
            </w:r>
          </w:p>
        </w:tc>
      </w:tr>
      <w:tr>
        <w:trPr>
          <w:cantSplit/>
        </w:trPr>
        <w:tc>
          <w:tcPr>
            <w:tcW w:w="2700" w:type="dxa"/>
            <w:vAlign w:val="top"/>
          </w:tcPr>
          <w:p>
            <w:pPr>
              <w:pStyle w:val="TableText"/>
              <w:spacing w:before="40" w:after="40" w:line="240" w:lineRule="auto"/>
              <w:jc w:val="left"/>
            </w:pPr>
            <w:r>
              <w:rPr>
                <w:sz w:val="20"/>
                <w:szCs w:val="20"/>
              </w:rPr>
              <w:t xml:space="preserve">De 1,0 a 2,0 segundos</w:t>
            </w:r>
          </w:p>
        </w:tc>
        <w:tc>
          <w:tcPr>
            <w:tcW w:w="1300" w:type="dxa"/>
            <w:vAlign w:val="top"/>
          </w:tcPr>
          <w:p>
            <w:pPr>
              <w:pStyle w:val="TableText"/>
              <w:spacing w:before="40" w:after="40" w:line="240" w:lineRule="auto"/>
              <w:jc w:val="right"/>
            </w:pPr>
            <w:r>
              <w:rPr>
                <w:sz w:val="20"/>
                <w:szCs w:val="20"/>
              </w:rPr>
              <w:t xml:space="preserve">2</w:t>
            </w:r>
          </w:p>
        </w:tc>
        <w:tc>
          <w:tcPr>
            <w:tcW w:w="5360" w:type="dxa"/>
            <w:vAlign w:val="top"/>
          </w:tcPr>
          <w:p>
            <w:pPr>
              <w:pStyle w:val="TableText"/>
              <w:spacing w:before="40" w:after="40" w:line="240" w:lineRule="auto"/>
              <w:jc w:val="left"/>
            </w:pPr>
            <w:r>
              <w:rPr>
                <w:sz w:val="20"/>
                <w:szCs w:val="20"/>
              </w:rPr>
              <w:t xml:space="preserve">S02, S05</w:t>
            </w:r>
          </w:p>
        </w:tc>
      </w:tr>
      <w:tr>
        <w:trPr>
          <w:cantSplit/>
        </w:trPr>
        <w:tc>
          <w:tcPr>
            <w:tcW w:w="2700" w:type="dxa"/>
            <w:vAlign w:val="top"/>
          </w:tcPr>
          <w:p>
            <w:pPr>
              <w:pStyle w:val="TableText"/>
              <w:spacing w:before="40" w:after="40" w:line="240" w:lineRule="auto"/>
              <w:jc w:val="left"/>
            </w:pPr>
            <w:r>
              <w:rPr>
                <w:sz w:val="20"/>
                <w:szCs w:val="20"/>
              </w:rPr>
              <w:t xml:space="preserve">Más de 2,0 segundos</w:t>
            </w:r>
          </w:p>
        </w:tc>
        <w:tc>
          <w:tcPr>
            <w:tcW w:w="1300" w:type="dxa"/>
            <w:vAlign w:val="top"/>
          </w:tcPr>
          <w:p>
            <w:pPr>
              <w:pStyle w:val="TableText"/>
              <w:spacing w:before="40" w:after="40" w:line="240" w:lineRule="auto"/>
              <w:jc w:val="right"/>
            </w:pPr>
            <w:r>
              <w:rPr>
                <w:sz w:val="20"/>
                <w:szCs w:val="20"/>
              </w:rPr>
              <w:t xml:space="preserve">1</w:t>
            </w:r>
          </w:p>
        </w:tc>
        <w:tc>
          <w:tcPr>
            <w:tcW w:w="5360" w:type="dxa"/>
            <w:vAlign w:val="top"/>
          </w:tcPr>
          <w:p>
            <w:pPr>
              <w:pStyle w:val="TableText"/>
              <w:spacing w:before="40" w:after="40" w:line="240" w:lineRule="auto"/>
              <w:jc w:val="left"/>
            </w:pPr>
            <w:r>
              <w:rPr>
                <w:sz w:val="20"/>
                <w:szCs w:val="20"/>
              </w:rPr>
              <w:t xml:space="preserve">S01</w:t>
            </w:r>
          </w:p>
        </w:tc>
      </w:tr>
      <w:tr>
        <w:trPr>
          <w:cantSplit/>
        </w:trPr>
        <w:tc>
          <w:tcPr>
            <w:tcW w:w="2700" w:type="dxa"/>
            <w:vAlign w:val="top"/>
          </w:tcPr>
          <w:p>
            <w:pPr>
              <w:pStyle w:val="TableText"/>
              <w:spacing w:before="40" w:after="40" w:line="240" w:lineRule="auto"/>
              <w:jc w:val="left"/>
            </w:pPr>
            <w:r>
              <w:rPr>
                <w:sz w:val="20"/>
                <w:szCs w:val="20"/>
              </w:rPr>
              <w:t xml:space="preserve">Total de escenarios medidos</w:t>
            </w:r>
          </w:p>
        </w:tc>
        <w:tc>
          <w:tcPr>
            <w:tcW w:w="1300" w:type="dxa"/>
            <w:vAlign w:val="top"/>
          </w:tcPr>
          <w:p>
            <w:pPr>
              <w:pStyle w:val="TableText"/>
              <w:spacing w:before="40" w:after="40" w:line="240" w:lineRule="auto"/>
              <w:jc w:val="right"/>
            </w:pPr>
            <w:r>
              <w:rPr>
                <w:sz w:val="20"/>
                <w:szCs w:val="20"/>
              </w:rPr>
              <w:t xml:space="preserve">10</w:t>
            </w:r>
          </w:p>
        </w:tc>
        <w:tc>
          <w:tcPr>
            <w:tcW w:w="5360" w:type="dxa"/>
            <w:vAlign w:val="top"/>
          </w:tcPr>
          <w:p>
            <w:pPr>
              <w:pStyle w:val="TableText"/>
              <w:spacing w:before="40" w:after="40" w:line="240" w:lineRule="auto"/>
              <w:jc w:val="left"/>
            </w:pPr>
            <w:r>
              <w:rPr>
                <w:sz w:val="20"/>
                <w:szCs w:val="20"/>
              </w:rPr>
              <w:t xml:space="preserve">S01 a S10</w:t>
            </w:r>
          </w:p>
        </w:tc>
      </w:tr>
    </w:tbl>
    <w:p>
      <w:pPr>
        <w:pStyle w:val="TableNote"/>
        <w:spacing w:before="60" w:after="240" w:line="240" w:lineRule="auto"/>
      </w:pPr>
      <w:r>
        <w:rPr>
          <w:sz w:val="20"/>
          <w:szCs w:val="20"/>
        </w:rPr>
        <w:t xml:space="preserve">Nota. </w:t>
      </w:r>
      <w:r>
        <w:rPr>
          <w:sz w:val="20"/>
          <w:szCs w:val="20"/>
        </w:rPr>
        <w:t xml:space="preserve">Los tramos reproducen los diez tiempos de la medición final que declara el reporte de indicadores. El percentil 95 de esa medición es 9,266 segundos. Los datos proceden del reporte de indicadores de la medición final del Prototipo 2.</w:t>
      </w:r>
    </w:p>
    <w:p>
      <w:pPr>
        <w:pStyle w:val="Normal"/>
        <w:spacing w:after="0" w:line="480" w:lineRule="auto"/>
        <w:ind w:firstLine="720"/>
        <w:jc w:val="both"/>
      </w:pPr>
      <w:r>
        <w:t xml:space="preserve">Siete de los diez escenarios se detectan por debajo de un segundo, de manera que la cadena resuelve la mayor parte de la campaña en el rango inferior al segundo. Los dos escenarios más lentos son el reconocimiento activo con 15,910 segundos y la suplantación de credenciales con 1,145 segundos. El reconocimiento activo tarda más porque el primer evento del atacante llega al señuelo a través de la red.</w:t>
      </w:r>
    </w:p>
    <w:p>
      <w:pPr>
        <w:pStyle w:val="Heading1"/>
        <w:keepNext/>
        <w:spacing w:before="360" w:after="120" w:line="240" w:lineRule="auto"/>
        <w:jc w:val="left"/>
        <w:outlineLvl w:val="0"/>
      </w:pPr>
      <w:r>
        <w:rPr>
          <w:b/>
          <w:bCs/>
        </w:rPr>
        <w:t xml:space="preserve">9. Ciclo de iteraciones del segundo laboratorio</w:t>
      </w:r>
    </w:p>
    <w:p>
      <w:pPr>
        <w:pStyle w:val="Normal"/>
        <w:spacing w:after="0" w:line="480" w:lineRule="auto"/>
        <w:ind w:firstLine="720"/>
        <w:jc w:val="both"/>
      </w:pPr>
      <w:r>
        <w:t xml:space="preserve">La metodología se aplica dos veces sobre el mismo señuelo, de manera que la segunda vuelta mide el efecto de las correcciones que la primera origina. La Figura 12 sitúa los cinco hitos del ciclo sobre una línea de tiempo, mientras que la Tabla 15 los detalla con su momento, su contenido y la evidencia que los respalda.</w:t>
      </w:r>
    </w:p>
    <w:p>
      <w:pPr>
        <w:pStyle w:val="FigureCaption"/>
        <w:keepNext/>
        <w:spacing w:before="240" w:after="0" w:line="240" w:lineRule="auto"/>
      </w:pPr>
      <w:r>
        <w:rPr>
          <w:b/>
          <w:bCs/>
          <w:i w:val="false"/>
          <w:iCs w:val="false"/>
          <w:sz w:val="22"/>
          <w:szCs w:val="22"/>
        </w:rPr>
        <w:t xml:space="preserve">Figura 12</w:t>
      </w:r>
    </w:p>
    <w:p>
      <w:pPr>
        <w:pStyle w:val="FigureCaption"/>
        <w:keepNext/>
        <w:spacing w:before="0" w:after="120" w:line="240" w:lineRule="auto"/>
      </w:pPr>
      <w:r>
        <w:rPr>
          <w:sz w:val="22"/>
          <w:szCs w:val="22"/>
        </w:rPr>
        <w:t xml:space="preserve">Ciclo de iteraciones del laboratorio del Prototipo 2</w:t>
      </w:r>
    </w:p>
    <w:p>
      <w:pPr>
        <w:pStyle w:val="FigureImage"/>
        <w:spacing w:before="120" w:after="60" w:line="240" w:lineRule="auto"/>
        <w:jc w:val="center"/>
      </w:pPr>
      <w:r>
        <w:drawing>
          <wp:inline xmlns:wp="http://schemas.openxmlformats.org/drawingml/2006/wordprocessingDrawing" distT="0" distB="0" distL="0" distR="0">
            <wp:extent cx="5943600" cy="1257300"/>
            <wp:effectExtent l="0" t="0" r="0" b="0"/>
            <wp:docPr id="12" name="Figura 12" descr="Línea de tiempo con los cinco hitos del ciclo de iteraciones del Proto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iclo-iteraciones.png"/>
                    <pic:cNvPicPr/>
                  </pic:nvPicPr>
                  <pic:blipFill>
                    <a:blip xmlns:r="http://schemas.openxmlformats.org/officeDocument/2006/relationships" r:embed="Rd7c9b90625104678"/>
                    <a:stretch>
                      <a:fillRect/>
                    </a:stretch>
                  </pic:blipFill>
                  <pic:spPr>
                    <a:xfrm>
                      <a:off x="0" y="0"/>
                      <a:ext cx="5943600" cy="125730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línea de tiempo sitúa los cinco hitos del ciclo de corrección, desde la vuelta 1 hasta la medición final.</w:t>
      </w:r>
    </w:p>
    <w:p>
      <w:pPr>
        <w:pStyle w:val="TableTitle"/>
        <w:keepNext/>
        <w:spacing w:before="240" w:after="0" w:line="240" w:lineRule="auto"/>
      </w:pPr>
      <w:r>
        <w:rPr>
          <w:b/>
          <w:bCs/>
          <w:i w:val="false"/>
          <w:iCs w:val="false"/>
          <w:sz w:val="22"/>
          <w:szCs w:val="22"/>
        </w:rPr>
        <w:t xml:space="preserve">Tabla 15</w:t>
      </w:r>
    </w:p>
    <w:p>
      <w:pPr>
        <w:pStyle w:val="TableTitle"/>
        <w:keepNext/>
        <w:spacing w:before="0" w:after="80" w:line="240" w:lineRule="auto"/>
      </w:pPr>
      <w:r>
        <w:rPr>
          <w:sz w:val="22"/>
          <w:szCs w:val="22"/>
        </w:rPr>
        <w:t xml:space="preserve">Hitos del ciclo de iteraciones del Prototipo 2</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300"/>
        <w:gridCol w:w="1800"/>
        <w:gridCol w:w="2900"/>
        <w:gridCol w:w="2360"/>
      </w:tblGrid>
      <w:tr>
        <w:trPr>
          <w:tblHeader/>
          <w:cantSplit/>
        </w:trPr>
        <w:tc>
          <w:tcPr>
            <w:tcW w:w="2300" w:type="dxa"/>
            <w:tcBorders>
              <w:bottom w:val="single" w:color="000000" w:sz="6" w:space="0"/>
            </w:tcBorders>
            <w:vAlign w:val="top"/>
          </w:tcPr>
          <w:p>
            <w:pPr>
              <w:pStyle w:val="TableText"/>
              <w:spacing w:before="40" w:after="40" w:line="240" w:lineRule="auto"/>
              <w:jc w:val="left"/>
            </w:pPr>
            <w:r>
              <w:rPr>
                <w:b/>
                <w:bCs/>
                <w:sz w:val="20"/>
                <w:szCs w:val="20"/>
              </w:rPr>
              <w:t xml:space="preserve">Hito</w:t>
            </w:r>
          </w:p>
        </w:tc>
        <w:tc>
          <w:tcPr>
            <w:tcW w:w="1800" w:type="dxa"/>
            <w:tcBorders>
              <w:bottom w:val="single" w:color="000000" w:sz="6" w:space="0"/>
            </w:tcBorders>
            <w:vAlign w:val="top"/>
          </w:tcPr>
          <w:p>
            <w:pPr>
              <w:pStyle w:val="TableText"/>
              <w:spacing w:before="40" w:after="40" w:line="240" w:lineRule="auto"/>
              <w:jc w:val="left"/>
            </w:pPr>
            <w:r>
              <w:rPr>
                <w:b/>
                <w:bCs/>
                <w:sz w:val="20"/>
                <w:szCs w:val="20"/>
              </w:rPr>
              <w:t xml:space="preserve">Momento</w:t>
            </w:r>
          </w:p>
        </w:tc>
        <w:tc>
          <w:tcPr>
            <w:tcW w:w="2900" w:type="dxa"/>
            <w:tcBorders>
              <w:bottom w:val="single" w:color="000000" w:sz="6" w:space="0"/>
            </w:tcBorders>
            <w:vAlign w:val="top"/>
          </w:tcPr>
          <w:p>
            <w:pPr>
              <w:pStyle w:val="TableText"/>
              <w:spacing w:before="40" w:after="40" w:line="240" w:lineRule="auto"/>
              <w:jc w:val="left"/>
            </w:pPr>
            <w:r>
              <w:rPr>
                <w:b/>
                <w:bCs/>
                <w:sz w:val="20"/>
                <w:szCs w:val="20"/>
              </w:rPr>
              <w:t xml:space="preserve">Qué ocurrió</w:t>
            </w:r>
          </w:p>
        </w:tc>
        <w:tc>
          <w:tcPr>
            <w:tcW w:w="2360" w:type="dxa"/>
            <w:tcBorders>
              <w:bottom w:val="single" w:color="000000" w:sz="6" w:space="0"/>
            </w:tcBorders>
            <w:vAlign w:val="top"/>
          </w:tcPr>
          <w:p>
            <w:pPr>
              <w:pStyle w:val="TableText"/>
              <w:spacing w:before="40" w:after="40" w:line="240" w:lineRule="auto"/>
              <w:jc w:val="left"/>
            </w:pPr>
            <w:r>
              <w:rPr>
                <w:b/>
                <w:bCs/>
                <w:sz w:val="20"/>
                <w:szCs w:val="20"/>
              </w:rPr>
              <w:t xml:space="preserve">Evidencia</w:t>
            </w:r>
          </w:p>
        </w:tc>
      </w:tr>
      <w:tr>
        <w:trPr>
          <w:cantSplit/>
        </w:trPr>
        <w:tc>
          <w:tcPr>
            <w:tcW w:w="2300" w:type="dxa"/>
            <w:vAlign w:val="top"/>
          </w:tcPr>
          <w:p>
            <w:pPr>
              <w:pStyle w:val="TableText"/>
              <w:spacing w:before="40" w:after="40" w:line="240" w:lineRule="auto"/>
              <w:jc w:val="left"/>
            </w:pPr>
            <w:r>
              <w:rPr>
                <w:sz w:val="20"/>
                <w:szCs w:val="20"/>
              </w:rPr>
              <w:t xml:space="preserve">Medición de la vuelta 1</w:t>
            </w:r>
          </w:p>
        </w:tc>
        <w:tc>
          <w:tcPr>
            <w:tcW w:w="1800" w:type="dxa"/>
            <w:vAlign w:val="top"/>
          </w:tcPr>
          <w:p>
            <w:pPr>
              <w:pStyle w:val="TableText"/>
              <w:spacing w:before="40" w:after="40" w:line="240" w:lineRule="auto"/>
              <w:jc w:val="left"/>
            </w:pPr>
            <w:r>
              <w:rPr>
                <w:sz w:val="20"/>
                <w:szCs w:val="20"/>
              </w:rPr>
              <w:t xml:space="preserve">4 oct 2026 · 16:07 UTC</w:t>
            </w:r>
          </w:p>
        </w:tc>
        <w:tc>
          <w:tcPr>
            <w:tcW w:w="2900" w:type="dxa"/>
            <w:vAlign w:val="top"/>
          </w:tcPr>
          <w:p>
            <w:pPr>
              <w:pStyle w:val="TableText"/>
              <w:spacing w:before="40" w:after="40" w:line="240" w:lineRule="auto"/>
              <w:jc w:val="left"/>
            </w:pPr>
            <w:r>
              <w:rPr>
                <w:sz w:val="20"/>
                <w:szCs w:val="20"/>
              </w:rPr>
              <w:t xml:space="preserve">Diez escenarios ejecutados, medición en cuatro de ellos</w:t>
            </w:r>
          </w:p>
        </w:tc>
        <w:tc>
          <w:tcPr>
            <w:tcW w:w="2360" w:type="dxa"/>
            <w:vAlign w:val="top"/>
          </w:tcPr>
          <w:p>
            <w:pPr>
              <w:pStyle w:val="TableText"/>
              <w:spacing w:before="40" w:after="40" w:line="240" w:lineRule="auto"/>
              <w:jc w:val="left"/>
            </w:pPr>
            <w:r>
              <w:rPr>
                <w:sz w:val="20"/>
                <w:szCs w:val="20"/>
              </w:rPr>
              <w:t xml:space="preserve">Reporte de indicadores de la vuelta 1</w:t>
            </w:r>
          </w:p>
        </w:tc>
      </w:tr>
      <w:tr>
        <w:trPr>
          <w:cantSplit/>
        </w:trPr>
        <w:tc>
          <w:tcPr>
            <w:tcW w:w="2300" w:type="dxa"/>
            <w:vAlign w:val="top"/>
          </w:tcPr>
          <w:p>
            <w:pPr>
              <w:pStyle w:val="TableText"/>
              <w:spacing w:before="40" w:after="40" w:line="240" w:lineRule="auto"/>
              <w:jc w:val="left"/>
            </w:pPr>
            <w:r>
              <w:rPr>
                <w:sz w:val="20"/>
                <w:szCs w:val="20"/>
              </w:rPr>
              <w:t xml:space="preserve">Cadena de alertas e indexación</w:t>
            </w:r>
          </w:p>
        </w:tc>
        <w:tc>
          <w:tcPr>
            <w:tcW w:w="1800" w:type="dxa"/>
            <w:vAlign w:val="top"/>
          </w:tcPr>
          <w:p>
            <w:pPr>
              <w:pStyle w:val="TableText"/>
              <w:spacing w:before="40" w:after="40" w:line="240" w:lineRule="auto"/>
              <w:jc w:val="left"/>
            </w:pPr>
            <w:r>
              <w:rPr>
                <w:sz w:val="20"/>
                <w:szCs w:val="20"/>
              </w:rPr>
              <w:t xml:space="preserve">4 oct 2026 · 16:08 UTC</w:t>
            </w:r>
          </w:p>
        </w:tc>
        <w:tc>
          <w:tcPr>
            <w:tcW w:w="2900" w:type="dxa"/>
            <w:vAlign w:val="top"/>
          </w:tcPr>
          <w:p>
            <w:pPr>
              <w:pStyle w:val="TableText"/>
              <w:spacing w:before="40" w:after="40" w:line="240" w:lineRule="auto"/>
              <w:jc w:val="left"/>
            </w:pPr>
            <w:r>
              <w:rPr>
                <w:sz w:val="20"/>
                <w:szCs w:val="20"/>
              </w:rPr>
              <w:t xml:space="preserve">Publicador propio operativo, tablero con datos reales</w:t>
            </w:r>
          </w:p>
        </w:tc>
        <w:tc>
          <w:tcPr>
            <w:tcW w:w="2360" w:type="dxa"/>
            <w:vAlign w:val="top"/>
          </w:tcPr>
          <w:p>
            <w:pPr>
              <w:pStyle w:val="TableText"/>
              <w:spacing w:before="40" w:after="40" w:line="240" w:lineRule="auto"/>
              <w:jc w:val="left"/>
            </w:pPr>
            <w:r>
              <w:rPr>
                <w:sz w:val="20"/>
                <w:szCs w:val="20"/>
              </w:rPr>
              <w:t xml:space="preserve">Commits 20ee788 y 2d13573</w:t>
            </w:r>
          </w:p>
        </w:tc>
      </w:tr>
      <w:tr>
        <w:trPr>
          <w:cantSplit/>
        </w:trPr>
        <w:tc>
          <w:tcPr>
            <w:tcW w:w="2300" w:type="dxa"/>
            <w:vAlign w:val="top"/>
          </w:tcPr>
          <w:p>
            <w:pPr>
              <w:pStyle w:val="TableText"/>
              <w:spacing w:before="40" w:after="40" w:line="240" w:lineRule="auto"/>
              <w:jc w:val="left"/>
            </w:pPr>
            <w:r>
              <w:rPr>
                <w:sz w:val="20"/>
                <w:szCs w:val="20"/>
              </w:rPr>
              <w:t xml:space="preserve">Reinicio de la posición de lectura</w:t>
            </w:r>
          </w:p>
        </w:tc>
        <w:tc>
          <w:tcPr>
            <w:tcW w:w="1800" w:type="dxa"/>
            <w:vAlign w:val="top"/>
          </w:tcPr>
          <w:p>
            <w:pPr>
              <w:pStyle w:val="TableText"/>
              <w:spacing w:before="40" w:after="40" w:line="240" w:lineRule="auto"/>
              <w:jc w:val="left"/>
            </w:pPr>
            <w:r>
              <w:rPr>
                <w:sz w:val="20"/>
                <w:szCs w:val="20"/>
              </w:rPr>
              <w:t xml:space="preserve">4 oct 2026 · 16:17 UTC</w:t>
            </w:r>
          </w:p>
        </w:tc>
        <w:tc>
          <w:tcPr>
            <w:tcW w:w="2900" w:type="dxa"/>
            <w:vAlign w:val="top"/>
          </w:tcPr>
          <w:p>
            <w:pPr>
              <w:pStyle w:val="TableText"/>
              <w:spacing w:before="40" w:after="40" w:line="240" w:lineRule="auto"/>
              <w:jc w:val="left"/>
            </w:pPr>
            <w:r>
              <w:rPr>
                <w:sz w:val="20"/>
                <w:szCs w:val="20"/>
              </w:rPr>
              <w:t xml:space="preserve">Motor de red estable para la lectura del tráfico</w:t>
            </w:r>
          </w:p>
        </w:tc>
        <w:tc>
          <w:tcPr>
            <w:tcW w:w="2360" w:type="dxa"/>
            <w:vAlign w:val="top"/>
          </w:tcPr>
          <w:p>
            <w:pPr>
              <w:pStyle w:val="TableText"/>
              <w:spacing w:before="40" w:after="40" w:line="240" w:lineRule="auto"/>
              <w:jc w:val="left"/>
            </w:pPr>
            <w:r>
              <w:rPr>
                <w:sz w:val="20"/>
                <w:szCs w:val="20"/>
              </w:rPr>
              <w:t xml:space="preserve">Registro de la cadena de alertas</w:t>
            </w:r>
          </w:p>
        </w:tc>
      </w:tr>
      <w:tr>
        <w:trPr>
          <w:cantSplit/>
        </w:trPr>
        <w:tc>
          <w:tcPr>
            <w:tcW w:w="2300" w:type="dxa"/>
            <w:vAlign w:val="top"/>
          </w:tcPr>
          <w:p>
            <w:pPr>
              <w:pStyle w:val="TableText"/>
              <w:spacing w:before="40" w:after="40" w:line="240" w:lineRule="auto"/>
              <w:jc w:val="left"/>
            </w:pPr>
            <w:r>
              <w:rPr>
                <w:sz w:val="20"/>
                <w:szCs w:val="20"/>
              </w:rPr>
              <w:t xml:space="preserve">Registro de lecciones cerrado</w:t>
            </w:r>
          </w:p>
        </w:tc>
        <w:tc>
          <w:tcPr>
            <w:tcW w:w="1800" w:type="dxa"/>
            <w:vAlign w:val="top"/>
          </w:tcPr>
          <w:p>
            <w:pPr>
              <w:pStyle w:val="TableText"/>
              <w:spacing w:before="40" w:after="40" w:line="240" w:lineRule="auto"/>
              <w:jc w:val="left"/>
            </w:pPr>
            <w:r>
              <w:rPr>
                <w:sz w:val="20"/>
                <w:szCs w:val="20"/>
              </w:rPr>
              <w:t xml:space="preserve">4 oct 2026 · 18:32 UTC</w:t>
            </w:r>
          </w:p>
        </w:tc>
        <w:tc>
          <w:tcPr>
            <w:tcW w:w="2900" w:type="dxa"/>
            <w:vAlign w:val="top"/>
          </w:tcPr>
          <w:p>
            <w:pPr>
              <w:pStyle w:val="TableText"/>
              <w:spacing w:before="40" w:after="40" w:line="240" w:lineRule="auto"/>
              <w:jc w:val="left"/>
            </w:pPr>
            <w:r>
              <w:rPr>
                <w:sz w:val="20"/>
                <w:szCs w:val="20"/>
              </w:rPr>
              <w:t xml:space="preserve">Catorce lecciones con hallazgo, causa raíz y mejora aplicada</w:t>
            </w:r>
          </w:p>
        </w:tc>
        <w:tc>
          <w:tcPr>
            <w:tcW w:w="2360" w:type="dxa"/>
            <w:vAlign w:val="top"/>
          </w:tcPr>
          <w:p>
            <w:pPr>
              <w:pStyle w:val="TableText"/>
              <w:spacing w:before="40" w:after="40" w:line="240" w:lineRule="auto"/>
              <w:jc w:val="left"/>
            </w:pPr>
            <w:r>
              <w:rPr>
                <w:sz w:val="20"/>
                <w:szCs w:val="20"/>
              </w:rPr>
              <w:t xml:space="preserve">Registro de lecciones aprendidas</w:t>
            </w:r>
          </w:p>
        </w:tc>
      </w:tr>
      <w:tr>
        <w:trPr>
          <w:cantSplit/>
        </w:trPr>
        <w:tc>
          <w:tcPr>
            <w:tcW w:w="2300" w:type="dxa"/>
            <w:vAlign w:val="top"/>
          </w:tcPr>
          <w:p>
            <w:pPr>
              <w:pStyle w:val="TableText"/>
              <w:spacing w:before="40" w:after="40" w:line="240" w:lineRule="auto"/>
              <w:jc w:val="left"/>
            </w:pPr>
            <w:r>
              <w:rPr>
                <w:sz w:val="20"/>
                <w:szCs w:val="20"/>
              </w:rPr>
              <w:t xml:space="preserve">Medición posterior</w:t>
            </w:r>
          </w:p>
        </w:tc>
        <w:tc>
          <w:tcPr>
            <w:tcW w:w="1800" w:type="dxa"/>
            <w:vAlign w:val="top"/>
          </w:tcPr>
          <w:p>
            <w:pPr>
              <w:pStyle w:val="TableText"/>
              <w:spacing w:before="40" w:after="40" w:line="240" w:lineRule="auto"/>
              <w:jc w:val="left"/>
            </w:pPr>
            <w:r>
              <w:rPr>
                <w:sz w:val="20"/>
                <w:szCs w:val="20"/>
              </w:rPr>
              <w:t xml:space="preserve">4 oct 2026 · 20:33 UTC</w:t>
            </w:r>
          </w:p>
        </w:tc>
        <w:tc>
          <w:tcPr>
            <w:tcW w:w="2900" w:type="dxa"/>
            <w:vAlign w:val="top"/>
          </w:tcPr>
          <w:p>
            <w:pPr>
              <w:pStyle w:val="TableText"/>
              <w:spacing w:before="40" w:after="40" w:line="240" w:lineRule="auto"/>
              <w:jc w:val="left"/>
            </w:pPr>
            <w:r>
              <w:rPr>
                <w:sz w:val="20"/>
                <w:szCs w:val="20"/>
              </w:rPr>
              <w:t xml:space="preserve">Diez escenarios ejecutados, medición en los diez</w:t>
            </w:r>
          </w:p>
        </w:tc>
        <w:tc>
          <w:tcPr>
            <w:tcW w:w="2360" w:type="dxa"/>
            <w:vAlign w:val="top"/>
          </w:tcPr>
          <w:p>
            <w:pPr>
              <w:pStyle w:val="TableText"/>
              <w:spacing w:before="40" w:after="40" w:line="240" w:lineRule="auto"/>
              <w:jc w:val="left"/>
            </w:pPr>
            <w:r>
              <w:rPr>
                <w:sz w:val="20"/>
                <w:szCs w:val="20"/>
              </w:rPr>
              <w:t xml:space="preserve">Reporte de indicadores de la vuelta 2</w:t>
            </w:r>
          </w:p>
        </w:tc>
      </w:tr>
      <w:tr>
        <w:trPr>
          <w:cantSplit/>
        </w:trPr>
        <w:tc>
          <w:tcPr>
            <w:tcW w:w="2300" w:type="dxa"/>
            <w:vAlign w:val="top"/>
          </w:tcPr>
          <w:p>
            <w:pPr>
              <w:pStyle w:val="TableText"/>
              <w:spacing w:before="40" w:after="40" w:line="240" w:lineRule="auto"/>
              <w:jc w:val="left"/>
            </w:pPr>
            <w:r>
              <w:rPr>
                <w:sz w:val="20"/>
                <w:szCs w:val="20"/>
              </w:rPr>
              <w:t xml:space="preserve">Duración total del ciclo</w:t>
            </w:r>
          </w:p>
        </w:tc>
        <w:tc>
          <w:tcPr>
            <w:tcW w:w="1800" w:type="dxa"/>
            <w:vAlign w:val="top"/>
          </w:tcPr>
          <w:p>
            <w:pPr>
              <w:pStyle w:val="TableText"/>
              <w:spacing w:before="40" w:after="40" w:line="240" w:lineRule="auto"/>
              <w:jc w:val="left"/>
            </w:pPr>
            <w:r>
              <w:rPr>
                <w:sz w:val="20"/>
                <w:szCs w:val="20"/>
              </w:rPr>
              <w:t xml:space="preserve">4 h 26 min</w:t>
            </w:r>
          </w:p>
        </w:tc>
        <w:tc>
          <w:tcPr>
            <w:tcW w:w="2900" w:type="dxa"/>
            <w:vAlign w:val="top"/>
          </w:tcPr>
          <w:p>
            <w:pPr>
              <w:pStyle w:val="TableText"/>
              <w:spacing w:before="40" w:after="40" w:line="240" w:lineRule="auto"/>
              <w:jc w:val="left"/>
            </w:pPr>
            <w:r>
              <w:rPr>
                <w:sz w:val="20"/>
                <w:szCs w:val="20"/>
              </w:rPr>
              <w:t xml:space="preserve">De la vuelta 1 a la medición final</w:t>
            </w:r>
          </w:p>
        </w:tc>
        <w:tc>
          <w:tcPr>
            <w:tcW w:w="2360" w:type="dxa"/>
            <w:vAlign w:val="top"/>
          </w:tcPr>
          <w:p>
            <w:pPr>
              <w:pStyle w:val="TableText"/>
              <w:spacing w:before="40" w:after="40" w:line="240" w:lineRule="auto"/>
              <w:jc w:val="left"/>
            </w:pPr>
            <w:r>
              <w:rPr>
                <w:sz w:val="20"/>
                <w:szCs w:val="20"/>
              </w:rPr>
              <w:t xml:space="preserve">Marcas de ambos reportes</w:t>
            </w:r>
          </w:p>
        </w:tc>
      </w:tr>
    </w:tbl>
    <w:p>
      <w:pPr>
        <w:pStyle w:val="TableNote"/>
        <w:spacing w:before="60" w:after="240" w:line="240" w:lineRule="auto"/>
      </w:pPr>
      <w:r>
        <w:rPr>
          <w:sz w:val="20"/>
          <w:szCs w:val="20"/>
        </w:rPr>
        <w:t xml:space="preserve">Nota. </w:t>
      </w:r>
      <w:r>
        <w:rPr>
          <w:sz w:val="20"/>
          <w:szCs w:val="20"/>
        </w:rPr>
        <w:t xml:space="preserve">Los momentos corresponden al tiempo universal, registrado en las marcas de los dos reportes de indicadores. La duración total se obtiene de la diferencia entre la primera y la última marca.</w:t>
      </w:r>
    </w:p>
    <w:p>
      <w:pPr>
        <w:pStyle w:val="Normal"/>
        <w:spacing w:after="0" w:line="480" w:lineRule="auto"/>
        <w:ind w:firstLine="720"/>
        <w:jc w:val="both"/>
      </w:pPr>
      <w:r>
        <w:t xml:space="preserve">La primera medición del ciclo produce el conjunto de catorce lecciones que origina las correcciones, de manera que la cadena de mejora se apoya en evidencia y no en intuición. El ciclo completo, desde la línea base hasta la medición final, toma cuatro horas con veintiséis minutos, de manera que el esquema de iteración resulta operable dentro de una sola jornada de trabajo.</w:t>
      </w:r>
    </w:p>
    <w:p>
      <w:pPr>
        <w:pStyle w:val="Heading1"/>
        <w:keepNext/>
        <w:spacing w:before="360" w:after="120" w:line="240" w:lineRule="auto"/>
        <w:jc w:val="left"/>
        <w:outlineLvl w:val="0"/>
      </w:pPr>
      <w:r>
        <w:rPr>
          <w:b/>
          <w:bCs/>
        </w:rPr>
        <w:t xml:space="preserve">10. Cobertura de MITRE ATT&amp;CK</w:t>
      </w:r>
    </w:p>
    <w:p>
      <w:pPr>
        <w:pStyle w:val="Normal"/>
        <w:spacing w:after="0" w:line="480" w:lineRule="auto"/>
        <w:ind w:firstLine="720"/>
        <w:jc w:val="both"/>
      </w:pPr>
      <w:r>
        <w:t xml:space="preserve">El inventario del señuelo sigue la taxonomía de MITRE ATT&amp;CK (MITRE Corporation, 2024), que clasifica las técnicas en ocho tácticas. La campaña ejecuta diez escenarios y cada escenario activa una técnica distinta, lo que fija el denominador de la cobertura en diez dentro de los dos laboratorios.</w:t>
      </w:r>
    </w:p>
    <w:p>
      <w:pPr>
        <w:pStyle w:val="FigureCaption"/>
        <w:keepNext/>
        <w:spacing w:before="240" w:after="0" w:line="240" w:lineRule="auto"/>
      </w:pPr>
      <w:r>
        <w:rPr>
          <w:b/>
          <w:bCs/>
          <w:i w:val="false"/>
          <w:iCs w:val="false"/>
          <w:sz w:val="22"/>
          <w:szCs w:val="22"/>
        </w:rPr>
        <w:t xml:space="preserve">Figura 13</w:t>
      </w:r>
    </w:p>
    <w:p>
      <w:pPr>
        <w:pStyle w:val="FigureCaption"/>
        <w:keepNext/>
        <w:spacing w:before="0" w:after="120" w:line="240" w:lineRule="auto"/>
      </w:pPr>
      <w:r>
        <w:rPr>
          <w:sz w:val="22"/>
          <w:szCs w:val="22"/>
        </w:rPr>
        <w:t xml:space="preserve">Inventario de técnicas y tácticas del señuelo frente a las que cuentan con fuente de detección</w:t>
      </w:r>
    </w:p>
    <w:p>
      <w:pPr>
        <w:pStyle w:val="FigureImage"/>
        <w:spacing w:before="120" w:after="60" w:line="240" w:lineRule="auto"/>
        <w:jc w:val="center"/>
      </w:pPr>
      <w:r>
        <w:drawing>
          <wp:inline xmlns:wp="http://schemas.openxmlformats.org/drawingml/2006/wordprocessingDrawing" distT="0" distB="0" distL="0" distR="0">
            <wp:extent cx="4000500" cy="2419350"/>
            <wp:effectExtent l="0" t="0" r="0" b="0"/>
            <wp:docPr id="13" name="Figura 13" descr="Comparación entre el inventario de técnicas y tácticas y las que cuentan con fuente de de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cobertura-mitre-attack.png"/>
                    <pic:cNvPicPr/>
                  </pic:nvPicPr>
                  <pic:blipFill>
                    <a:blip xmlns:r="http://schemas.openxmlformats.org/officeDocument/2006/relationships" r:embed="R7d2c0345268b4aeb"/>
                    <a:stretch>
                      <a:fillRect/>
                    </a:stretch>
                  </pic:blipFill>
                  <pic:spPr>
                    <a:xfrm>
                      <a:off x="0" y="0"/>
                      <a:ext cx="4000500" cy="241935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barra gris declara el tamaño del inventario del señuelo y la verde las técnicas y tácticas que cuentan con fuente de detección en la medición final.</w:t>
      </w:r>
    </w:p>
    <w:p>
      <w:pPr>
        <w:pStyle w:val="TableTitle"/>
        <w:keepNext/>
        <w:spacing w:before="240" w:after="0" w:line="240" w:lineRule="auto"/>
      </w:pPr>
      <w:r>
        <w:rPr>
          <w:b/>
          <w:bCs/>
          <w:i w:val="false"/>
          <w:iCs w:val="false"/>
          <w:sz w:val="22"/>
          <w:szCs w:val="22"/>
        </w:rPr>
        <w:t xml:space="preserve">Tabla 16</w:t>
      </w:r>
    </w:p>
    <w:p>
      <w:pPr>
        <w:pStyle w:val="TableTitle"/>
        <w:keepNext/>
        <w:spacing w:before="0" w:after="80" w:line="240" w:lineRule="auto"/>
      </w:pPr>
      <w:r>
        <w:rPr>
          <w:sz w:val="22"/>
          <w:szCs w:val="22"/>
        </w:rPr>
        <w:t xml:space="preserve">Las diecisiete técnicas del inventario del señuelo y su fuente de detección</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1400"/>
        <w:gridCol w:w="2200"/>
        <w:gridCol w:w="1300"/>
        <w:gridCol w:w="4460"/>
      </w:tblGrid>
      <w:tr>
        <w:trPr>
          <w:tblHeader/>
          <w:cantSplit/>
        </w:trPr>
        <w:tc>
          <w:tcPr>
            <w:tcW w:w="1400" w:type="dxa"/>
            <w:tcBorders>
              <w:bottom w:val="single" w:color="000000" w:sz="6" w:space="0"/>
            </w:tcBorders>
            <w:vAlign w:val="top"/>
          </w:tcPr>
          <w:p>
            <w:pPr>
              <w:pStyle w:val="TableText"/>
              <w:spacing w:before="40" w:after="40" w:line="240" w:lineRule="auto"/>
              <w:jc w:val="right"/>
            </w:pPr>
            <w:r>
              <w:rPr>
                <w:b/>
                <w:bCs/>
                <w:sz w:val="20"/>
                <w:szCs w:val="20"/>
              </w:rPr>
              <w:t xml:space="preserve">Técnica</w:t>
            </w:r>
          </w:p>
        </w:tc>
        <w:tc>
          <w:tcPr>
            <w:tcW w:w="2200" w:type="dxa"/>
            <w:tcBorders>
              <w:bottom w:val="single" w:color="000000" w:sz="6" w:space="0"/>
            </w:tcBorders>
            <w:vAlign w:val="top"/>
          </w:tcPr>
          <w:p>
            <w:pPr>
              <w:pStyle w:val="TableText"/>
              <w:spacing w:before="40" w:after="40" w:line="240" w:lineRule="auto"/>
              <w:jc w:val="left"/>
            </w:pPr>
            <w:r>
              <w:rPr>
                <w:b/>
                <w:bCs/>
                <w:sz w:val="20"/>
                <w:szCs w:val="20"/>
              </w:rPr>
              <w:t xml:space="preserve">Táctica</w:t>
            </w:r>
          </w:p>
        </w:tc>
        <w:tc>
          <w:tcPr>
            <w:tcW w:w="1300" w:type="dxa"/>
            <w:tcBorders>
              <w:bottom w:val="single" w:color="000000" w:sz="6" w:space="0"/>
            </w:tcBorders>
            <w:vAlign w:val="top"/>
          </w:tcPr>
          <w:p>
            <w:pPr>
              <w:pStyle w:val="TableText"/>
              <w:spacing w:before="40" w:after="40" w:line="240" w:lineRule="auto"/>
              <w:jc w:val="right"/>
            </w:pPr>
            <w:r>
              <w:rPr>
                <w:b/>
                <w:bCs/>
                <w:sz w:val="20"/>
                <w:szCs w:val="20"/>
              </w:rPr>
              <w:t xml:space="preserve">Escenario</w:t>
            </w:r>
          </w:p>
        </w:tc>
        <w:tc>
          <w:tcPr>
            <w:tcW w:w="4460" w:type="dxa"/>
            <w:tcBorders>
              <w:bottom w:val="single" w:color="000000" w:sz="6" w:space="0"/>
            </w:tcBorders>
            <w:vAlign w:val="top"/>
          </w:tcPr>
          <w:p>
            <w:pPr>
              <w:pStyle w:val="TableText"/>
              <w:spacing w:before="40" w:after="40" w:line="240" w:lineRule="auto"/>
              <w:jc w:val="left"/>
            </w:pPr>
            <w:r>
              <w:rPr>
                <w:b/>
                <w:bCs/>
                <w:sz w:val="20"/>
                <w:szCs w:val="20"/>
              </w:rPr>
              <w:t xml:space="preserve">Fuente en la medición final</w:t>
            </w:r>
          </w:p>
        </w:tc>
      </w:tr>
      <w:tr>
        <w:trPr>
          <w:cantSplit/>
        </w:trPr>
        <w:tc>
          <w:tcPr>
            <w:tcW w:w="1400" w:type="dxa"/>
            <w:vAlign w:val="top"/>
          </w:tcPr>
          <w:p>
            <w:pPr>
              <w:pStyle w:val="TableText"/>
              <w:spacing w:before="40" w:after="40" w:line="240" w:lineRule="auto"/>
              <w:jc w:val="right"/>
            </w:pPr>
            <w:r>
              <w:rPr>
                <w:sz w:val="20"/>
                <w:szCs w:val="20"/>
              </w:rPr>
              <w:t xml:space="preserve">T1048.003</w:t>
            </w:r>
          </w:p>
        </w:tc>
        <w:tc>
          <w:tcPr>
            <w:tcW w:w="2200" w:type="dxa"/>
            <w:vAlign w:val="top"/>
          </w:tcPr>
          <w:p>
            <w:pPr>
              <w:pStyle w:val="TableText"/>
              <w:spacing w:before="40" w:after="40" w:line="240" w:lineRule="auto"/>
              <w:jc w:val="left"/>
            </w:pPr>
            <w:r>
              <w:rPr>
                <w:sz w:val="20"/>
                <w:szCs w:val="20"/>
              </w:rPr>
              <w:t xml:space="preserve">Exfiltration</w:t>
            </w:r>
          </w:p>
        </w:tc>
        <w:tc>
          <w:tcPr>
            <w:tcW w:w="1300" w:type="dxa"/>
            <w:vAlign w:val="top"/>
          </w:tcPr>
          <w:p>
            <w:pPr>
              <w:pStyle w:val="TableText"/>
              <w:spacing w:before="40" w:after="40" w:line="240" w:lineRule="auto"/>
              <w:jc w:val="right"/>
            </w:pPr>
            <w:r>
              <w:rPr>
                <w:sz w:val="20"/>
                <w:szCs w:val="20"/>
              </w:rPr>
              <w:t xml:space="preserve">S10</w:t>
            </w:r>
          </w:p>
        </w:tc>
        <w:tc>
          <w:tcPr>
            <w:tcW w:w="4460" w:type="dxa"/>
            <w:vAlign w:val="top"/>
          </w:tcPr>
          <w:p>
            <w:pPr>
              <w:pStyle w:val="TableText"/>
              <w:spacing w:before="40" w:after="40" w:line="240" w:lineRule="auto"/>
              <w:jc w:val="left"/>
            </w:pPr>
            <w:r>
              <w:rPr>
                <w:sz w:val="20"/>
                <w:szCs w:val="20"/>
              </w:rPr>
              <w:t xml:space="preserve">Sensor de red</w:t>
            </w:r>
          </w:p>
        </w:tc>
      </w:tr>
      <w:tr>
        <w:trPr>
          <w:cantSplit/>
        </w:trPr>
        <w:tc>
          <w:tcPr>
            <w:tcW w:w="1400" w:type="dxa"/>
            <w:vAlign w:val="top"/>
          </w:tcPr>
          <w:p>
            <w:pPr>
              <w:pStyle w:val="TableText"/>
              <w:spacing w:before="40" w:after="40" w:line="240" w:lineRule="auto"/>
              <w:jc w:val="right"/>
            </w:pPr>
            <w:r>
              <w:rPr>
                <w:sz w:val="20"/>
                <w:szCs w:val="20"/>
              </w:rPr>
              <w:t xml:space="preserve">T1059</w:t>
            </w:r>
          </w:p>
        </w:tc>
        <w:tc>
          <w:tcPr>
            <w:tcW w:w="2200" w:type="dxa"/>
            <w:vAlign w:val="top"/>
          </w:tcPr>
          <w:p>
            <w:pPr>
              <w:pStyle w:val="TableText"/>
              <w:spacing w:before="40" w:after="40" w:line="240" w:lineRule="auto"/>
              <w:jc w:val="left"/>
            </w:pPr>
            <w:r>
              <w:rPr>
                <w:sz w:val="20"/>
                <w:szCs w:val="20"/>
              </w:rPr>
              <w:t xml:space="preserve">Execution</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r>
        <w:trPr>
          <w:cantSplit/>
        </w:trPr>
        <w:tc>
          <w:tcPr>
            <w:tcW w:w="1400" w:type="dxa"/>
            <w:vAlign w:val="top"/>
          </w:tcPr>
          <w:p>
            <w:pPr>
              <w:pStyle w:val="TableText"/>
              <w:spacing w:before="40" w:after="40" w:line="240" w:lineRule="auto"/>
              <w:jc w:val="right"/>
            </w:pPr>
            <w:r>
              <w:rPr>
                <w:sz w:val="20"/>
                <w:szCs w:val="20"/>
              </w:rPr>
              <w:t xml:space="preserve">T1059.004</w:t>
            </w:r>
          </w:p>
        </w:tc>
        <w:tc>
          <w:tcPr>
            <w:tcW w:w="2200" w:type="dxa"/>
            <w:vAlign w:val="top"/>
          </w:tcPr>
          <w:p>
            <w:pPr>
              <w:pStyle w:val="TableText"/>
              <w:spacing w:before="40" w:after="40" w:line="240" w:lineRule="auto"/>
              <w:jc w:val="left"/>
            </w:pPr>
            <w:r>
              <w:rPr>
                <w:sz w:val="20"/>
                <w:szCs w:val="20"/>
              </w:rPr>
              <w:t xml:space="preserve">Execution</w:t>
            </w:r>
          </w:p>
        </w:tc>
        <w:tc>
          <w:tcPr>
            <w:tcW w:w="1300" w:type="dxa"/>
            <w:vAlign w:val="top"/>
          </w:tcPr>
          <w:p>
            <w:pPr>
              <w:pStyle w:val="TableText"/>
              <w:spacing w:before="40" w:after="40" w:line="240" w:lineRule="auto"/>
              <w:jc w:val="right"/>
            </w:pPr>
            <w:r>
              <w:rPr>
                <w:sz w:val="20"/>
                <w:szCs w:val="20"/>
              </w:rPr>
              <w:t xml:space="preserve">S09</w:t>
            </w:r>
          </w:p>
        </w:tc>
        <w:tc>
          <w:tcPr>
            <w:tcW w:w="4460" w:type="dxa"/>
            <w:vAlign w:val="top"/>
          </w:tcPr>
          <w:p>
            <w:pPr>
              <w:pStyle w:val="TableText"/>
              <w:spacing w:before="40" w:after="40" w:line="240" w:lineRule="auto"/>
              <w:jc w:val="left"/>
            </w:pPr>
            <w:r>
              <w:rPr>
                <w:sz w:val="20"/>
                <w:szCs w:val="20"/>
              </w:rPr>
              <w:t xml:space="preserve">Emulador de acceso remoto</w:t>
            </w:r>
          </w:p>
        </w:tc>
      </w:tr>
      <w:tr>
        <w:trPr>
          <w:cantSplit/>
        </w:trPr>
        <w:tc>
          <w:tcPr>
            <w:tcW w:w="1400" w:type="dxa"/>
            <w:vAlign w:val="top"/>
          </w:tcPr>
          <w:p>
            <w:pPr>
              <w:pStyle w:val="TableText"/>
              <w:spacing w:before="40" w:after="40" w:line="240" w:lineRule="auto"/>
              <w:jc w:val="right"/>
            </w:pPr>
            <w:r>
              <w:rPr>
                <w:sz w:val="20"/>
                <w:szCs w:val="20"/>
              </w:rPr>
              <w:t xml:space="preserve">T1059.006</w:t>
            </w:r>
          </w:p>
        </w:tc>
        <w:tc>
          <w:tcPr>
            <w:tcW w:w="2200" w:type="dxa"/>
            <w:vAlign w:val="top"/>
          </w:tcPr>
          <w:p>
            <w:pPr>
              <w:pStyle w:val="TableText"/>
              <w:spacing w:before="40" w:after="40" w:line="240" w:lineRule="auto"/>
              <w:jc w:val="left"/>
            </w:pPr>
            <w:r>
              <w:rPr>
                <w:sz w:val="20"/>
                <w:szCs w:val="20"/>
              </w:rPr>
              <w:t xml:space="preserve">Execution</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r>
        <w:trPr>
          <w:cantSplit/>
        </w:trPr>
        <w:tc>
          <w:tcPr>
            <w:tcW w:w="1400" w:type="dxa"/>
            <w:vAlign w:val="top"/>
          </w:tcPr>
          <w:p>
            <w:pPr>
              <w:pStyle w:val="TableText"/>
              <w:spacing w:before="40" w:after="40" w:line="240" w:lineRule="auto"/>
              <w:jc w:val="right"/>
            </w:pPr>
            <w:r>
              <w:rPr>
                <w:sz w:val="20"/>
                <w:szCs w:val="20"/>
              </w:rPr>
              <w:t xml:space="preserve">T1059.007</w:t>
            </w:r>
          </w:p>
        </w:tc>
        <w:tc>
          <w:tcPr>
            <w:tcW w:w="2200" w:type="dxa"/>
            <w:vAlign w:val="top"/>
          </w:tcPr>
          <w:p>
            <w:pPr>
              <w:pStyle w:val="TableText"/>
              <w:spacing w:before="40" w:after="40" w:line="240" w:lineRule="auto"/>
              <w:jc w:val="left"/>
            </w:pPr>
            <w:r>
              <w:rPr>
                <w:sz w:val="20"/>
                <w:szCs w:val="20"/>
              </w:rPr>
              <w:t xml:space="preserve">Execution</w:t>
            </w:r>
          </w:p>
        </w:tc>
        <w:tc>
          <w:tcPr>
            <w:tcW w:w="1300" w:type="dxa"/>
            <w:vAlign w:val="top"/>
          </w:tcPr>
          <w:p>
            <w:pPr>
              <w:pStyle w:val="TableText"/>
              <w:spacing w:before="40" w:after="40" w:line="240" w:lineRule="auto"/>
              <w:jc w:val="right"/>
            </w:pPr>
            <w:r>
              <w:rPr>
                <w:sz w:val="20"/>
                <w:szCs w:val="20"/>
              </w:rPr>
              <w:t xml:space="preserve">S06</w:t>
            </w:r>
          </w:p>
        </w:tc>
        <w:tc>
          <w:tcPr>
            <w:tcW w:w="4460" w:type="dxa"/>
            <w:vAlign w:val="top"/>
          </w:tcPr>
          <w:p>
            <w:pPr>
              <w:pStyle w:val="TableText"/>
              <w:spacing w:before="40" w:after="40" w:line="240" w:lineRule="auto"/>
              <w:jc w:val="left"/>
            </w:pPr>
            <w:r>
              <w:rPr>
                <w:sz w:val="20"/>
                <w:szCs w:val="20"/>
              </w:rPr>
              <w:t xml:space="preserve">Portal del señuelo</w:t>
            </w:r>
          </w:p>
        </w:tc>
      </w:tr>
      <w:tr>
        <w:trPr>
          <w:cantSplit/>
        </w:trPr>
        <w:tc>
          <w:tcPr>
            <w:tcW w:w="1400" w:type="dxa"/>
            <w:vAlign w:val="top"/>
          </w:tcPr>
          <w:p>
            <w:pPr>
              <w:pStyle w:val="TableText"/>
              <w:spacing w:before="40" w:after="40" w:line="240" w:lineRule="auto"/>
              <w:jc w:val="right"/>
            </w:pPr>
            <w:r>
              <w:rPr>
                <w:sz w:val="20"/>
                <w:szCs w:val="20"/>
              </w:rPr>
              <w:t xml:space="preserve">T1078</w:t>
            </w:r>
          </w:p>
        </w:tc>
        <w:tc>
          <w:tcPr>
            <w:tcW w:w="2200" w:type="dxa"/>
            <w:vAlign w:val="top"/>
          </w:tcPr>
          <w:p>
            <w:pPr>
              <w:pStyle w:val="TableText"/>
              <w:spacing w:before="40" w:after="40" w:line="240" w:lineRule="auto"/>
              <w:jc w:val="left"/>
            </w:pPr>
            <w:r>
              <w:rPr>
                <w:sz w:val="20"/>
                <w:szCs w:val="20"/>
              </w:rPr>
              <w:t xml:space="preserve">Initial Access</w:t>
            </w:r>
          </w:p>
        </w:tc>
        <w:tc>
          <w:tcPr>
            <w:tcW w:w="1300" w:type="dxa"/>
            <w:vAlign w:val="top"/>
          </w:tcPr>
          <w:p>
            <w:pPr>
              <w:pStyle w:val="TableText"/>
              <w:spacing w:before="40" w:after="40" w:line="240" w:lineRule="auto"/>
              <w:jc w:val="right"/>
            </w:pPr>
            <w:r>
              <w:rPr>
                <w:sz w:val="20"/>
                <w:szCs w:val="20"/>
              </w:rPr>
              <w:t xml:space="preserve">S07</w:t>
            </w:r>
          </w:p>
        </w:tc>
        <w:tc>
          <w:tcPr>
            <w:tcW w:w="4460" w:type="dxa"/>
            <w:vAlign w:val="top"/>
          </w:tcPr>
          <w:p>
            <w:pPr>
              <w:pStyle w:val="TableText"/>
              <w:spacing w:before="40" w:after="40" w:line="240" w:lineRule="auto"/>
              <w:jc w:val="left"/>
            </w:pPr>
            <w:r>
              <w:rPr>
                <w:sz w:val="20"/>
                <w:szCs w:val="20"/>
              </w:rPr>
              <w:t xml:space="preserve">Interfaz de servicios</w:t>
            </w:r>
          </w:p>
        </w:tc>
      </w:tr>
      <w:tr>
        <w:trPr>
          <w:cantSplit/>
        </w:trPr>
        <w:tc>
          <w:tcPr>
            <w:tcW w:w="1400" w:type="dxa"/>
            <w:vAlign w:val="top"/>
          </w:tcPr>
          <w:p>
            <w:pPr>
              <w:pStyle w:val="TableText"/>
              <w:spacing w:before="40" w:after="40" w:line="240" w:lineRule="auto"/>
              <w:jc w:val="right"/>
            </w:pPr>
            <w:r>
              <w:rPr>
                <w:sz w:val="20"/>
                <w:szCs w:val="20"/>
              </w:rPr>
              <w:t xml:space="preserve">T1078.001</w:t>
            </w:r>
          </w:p>
        </w:tc>
        <w:tc>
          <w:tcPr>
            <w:tcW w:w="2200" w:type="dxa"/>
            <w:vAlign w:val="top"/>
          </w:tcPr>
          <w:p>
            <w:pPr>
              <w:pStyle w:val="TableText"/>
              <w:spacing w:before="40" w:after="40" w:line="240" w:lineRule="auto"/>
              <w:jc w:val="left"/>
            </w:pPr>
            <w:r>
              <w:rPr>
                <w:sz w:val="20"/>
                <w:szCs w:val="20"/>
              </w:rPr>
              <w:t xml:space="preserve">Initial Access</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r>
        <w:trPr>
          <w:cantSplit/>
        </w:trPr>
        <w:tc>
          <w:tcPr>
            <w:tcW w:w="1400" w:type="dxa"/>
            <w:vAlign w:val="top"/>
          </w:tcPr>
          <w:p>
            <w:pPr>
              <w:pStyle w:val="TableText"/>
              <w:spacing w:before="40" w:after="40" w:line="240" w:lineRule="auto"/>
              <w:jc w:val="right"/>
            </w:pPr>
            <w:r>
              <w:rPr>
                <w:sz w:val="20"/>
                <w:szCs w:val="20"/>
              </w:rPr>
              <w:t xml:space="preserve">T1083</w:t>
            </w:r>
          </w:p>
        </w:tc>
        <w:tc>
          <w:tcPr>
            <w:tcW w:w="2200" w:type="dxa"/>
            <w:vAlign w:val="top"/>
          </w:tcPr>
          <w:p>
            <w:pPr>
              <w:pStyle w:val="TableText"/>
              <w:spacing w:before="40" w:after="40" w:line="240" w:lineRule="auto"/>
              <w:jc w:val="left"/>
            </w:pPr>
            <w:r>
              <w:rPr>
                <w:sz w:val="20"/>
                <w:szCs w:val="20"/>
              </w:rPr>
              <w:t xml:space="preserve">Discovery</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r>
        <w:trPr>
          <w:cantSplit/>
        </w:trPr>
        <w:tc>
          <w:tcPr>
            <w:tcW w:w="1400" w:type="dxa"/>
            <w:vAlign w:val="top"/>
          </w:tcPr>
          <w:p>
            <w:pPr>
              <w:pStyle w:val="TableText"/>
              <w:spacing w:before="40" w:after="40" w:line="240" w:lineRule="auto"/>
              <w:jc w:val="right"/>
            </w:pPr>
            <w:r>
              <w:rPr>
                <w:sz w:val="20"/>
                <w:szCs w:val="20"/>
              </w:rPr>
              <w:t xml:space="preserve">T1105</w:t>
            </w:r>
          </w:p>
        </w:tc>
        <w:tc>
          <w:tcPr>
            <w:tcW w:w="2200" w:type="dxa"/>
            <w:vAlign w:val="top"/>
          </w:tcPr>
          <w:p>
            <w:pPr>
              <w:pStyle w:val="TableText"/>
              <w:spacing w:before="40" w:after="40" w:line="240" w:lineRule="auto"/>
              <w:jc w:val="left"/>
            </w:pPr>
            <w:r>
              <w:rPr>
                <w:sz w:val="20"/>
                <w:szCs w:val="20"/>
              </w:rPr>
              <w:t xml:space="preserve">Command and Control</w:t>
            </w:r>
          </w:p>
        </w:tc>
        <w:tc>
          <w:tcPr>
            <w:tcW w:w="1300" w:type="dxa"/>
            <w:vAlign w:val="top"/>
          </w:tcPr>
          <w:p>
            <w:pPr>
              <w:pStyle w:val="TableText"/>
              <w:spacing w:before="40" w:after="40" w:line="240" w:lineRule="auto"/>
              <w:jc w:val="right"/>
            </w:pPr>
            <w:r>
              <w:rPr>
                <w:sz w:val="20"/>
                <w:szCs w:val="20"/>
              </w:rPr>
              <w:t xml:space="preserve">S08</w:t>
            </w:r>
          </w:p>
        </w:tc>
        <w:tc>
          <w:tcPr>
            <w:tcW w:w="4460" w:type="dxa"/>
            <w:vAlign w:val="top"/>
          </w:tcPr>
          <w:p>
            <w:pPr>
              <w:pStyle w:val="TableText"/>
              <w:spacing w:before="40" w:after="40" w:line="240" w:lineRule="auto"/>
              <w:jc w:val="left"/>
            </w:pPr>
            <w:r>
              <w:rPr>
                <w:sz w:val="20"/>
                <w:szCs w:val="20"/>
              </w:rPr>
              <w:t xml:space="preserve">Archivo señuelo</w:t>
            </w:r>
          </w:p>
        </w:tc>
      </w:tr>
      <w:tr>
        <w:trPr>
          <w:cantSplit/>
        </w:trPr>
        <w:tc>
          <w:tcPr>
            <w:tcW w:w="1400" w:type="dxa"/>
            <w:vAlign w:val="top"/>
          </w:tcPr>
          <w:p>
            <w:pPr>
              <w:pStyle w:val="TableText"/>
              <w:spacing w:before="40" w:after="40" w:line="240" w:lineRule="auto"/>
              <w:jc w:val="right"/>
            </w:pPr>
            <w:r>
              <w:rPr>
                <w:sz w:val="20"/>
                <w:szCs w:val="20"/>
              </w:rPr>
              <w:t xml:space="preserve">T1110.001</w:t>
            </w:r>
          </w:p>
        </w:tc>
        <w:tc>
          <w:tcPr>
            <w:tcW w:w="2200" w:type="dxa"/>
            <w:vAlign w:val="top"/>
          </w:tcPr>
          <w:p>
            <w:pPr>
              <w:pStyle w:val="TableText"/>
              <w:spacing w:before="40" w:after="40" w:line="240" w:lineRule="auto"/>
              <w:jc w:val="left"/>
            </w:pPr>
            <w:r>
              <w:rPr>
                <w:sz w:val="20"/>
                <w:szCs w:val="20"/>
              </w:rPr>
              <w:t xml:space="preserve">Credential Access</w:t>
            </w:r>
          </w:p>
        </w:tc>
        <w:tc>
          <w:tcPr>
            <w:tcW w:w="1300" w:type="dxa"/>
            <w:vAlign w:val="top"/>
          </w:tcPr>
          <w:p>
            <w:pPr>
              <w:pStyle w:val="TableText"/>
              <w:spacing w:before="40" w:after="40" w:line="240" w:lineRule="auto"/>
              <w:jc w:val="right"/>
            </w:pPr>
            <w:r>
              <w:rPr>
                <w:sz w:val="20"/>
                <w:szCs w:val="20"/>
              </w:rPr>
              <w:t xml:space="preserve">S03</w:t>
            </w:r>
          </w:p>
        </w:tc>
        <w:tc>
          <w:tcPr>
            <w:tcW w:w="4460" w:type="dxa"/>
            <w:vAlign w:val="top"/>
          </w:tcPr>
          <w:p>
            <w:pPr>
              <w:pStyle w:val="TableText"/>
              <w:spacing w:before="40" w:after="40" w:line="240" w:lineRule="auto"/>
              <w:jc w:val="left"/>
            </w:pPr>
            <w:r>
              <w:rPr>
                <w:sz w:val="20"/>
                <w:szCs w:val="20"/>
              </w:rPr>
              <w:t xml:space="preserve">Emulador de acceso remoto</w:t>
            </w:r>
          </w:p>
        </w:tc>
      </w:tr>
      <w:tr>
        <w:trPr>
          <w:cantSplit/>
        </w:trPr>
        <w:tc>
          <w:tcPr>
            <w:tcW w:w="1400" w:type="dxa"/>
            <w:vAlign w:val="top"/>
          </w:tcPr>
          <w:p>
            <w:pPr>
              <w:pStyle w:val="TableText"/>
              <w:spacing w:before="40" w:after="40" w:line="240" w:lineRule="auto"/>
              <w:jc w:val="right"/>
            </w:pPr>
            <w:r>
              <w:rPr>
                <w:sz w:val="20"/>
                <w:szCs w:val="20"/>
              </w:rPr>
              <w:t xml:space="preserve">T1110.004</w:t>
            </w:r>
          </w:p>
        </w:tc>
        <w:tc>
          <w:tcPr>
            <w:tcW w:w="2200" w:type="dxa"/>
            <w:vAlign w:val="top"/>
          </w:tcPr>
          <w:p>
            <w:pPr>
              <w:pStyle w:val="TableText"/>
              <w:spacing w:before="40" w:after="40" w:line="240" w:lineRule="auto"/>
              <w:jc w:val="left"/>
            </w:pPr>
            <w:r>
              <w:rPr>
                <w:sz w:val="20"/>
                <w:szCs w:val="20"/>
              </w:rPr>
              <w:t xml:space="preserve">Credential Access</w:t>
            </w:r>
          </w:p>
        </w:tc>
        <w:tc>
          <w:tcPr>
            <w:tcW w:w="1300" w:type="dxa"/>
            <w:vAlign w:val="top"/>
          </w:tcPr>
          <w:p>
            <w:pPr>
              <w:pStyle w:val="TableText"/>
              <w:spacing w:before="40" w:after="40" w:line="240" w:lineRule="auto"/>
              <w:jc w:val="right"/>
            </w:pPr>
            <w:r>
              <w:rPr>
                <w:sz w:val="20"/>
                <w:szCs w:val="20"/>
              </w:rPr>
              <w:t xml:space="preserve">S05</w:t>
            </w:r>
          </w:p>
        </w:tc>
        <w:tc>
          <w:tcPr>
            <w:tcW w:w="4460" w:type="dxa"/>
            <w:vAlign w:val="top"/>
          </w:tcPr>
          <w:p>
            <w:pPr>
              <w:pStyle w:val="TableText"/>
              <w:spacing w:before="40" w:after="40" w:line="240" w:lineRule="auto"/>
              <w:jc w:val="left"/>
            </w:pPr>
            <w:r>
              <w:rPr>
                <w:sz w:val="20"/>
                <w:szCs w:val="20"/>
              </w:rPr>
              <w:t xml:space="preserve">Interfaz de servicios</w:t>
            </w:r>
          </w:p>
        </w:tc>
      </w:tr>
      <w:tr>
        <w:trPr>
          <w:cantSplit/>
        </w:trPr>
        <w:tc>
          <w:tcPr>
            <w:tcW w:w="1400" w:type="dxa"/>
            <w:vAlign w:val="top"/>
          </w:tcPr>
          <w:p>
            <w:pPr>
              <w:pStyle w:val="TableText"/>
              <w:spacing w:before="40" w:after="40" w:line="240" w:lineRule="auto"/>
              <w:jc w:val="right"/>
            </w:pPr>
            <w:r>
              <w:rPr>
                <w:sz w:val="20"/>
                <w:szCs w:val="20"/>
              </w:rPr>
              <w:t xml:space="preserve">T1190</w:t>
            </w:r>
          </w:p>
        </w:tc>
        <w:tc>
          <w:tcPr>
            <w:tcW w:w="2200" w:type="dxa"/>
            <w:vAlign w:val="top"/>
          </w:tcPr>
          <w:p>
            <w:pPr>
              <w:pStyle w:val="TableText"/>
              <w:spacing w:before="40" w:after="40" w:line="240" w:lineRule="auto"/>
              <w:jc w:val="left"/>
            </w:pPr>
            <w:r>
              <w:rPr>
                <w:sz w:val="20"/>
                <w:szCs w:val="20"/>
              </w:rPr>
              <w:t xml:space="preserve">Initial Access</w:t>
            </w:r>
          </w:p>
        </w:tc>
        <w:tc>
          <w:tcPr>
            <w:tcW w:w="1300" w:type="dxa"/>
            <w:vAlign w:val="top"/>
          </w:tcPr>
          <w:p>
            <w:pPr>
              <w:pStyle w:val="TableText"/>
              <w:spacing w:before="40" w:after="40" w:line="240" w:lineRule="auto"/>
              <w:jc w:val="right"/>
            </w:pPr>
            <w:r>
              <w:rPr>
                <w:sz w:val="20"/>
                <w:szCs w:val="20"/>
              </w:rPr>
              <w:t xml:space="preserve">S04</w:t>
            </w:r>
          </w:p>
        </w:tc>
        <w:tc>
          <w:tcPr>
            <w:tcW w:w="4460" w:type="dxa"/>
            <w:vAlign w:val="top"/>
          </w:tcPr>
          <w:p>
            <w:pPr>
              <w:pStyle w:val="TableText"/>
              <w:spacing w:before="40" w:after="40" w:line="240" w:lineRule="auto"/>
              <w:jc w:val="left"/>
            </w:pPr>
            <w:r>
              <w:rPr>
                <w:sz w:val="20"/>
                <w:szCs w:val="20"/>
              </w:rPr>
              <w:t xml:space="preserve">Portal del señuelo</w:t>
            </w:r>
          </w:p>
        </w:tc>
      </w:tr>
      <w:tr>
        <w:trPr>
          <w:cantSplit/>
        </w:trPr>
        <w:tc>
          <w:tcPr>
            <w:tcW w:w="1400" w:type="dxa"/>
            <w:vAlign w:val="top"/>
          </w:tcPr>
          <w:p>
            <w:pPr>
              <w:pStyle w:val="TableText"/>
              <w:spacing w:before="40" w:after="40" w:line="240" w:lineRule="auto"/>
              <w:jc w:val="right"/>
            </w:pPr>
            <w:r>
              <w:rPr>
                <w:sz w:val="20"/>
                <w:szCs w:val="20"/>
              </w:rPr>
              <w:t xml:space="preserve">T1213</w:t>
            </w:r>
          </w:p>
        </w:tc>
        <w:tc>
          <w:tcPr>
            <w:tcW w:w="2200" w:type="dxa"/>
            <w:vAlign w:val="top"/>
          </w:tcPr>
          <w:p>
            <w:pPr>
              <w:pStyle w:val="TableText"/>
              <w:spacing w:before="40" w:after="40" w:line="240" w:lineRule="auto"/>
              <w:jc w:val="left"/>
            </w:pPr>
            <w:r>
              <w:rPr>
                <w:sz w:val="20"/>
                <w:szCs w:val="20"/>
              </w:rPr>
              <w:t xml:space="preserve">Collection</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r>
        <w:trPr>
          <w:cantSplit/>
        </w:trPr>
        <w:tc>
          <w:tcPr>
            <w:tcW w:w="1400" w:type="dxa"/>
            <w:vAlign w:val="top"/>
          </w:tcPr>
          <w:p>
            <w:pPr>
              <w:pStyle w:val="TableText"/>
              <w:spacing w:before="40" w:after="40" w:line="240" w:lineRule="auto"/>
              <w:jc w:val="right"/>
            </w:pPr>
            <w:r>
              <w:rPr>
                <w:sz w:val="20"/>
                <w:szCs w:val="20"/>
              </w:rPr>
              <w:t xml:space="preserve">T1530</w:t>
            </w:r>
          </w:p>
        </w:tc>
        <w:tc>
          <w:tcPr>
            <w:tcW w:w="2200" w:type="dxa"/>
            <w:vAlign w:val="top"/>
          </w:tcPr>
          <w:p>
            <w:pPr>
              <w:pStyle w:val="TableText"/>
              <w:spacing w:before="40" w:after="40" w:line="240" w:lineRule="auto"/>
              <w:jc w:val="left"/>
            </w:pPr>
            <w:r>
              <w:rPr>
                <w:sz w:val="20"/>
                <w:szCs w:val="20"/>
              </w:rPr>
              <w:t xml:space="preserve">Collection</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r>
        <w:trPr>
          <w:cantSplit/>
        </w:trPr>
        <w:tc>
          <w:tcPr>
            <w:tcW w:w="1400" w:type="dxa"/>
            <w:vAlign w:val="top"/>
          </w:tcPr>
          <w:p>
            <w:pPr>
              <w:pStyle w:val="TableText"/>
              <w:spacing w:before="40" w:after="40" w:line="240" w:lineRule="auto"/>
              <w:jc w:val="right"/>
            </w:pPr>
            <w:r>
              <w:rPr>
                <w:sz w:val="20"/>
                <w:szCs w:val="20"/>
              </w:rPr>
              <w:t xml:space="preserve">T1595</w:t>
            </w:r>
          </w:p>
        </w:tc>
        <w:tc>
          <w:tcPr>
            <w:tcW w:w="2200" w:type="dxa"/>
            <w:vAlign w:val="top"/>
          </w:tcPr>
          <w:p>
            <w:pPr>
              <w:pStyle w:val="TableText"/>
              <w:spacing w:before="40" w:after="40" w:line="240" w:lineRule="auto"/>
              <w:jc w:val="left"/>
            </w:pPr>
            <w:r>
              <w:rPr>
                <w:sz w:val="20"/>
                <w:szCs w:val="20"/>
              </w:rPr>
              <w:t xml:space="preserve">Reconnaissance</w:t>
            </w:r>
          </w:p>
        </w:tc>
        <w:tc>
          <w:tcPr>
            <w:tcW w:w="1300" w:type="dxa"/>
            <w:vAlign w:val="top"/>
          </w:tcPr>
          <w:p>
            <w:pPr>
              <w:pStyle w:val="TableText"/>
              <w:spacing w:before="40" w:after="40" w:line="240" w:lineRule="auto"/>
              <w:jc w:val="right"/>
            </w:pPr>
            <w:r>
              <w:rPr>
                <w:sz w:val="20"/>
                <w:szCs w:val="20"/>
              </w:rPr>
              <w:t xml:space="preserve">S01</w:t>
            </w:r>
          </w:p>
        </w:tc>
        <w:tc>
          <w:tcPr>
            <w:tcW w:w="4460" w:type="dxa"/>
            <w:vAlign w:val="top"/>
          </w:tcPr>
          <w:p>
            <w:pPr>
              <w:pStyle w:val="TableText"/>
              <w:spacing w:before="40" w:after="40" w:line="240" w:lineRule="auto"/>
              <w:jc w:val="left"/>
            </w:pPr>
            <w:r>
              <w:rPr>
                <w:sz w:val="20"/>
                <w:szCs w:val="20"/>
              </w:rPr>
              <w:t xml:space="preserve">Interfaz de servicios</w:t>
            </w:r>
          </w:p>
        </w:tc>
      </w:tr>
      <w:tr>
        <w:trPr>
          <w:cantSplit/>
        </w:trPr>
        <w:tc>
          <w:tcPr>
            <w:tcW w:w="1400" w:type="dxa"/>
            <w:vAlign w:val="top"/>
          </w:tcPr>
          <w:p>
            <w:pPr>
              <w:pStyle w:val="TableText"/>
              <w:spacing w:before="40" w:after="40" w:line="240" w:lineRule="auto"/>
              <w:jc w:val="right"/>
            </w:pPr>
            <w:r>
              <w:rPr>
                <w:sz w:val="20"/>
                <w:szCs w:val="20"/>
              </w:rPr>
              <w:t xml:space="preserve">T1595.002</w:t>
            </w:r>
          </w:p>
        </w:tc>
        <w:tc>
          <w:tcPr>
            <w:tcW w:w="2200" w:type="dxa"/>
            <w:vAlign w:val="top"/>
          </w:tcPr>
          <w:p>
            <w:pPr>
              <w:pStyle w:val="TableText"/>
              <w:spacing w:before="40" w:after="40" w:line="240" w:lineRule="auto"/>
              <w:jc w:val="left"/>
            </w:pPr>
            <w:r>
              <w:rPr>
                <w:sz w:val="20"/>
                <w:szCs w:val="20"/>
              </w:rPr>
              <w:t xml:space="preserve">Reconnaissance</w:t>
            </w:r>
          </w:p>
        </w:tc>
        <w:tc>
          <w:tcPr>
            <w:tcW w:w="1300" w:type="dxa"/>
            <w:vAlign w:val="top"/>
          </w:tcPr>
          <w:p>
            <w:pPr>
              <w:pStyle w:val="TableText"/>
              <w:spacing w:before="40" w:after="40" w:line="240" w:lineRule="auto"/>
              <w:jc w:val="right"/>
            </w:pPr>
            <w:r>
              <w:rPr>
                <w:sz w:val="20"/>
                <w:szCs w:val="20"/>
              </w:rPr>
              <w:t xml:space="preserve">S02</w:t>
            </w:r>
          </w:p>
        </w:tc>
        <w:tc>
          <w:tcPr>
            <w:tcW w:w="4460" w:type="dxa"/>
            <w:vAlign w:val="top"/>
          </w:tcPr>
          <w:p>
            <w:pPr>
              <w:pStyle w:val="TableText"/>
              <w:spacing w:before="40" w:after="40" w:line="240" w:lineRule="auto"/>
              <w:jc w:val="left"/>
            </w:pPr>
            <w:r>
              <w:rPr>
                <w:sz w:val="20"/>
                <w:szCs w:val="20"/>
              </w:rPr>
              <w:t xml:space="preserve">Portal del señuelo</w:t>
            </w:r>
          </w:p>
        </w:tc>
      </w:tr>
      <w:tr>
        <w:trPr>
          <w:cantSplit/>
        </w:trPr>
        <w:tc>
          <w:tcPr>
            <w:tcW w:w="1400" w:type="dxa"/>
            <w:vAlign w:val="top"/>
          </w:tcPr>
          <w:p>
            <w:pPr>
              <w:pStyle w:val="TableText"/>
              <w:spacing w:before="40" w:after="40" w:line="240" w:lineRule="auto"/>
              <w:jc w:val="right"/>
            </w:pPr>
            <w:r>
              <w:rPr>
                <w:sz w:val="20"/>
                <w:szCs w:val="20"/>
              </w:rPr>
              <w:t xml:space="preserve">T1595.003</w:t>
            </w:r>
          </w:p>
        </w:tc>
        <w:tc>
          <w:tcPr>
            <w:tcW w:w="2200" w:type="dxa"/>
            <w:vAlign w:val="top"/>
          </w:tcPr>
          <w:p>
            <w:pPr>
              <w:pStyle w:val="TableText"/>
              <w:spacing w:before="40" w:after="40" w:line="240" w:lineRule="auto"/>
              <w:jc w:val="left"/>
            </w:pPr>
            <w:r>
              <w:rPr>
                <w:sz w:val="20"/>
                <w:szCs w:val="20"/>
              </w:rPr>
              <w:t xml:space="preserve">Reconnaissance</w:t>
            </w:r>
          </w:p>
        </w:tc>
        <w:tc>
          <w:tcPr>
            <w:tcW w:w="1300" w:type="dxa"/>
            <w:vAlign w:val="top"/>
          </w:tcPr>
          <w:p>
            <w:pPr>
              <w:pStyle w:val="TableText"/>
              <w:spacing w:before="40" w:after="40" w:line="240" w:lineRule="auto"/>
              <w:jc w:val="right"/>
            </w:pPr>
            <w:r>
              <w:rPr>
                <w:sz w:val="20"/>
                <w:szCs w:val="20"/>
              </w:rPr>
              <w:t xml:space="preserve">—</w:t>
            </w:r>
          </w:p>
        </w:tc>
        <w:tc>
          <w:tcPr>
            <w:tcW w:w="4460" w:type="dxa"/>
            <w:vAlign w:val="top"/>
          </w:tcPr>
          <w:p>
            <w:pPr>
              <w:pStyle w:val="TableText"/>
              <w:spacing w:before="40" w:after="40" w:line="240" w:lineRule="auto"/>
              <w:jc w:val="left"/>
            </w:pPr>
            <w:r>
              <w:rPr>
                <w:sz w:val="20"/>
                <w:szCs w:val="20"/>
              </w:rPr>
              <w:t xml:space="preserve">En inventario</w:t>
            </w:r>
          </w:p>
        </w:tc>
      </w:tr>
    </w:tbl>
    <w:p>
      <w:pPr>
        <w:pStyle w:val="TableNote"/>
        <w:spacing w:before="60" w:after="240" w:line="240" w:lineRule="auto"/>
      </w:pPr>
      <w:r>
        <w:rPr>
          <w:sz w:val="20"/>
          <w:szCs w:val="20"/>
        </w:rPr>
        <w:t xml:space="preserve">Nota. </w:t>
      </w:r>
      <w:r>
        <w:rPr>
          <w:sz w:val="20"/>
          <w:szCs w:val="20"/>
        </w:rPr>
        <w:t xml:space="preserve">Las siete técnicas marcadas como en inventario pertenecen al catálogo del señuelo sin que ningún escenario las ejerza. La columna de fuente recoge la medición final del Prototipo 2, porque es la única vuelta en la que los diez escenarios tienen una fuente asignada. Los datos proceden del archivo evidencias/07-metricas/08_mitre-coverage.json del Prototipo 1 y del reporte de indicadores de la medición final del Prototipo 2.</w:t>
      </w:r>
    </w:p>
    <w:p>
      <w:pPr>
        <w:pStyle w:val="Normal"/>
        <w:spacing w:after="0" w:line="480" w:lineRule="auto"/>
        <w:ind w:firstLine="720"/>
        <w:jc w:val="both"/>
      </w:pPr>
      <w:r>
        <w:t xml:space="preserve">Siete técnicas pertenecen al inventario sin que ningún escenario las ejerza, de manera que la tabla las marca como tales y el lector no suma diecisiete mediciones donde solo existen diez. En el primer laboratorio el escenario S10 queda fuera de la medición, de manera que la cobertura completa de esa vuelta es de nueve escenarios sobre diez, mientras que el apartado sobre el puente entre los dos laboratorios desarrolla esa diferencia y su corrección.</w:t>
      </w:r>
    </w:p>
    <w:p>
      <w:pPr>
        <w:pStyle w:val="Heading1"/>
        <w:keepNext/>
        <w:spacing w:before="360" w:after="120" w:line="240" w:lineRule="auto"/>
        <w:jc w:val="left"/>
        <w:outlineLvl w:val="0"/>
      </w:pPr>
      <w:r>
        <w:rPr>
          <w:b/>
          <w:bCs/>
        </w:rPr>
        <w:t xml:space="preserve">11. Aportación de cada fase de la metodología</w:t>
      </w:r>
    </w:p>
    <w:p>
      <w:pPr>
        <w:pStyle w:val="Normal"/>
        <w:spacing w:after="0" w:line="480" w:lineRule="auto"/>
        <w:ind w:firstLine="720"/>
        <w:jc w:val="both"/>
      </w:pPr>
      <w:r>
        <w:t xml:space="preserve">La metodología se estructura en cinco fases encadenadas, de manera que cada una aporta un elemento distinto al resultado final. La gestión de incidentes que el laboratorio aplica se articula con los principios y el proceso que establece ISO/IEC 27035-1:2023 (ISO, 2023), de manera que las fases cubren el ciclo completo desde la preparación hasta la mejora.</w:t>
      </w:r>
    </w:p>
    <w:p>
      <w:pPr>
        <w:pStyle w:val="TableTitle"/>
        <w:keepNext/>
        <w:spacing w:before="240" w:after="0" w:line="240" w:lineRule="auto"/>
      </w:pPr>
      <w:r>
        <w:rPr>
          <w:b/>
          <w:bCs/>
          <w:i w:val="false"/>
          <w:iCs w:val="false"/>
          <w:sz w:val="22"/>
          <w:szCs w:val="22"/>
        </w:rPr>
        <w:t xml:space="preserve">Tabla 17</w:t>
      </w:r>
    </w:p>
    <w:p>
      <w:pPr>
        <w:pStyle w:val="TableTitle"/>
        <w:keepNext/>
        <w:spacing w:before="0" w:after="80" w:line="240" w:lineRule="auto"/>
      </w:pPr>
      <w:r>
        <w:rPr>
          <w:sz w:val="22"/>
          <w:szCs w:val="22"/>
        </w:rPr>
        <w:t xml:space="preserve">Aportación de cada fase de la metodología y medición que la verifica</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000"/>
        <w:gridCol w:w="3200"/>
        <w:gridCol w:w="1700"/>
        <w:gridCol w:w="1230"/>
        <w:gridCol w:w="1230"/>
      </w:tblGrid>
      <w:tr>
        <w:trPr>
          <w:tblHeader/>
          <w:cantSplit/>
        </w:trPr>
        <w:tc>
          <w:tcPr>
            <w:tcW w:w="2000" w:type="dxa"/>
            <w:tcBorders>
              <w:bottom w:val="single" w:color="000000" w:sz="6" w:space="0"/>
            </w:tcBorders>
            <w:vAlign w:val="top"/>
          </w:tcPr>
          <w:p>
            <w:pPr>
              <w:pStyle w:val="TableText"/>
              <w:spacing w:before="40" w:after="40" w:line="240" w:lineRule="auto"/>
              <w:jc w:val="left"/>
            </w:pPr>
            <w:r>
              <w:rPr>
                <w:b/>
                <w:bCs/>
                <w:sz w:val="20"/>
                <w:szCs w:val="20"/>
              </w:rPr>
              <w:t xml:space="preserve">Fase</w:t>
            </w:r>
          </w:p>
        </w:tc>
        <w:tc>
          <w:tcPr>
            <w:tcW w:w="3200" w:type="dxa"/>
            <w:tcBorders>
              <w:bottom w:val="single" w:color="000000" w:sz="6" w:space="0"/>
            </w:tcBorders>
            <w:vAlign w:val="top"/>
          </w:tcPr>
          <w:p>
            <w:pPr>
              <w:pStyle w:val="TableText"/>
              <w:spacing w:before="40" w:after="40" w:line="240" w:lineRule="auto"/>
              <w:jc w:val="left"/>
            </w:pPr>
            <w:r>
              <w:rPr>
                <w:b/>
                <w:bCs/>
                <w:sz w:val="20"/>
                <w:szCs w:val="20"/>
              </w:rPr>
              <w:t xml:space="preserve">Qué aporta</w:t>
            </w:r>
          </w:p>
        </w:tc>
        <w:tc>
          <w:tcPr>
            <w:tcW w:w="1700" w:type="dxa"/>
            <w:tcBorders>
              <w:bottom w:val="single" w:color="000000" w:sz="6" w:space="0"/>
            </w:tcBorders>
            <w:vAlign w:val="top"/>
          </w:tcPr>
          <w:p>
            <w:pPr>
              <w:pStyle w:val="TableText"/>
              <w:spacing w:before="40" w:after="40" w:line="240" w:lineRule="auto"/>
              <w:jc w:val="left"/>
            </w:pPr>
            <w:r>
              <w:rPr>
                <w:b/>
                <w:bCs/>
                <w:sz w:val="20"/>
                <w:szCs w:val="20"/>
              </w:rPr>
              <w:t xml:space="preserve">Indicador</w:t>
            </w:r>
          </w:p>
        </w:tc>
        <w:tc>
          <w:tcPr>
            <w:tcW w:w="1230" w:type="dxa"/>
            <w:tcBorders>
              <w:bottom w:val="single" w:color="000000" w:sz="6" w:space="0"/>
            </w:tcBorders>
            <w:vAlign w:val="top"/>
          </w:tcPr>
          <w:p>
            <w:pPr>
              <w:pStyle w:val="TableText"/>
              <w:spacing w:before="40" w:after="40" w:line="240" w:lineRule="auto"/>
              <w:jc w:val="right"/>
            </w:pPr>
            <w:r>
              <w:rPr>
                <w:b/>
                <w:bCs/>
                <w:sz w:val="20"/>
                <w:szCs w:val="20"/>
              </w:rPr>
              <w:t xml:space="preserve">Prototipo 1</w:t>
            </w:r>
          </w:p>
        </w:tc>
        <w:tc>
          <w:tcPr>
            <w:tcW w:w="1230" w:type="dxa"/>
            <w:tcBorders>
              <w:bottom w:val="single" w:color="000000" w:sz="6" w:space="0"/>
            </w:tcBorders>
            <w:vAlign w:val="top"/>
          </w:tcPr>
          <w:p>
            <w:pPr>
              <w:pStyle w:val="TableText"/>
              <w:spacing w:before="40" w:after="40" w:line="240" w:lineRule="auto"/>
              <w:jc w:val="right"/>
            </w:pPr>
            <w:r>
              <w:rPr>
                <w:b/>
                <w:bCs/>
                <w:sz w:val="20"/>
                <w:szCs w:val="20"/>
              </w:rPr>
              <w:t xml:space="preserve">Prototipo 2</w:t>
            </w:r>
          </w:p>
        </w:tc>
      </w:tr>
      <w:tr>
        <w:trPr>
          <w:cantSplit/>
        </w:trPr>
        <w:tc>
          <w:tcPr>
            <w:tcW w:w="2000" w:type="dxa"/>
            <w:vAlign w:val="top"/>
          </w:tcPr>
          <w:p>
            <w:pPr>
              <w:pStyle w:val="TableText"/>
              <w:spacing w:before="40" w:after="40" w:line="240" w:lineRule="auto"/>
              <w:jc w:val="left"/>
            </w:pPr>
            <w:r>
              <w:rPr>
                <w:sz w:val="20"/>
                <w:szCs w:val="20"/>
              </w:rPr>
              <w:t xml:space="preserve">1 · Diseño del señuelo</w:t>
            </w:r>
          </w:p>
        </w:tc>
        <w:tc>
          <w:tcPr>
            <w:tcW w:w="3200" w:type="dxa"/>
            <w:vAlign w:val="top"/>
          </w:tcPr>
          <w:p>
            <w:pPr>
              <w:pStyle w:val="TableText"/>
              <w:spacing w:before="40" w:after="40" w:line="240" w:lineRule="auto"/>
              <w:jc w:val="left"/>
            </w:pPr>
            <w:r>
              <w:rPr>
                <w:sz w:val="20"/>
                <w:szCs w:val="20"/>
              </w:rPr>
              <w:t xml:space="preserve">Define el activo que se engaña, el nivel de interacción y el perfil del atacante, de manera que la campaña tenga un denominador fijo de diez escenarios</w:t>
            </w:r>
          </w:p>
        </w:tc>
        <w:tc>
          <w:tcPr>
            <w:tcW w:w="1700" w:type="dxa"/>
            <w:vAlign w:val="top"/>
          </w:tcPr>
          <w:p>
            <w:pPr>
              <w:pStyle w:val="TableText"/>
              <w:spacing w:before="40" w:after="40" w:line="240" w:lineRule="auto"/>
              <w:jc w:val="left"/>
            </w:pPr>
            <w:r>
              <w:rPr>
                <w:sz w:val="20"/>
                <w:szCs w:val="20"/>
              </w:rPr>
              <w:t xml:space="preserve">Escenarios ejecutados</w:t>
            </w:r>
          </w:p>
        </w:tc>
        <w:tc>
          <w:tcPr>
            <w:tcW w:w="1230" w:type="dxa"/>
            <w:vAlign w:val="top"/>
          </w:tcPr>
          <w:p>
            <w:pPr>
              <w:pStyle w:val="TableText"/>
              <w:spacing w:before="40" w:after="40" w:line="240" w:lineRule="auto"/>
              <w:jc w:val="right"/>
            </w:pPr>
            <w:r>
              <w:rPr>
                <w:sz w:val="20"/>
                <w:szCs w:val="20"/>
              </w:rPr>
              <w:t xml:space="preserve">10 de 10</w:t>
            </w:r>
          </w:p>
        </w:tc>
        <w:tc>
          <w:tcPr>
            <w:tcW w:w="1230" w:type="dxa"/>
            <w:vAlign w:val="top"/>
          </w:tcPr>
          <w:p>
            <w:pPr>
              <w:pStyle w:val="TableText"/>
              <w:spacing w:before="40" w:after="40" w:line="240" w:lineRule="auto"/>
              <w:jc w:val="right"/>
            </w:pPr>
            <w:r>
              <w:rPr>
                <w:sz w:val="20"/>
                <w:szCs w:val="20"/>
              </w:rPr>
              <w:t xml:space="preserve">10 de 10</w:t>
            </w:r>
          </w:p>
        </w:tc>
      </w:tr>
      <w:tr>
        <w:trPr>
          <w:cantSplit/>
        </w:trPr>
        <w:tc>
          <w:tcPr>
            <w:tcW w:w="2000" w:type="dxa"/>
            <w:vAlign w:val="top"/>
          </w:tcPr>
          <w:p>
            <w:pPr>
              <w:pStyle w:val="TableText"/>
              <w:spacing w:before="40" w:after="40" w:line="240" w:lineRule="auto"/>
              <w:jc w:val="left"/>
            </w:pPr>
            <w:r>
              <w:rPr>
                <w:sz w:val="20"/>
                <w:szCs w:val="20"/>
              </w:rPr>
              <w:t xml:space="preserve">2 · Despliegue aislado</w:t>
            </w:r>
          </w:p>
        </w:tc>
        <w:tc>
          <w:tcPr>
            <w:tcW w:w="3200" w:type="dxa"/>
            <w:vAlign w:val="top"/>
          </w:tcPr>
          <w:p>
            <w:pPr>
              <w:pStyle w:val="TableText"/>
              <w:spacing w:before="40" w:after="40" w:line="240" w:lineRule="auto"/>
              <w:jc w:val="left"/>
            </w:pPr>
            <w:r>
              <w:rPr>
                <w:sz w:val="20"/>
                <w:szCs w:val="20"/>
              </w:rPr>
              <w:t xml:space="preserve">Aísla el señuelo en redes separadas y verifica la composición efectiva desde el propio contenedor atacante</w:t>
            </w:r>
          </w:p>
        </w:tc>
        <w:tc>
          <w:tcPr>
            <w:tcW w:w="1700" w:type="dxa"/>
            <w:vAlign w:val="top"/>
          </w:tcPr>
          <w:p>
            <w:pPr>
              <w:pStyle w:val="TableText"/>
              <w:spacing w:before="40" w:after="40" w:line="240" w:lineRule="auto"/>
              <w:jc w:val="left"/>
            </w:pPr>
            <w:r>
              <w:rPr>
                <w:sz w:val="20"/>
                <w:szCs w:val="20"/>
              </w:rPr>
              <w:t xml:space="preserve">Segmentos de red verificados</w:t>
            </w:r>
          </w:p>
        </w:tc>
        <w:tc>
          <w:tcPr>
            <w:tcW w:w="1230" w:type="dxa"/>
            <w:vAlign w:val="top"/>
          </w:tcPr>
          <w:p>
            <w:pPr>
              <w:pStyle w:val="TableText"/>
              <w:spacing w:before="40" w:after="40" w:line="240" w:lineRule="auto"/>
              <w:jc w:val="right"/>
            </w:pPr>
            <w:r>
              <w:rPr>
                <w:sz w:val="20"/>
                <w:szCs w:val="20"/>
              </w:rPr>
              <w:t xml:space="preserve">4</w:t>
            </w:r>
          </w:p>
        </w:tc>
        <w:tc>
          <w:tcPr>
            <w:tcW w:w="1230" w:type="dxa"/>
            <w:vAlign w:val="top"/>
          </w:tcPr>
          <w:p>
            <w:pPr>
              <w:pStyle w:val="TableText"/>
              <w:spacing w:before="40" w:after="40" w:line="240" w:lineRule="auto"/>
              <w:jc w:val="right"/>
            </w:pPr>
            <w:r>
              <w:rPr>
                <w:sz w:val="20"/>
                <w:szCs w:val="20"/>
              </w:rPr>
              <w:t xml:space="preserve">3</w:t>
            </w:r>
          </w:p>
        </w:tc>
      </w:tr>
      <w:tr>
        <w:trPr>
          <w:cantSplit/>
        </w:trPr>
        <w:tc>
          <w:tcPr>
            <w:tcW w:w="2000" w:type="dxa"/>
            <w:vAlign w:val="top"/>
          </w:tcPr>
          <w:p>
            <w:pPr>
              <w:pStyle w:val="TableText"/>
              <w:spacing w:before="40" w:after="40" w:line="240" w:lineRule="auto"/>
              <w:jc w:val="left"/>
            </w:pPr>
            <w:r>
              <w:rPr>
                <w:sz w:val="20"/>
                <w:szCs w:val="20"/>
              </w:rPr>
              <w:t xml:space="preserve">3 · Captura, enriquecimiento y custodia</w:t>
            </w:r>
          </w:p>
        </w:tc>
        <w:tc>
          <w:tcPr>
            <w:tcW w:w="3200" w:type="dxa"/>
            <w:vAlign w:val="top"/>
          </w:tcPr>
          <w:p>
            <w:pPr>
              <w:pStyle w:val="TableText"/>
              <w:spacing w:before="40" w:after="40" w:line="240" w:lineRule="auto"/>
              <w:jc w:val="left"/>
            </w:pPr>
            <w:r>
              <w:rPr>
                <w:sz w:val="20"/>
                <w:szCs w:val="20"/>
              </w:rPr>
              <w:t xml:space="preserve">Registra las acciones del adversario con validez forense y conserva cada archivo con su huella, de manera que la evidencia del ciclo se pueda auditar</w:t>
            </w:r>
          </w:p>
        </w:tc>
        <w:tc>
          <w:tcPr>
            <w:tcW w:w="1700" w:type="dxa"/>
            <w:vAlign w:val="top"/>
          </w:tcPr>
          <w:p>
            <w:pPr>
              <w:pStyle w:val="TableText"/>
              <w:spacing w:before="40" w:after="40" w:line="240" w:lineRule="auto"/>
              <w:jc w:val="left"/>
            </w:pPr>
            <w:r>
              <w:rPr>
                <w:sz w:val="20"/>
                <w:szCs w:val="20"/>
              </w:rPr>
              <w:t xml:space="preserve">Calidad de la evidencia</w:t>
            </w:r>
          </w:p>
        </w:tc>
        <w:tc>
          <w:tcPr>
            <w:tcW w:w="1230" w:type="dxa"/>
            <w:vAlign w:val="top"/>
          </w:tcPr>
          <w:p>
            <w:pPr>
              <w:pStyle w:val="TableText"/>
              <w:spacing w:before="40" w:after="40" w:line="240" w:lineRule="auto"/>
              <w:jc w:val="right"/>
            </w:pPr>
            <w:r>
              <w:rPr>
                <w:sz w:val="20"/>
                <w:szCs w:val="20"/>
              </w:rPr>
              <w:t xml:space="preserve">100 de 100</w:t>
            </w:r>
          </w:p>
        </w:tc>
        <w:tc>
          <w:tcPr>
            <w:tcW w:w="1230" w:type="dxa"/>
            <w:vAlign w:val="top"/>
          </w:tcPr>
          <w:p>
            <w:pPr>
              <w:pStyle w:val="TableText"/>
              <w:spacing w:before="40" w:after="40" w:line="240" w:lineRule="auto"/>
              <w:jc w:val="right"/>
            </w:pPr>
            <w:r>
              <w:rPr>
                <w:sz w:val="20"/>
                <w:szCs w:val="20"/>
              </w:rPr>
              <w:t xml:space="preserve">100 de 100</w:t>
            </w:r>
          </w:p>
        </w:tc>
      </w:tr>
      <w:tr>
        <w:trPr>
          <w:cantSplit/>
        </w:trPr>
        <w:tc>
          <w:tcPr>
            <w:tcW w:w="2000" w:type="dxa"/>
            <w:vAlign w:val="top"/>
          </w:tcPr>
          <w:p>
            <w:pPr>
              <w:pStyle w:val="TableText"/>
              <w:spacing w:before="40" w:after="40" w:line="240" w:lineRule="auto"/>
              <w:jc w:val="left"/>
            </w:pPr>
            <w:r>
              <w:rPr>
                <w:sz w:val="20"/>
                <w:szCs w:val="20"/>
              </w:rPr>
              <w:t xml:space="preserve">4 · Correlación con gestión de incidentes</w:t>
            </w:r>
          </w:p>
        </w:tc>
        <w:tc>
          <w:tcPr>
            <w:tcW w:w="3200" w:type="dxa"/>
            <w:vAlign w:val="top"/>
          </w:tcPr>
          <w:p>
            <w:pPr>
              <w:pStyle w:val="TableText"/>
              <w:spacing w:before="40" w:after="40" w:line="240" w:lineRule="auto"/>
              <w:jc w:val="left"/>
            </w:pPr>
            <w:r>
              <w:rPr>
                <w:sz w:val="20"/>
                <w:szCs w:val="20"/>
              </w:rPr>
              <w:t xml:space="preserve">Vincula cada evento capturado con la alerta clasificada y con su técnica, de manera que el tiempo medido sea el del ciclo completo y no el de un registro suelto</w:t>
            </w:r>
          </w:p>
        </w:tc>
        <w:tc>
          <w:tcPr>
            <w:tcW w:w="1700" w:type="dxa"/>
            <w:vAlign w:val="top"/>
          </w:tcPr>
          <w:p>
            <w:pPr>
              <w:pStyle w:val="TableText"/>
              <w:spacing w:before="40" w:after="40" w:line="240" w:lineRule="auto"/>
              <w:jc w:val="left"/>
            </w:pPr>
            <w:r>
              <w:rPr>
                <w:sz w:val="20"/>
                <w:szCs w:val="20"/>
              </w:rPr>
              <w:t xml:space="preserve">Fuentes que registran detección</w:t>
            </w:r>
          </w:p>
        </w:tc>
        <w:tc>
          <w:tcPr>
            <w:tcW w:w="1230" w:type="dxa"/>
            <w:vAlign w:val="top"/>
          </w:tcPr>
          <w:p>
            <w:pPr>
              <w:pStyle w:val="TableText"/>
              <w:spacing w:before="40" w:after="40" w:line="240" w:lineRule="auto"/>
              <w:jc w:val="right"/>
            </w:pPr>
            <w:r>
              <w:rPr>
                <w:sz w:val="20"/>
                <w:szCs w:val="20"/>
              </w:rPr>
              <w:t xml:space="preserve">5</w:t>
            </w:r>
          </w:p>
        </w:tc>
        <w:tc>
          <w:tcPr>
            <w:tcW w:w="1230" w:type="dxa"/>
            <w:vAlign w:val="top"/>
          </w:tcPr>
          <w:p>
            <w:pPr>
              <w:pStyle w:val="TableText"/>
              <w:spacing w:before="40" w:after="40" w:line="240" w:lineRule="auto"/>
              <w:jc w:val="right"/>
            </w:pPr>
            <w:r>
              <w:rPr>
                <w:sz w:val="20"/>
                <w:szCs w:val="20"/>
              </w:rPr>
              <w:t xml:space="preserve">6</w:t>
            </w:r>
          </w:p>
        </w:tc>
      </w:tr>
      <w:tr>
        <w:trPr>
          <w:cantSplit/>
        </w:trPr>
        <w:tc>
          <w:tcPr>
            <w:tcW w:w="2000" w:type="dxa"/>
            <w:vAlign w:val="top"/>
          </w:tcPr>
          <w:p>
            <w:pPr>
              <w:pStyle w:val="TableText"/>
              <w:spacing w:before="40" w:after="40" w:line="240" w:lineRule="auto"/>
              <w:jc w:val="left"/>
            </w:pPr>
            <w:r>
              <w:rPr>
                <w:sz w:val="20"/>
                <w:szCs w:val="20"/>
              </w:rPr>
              <w:t xml:space="preserve">5 · Medición de impacto y lecciones aprendidas</w:t>
            </w:r>
          </w:p>
        </w:tc>
        <w:tc>
          <w:tcPr>
            <w:tcW w:w="3200" w:type="dxa"/>
            <w:vAlign w:val="top"/>
          </w:tcPr>
          <w:p>
            <w:pPr>
              <w:pStyle w:val="TableText"/>
              <w:spacing w:before="40" w:after="40" w:line="240" w:lineRule="auto"/>
              <w:jc w:val="left"/>
            </w:pPr>
            <w:r>
              <w:rPr>
                <w:sz w:val="20"/>
                <w:szCs w:val="20"/>
              </w:rPr>
              <w:t xml:space="preserve">Cuantifica la efectividad y convierte la medición en un proceso repetible, condición que el segundo laboratorio necesita para su esquema de iteraciones</w:t>
            </w:r>
          </w:p>
        </w:tc>
        <w:tc>
          <w:tcPr>
            <w:tcW w:w="1700" w:type="dxa"/>
            <w:vAlign w:val="top"/>
          </w:tcPr>
          <w:p>
            <w:pPr>
              <w:pStyle w:val="TableText"/>
              <w:spacing w:before="40" w:after="40" w:line="240" w:lineRule="auto"/>
              <w:jc w:val="left"/>
            </w:pPr>
            <w:r>
              <w:rPr>
                <w:sz w:val="20"/>
                <w:szCs w:val="20"/>
              </w:rPr>
              <w:t xml:space="preserve">Escenarios con medición</w:t>
            </w:r>
          </w:p>
        </w:tc>
        <w:tc>
          <w:tcPr>
            <w:tcW w:w="1230" w:type="dxa"/>
            <w:vAlign w:val="top"/>
          </w:tcPr>
          <w:p>
            <w:pPr>
              <w:pStyle w:val="TableText"/>
              <w:spacing w:before="40" w:after="40" w:line="240" w:lineRule="auto"/>
              <w:jc w:val="right"/>
            </w:pPr>
            <w:r>
              <w:rPr>
                <w:sz w:val="20"/>
                <w:szCs w:val="20"/>
              </w:rPr>
              <w:t xml:space="preserve">9 de 10</w:t>
            </w:r>
          </w:p>
        </w:tc>
        <w:tc>
          <w:tcPr>
            <w:tcW w:w="1230" w:type="dxa"/>
            <w:vAlign w:val="top"/>
          </w:tcPr>
          <w:p>
            <w:pPr>
              <w:pStyle w:val="TableText"/>
              <w:spacing w:before="40" w:after="40" w:line="240" w:lineRule="auto"/>
              <w:jc w:val="right"/>
            </w:pPr>
            <w:r>
              <w:rPr>
                <w:sz w:val="20"/>
                <w:szCs w:val="20"/>
              </w:rPr>
              <w:t xml:space="preserve">10 de 10</w:t>
            </w:r>
          </w:p>
        </w:tc>
      </w:tr>
    </w:tbl>
    <w:p>
      <w:pPr>
        <w:pStyle w:val="TableNote"/>
        <w:spacing w:before="60" w:after="240" w:line="240" w:lineRule="auto"/>
      </w:pPr>
      <w:r>
        <w:rPr>
          <w:sz w:val="20"/>
          <w:szCs w:val="20"/>
        </w:rPr>
        <w:t xml:space="preserve">Nota. </w:t>
      </w:r>
      <w:r>
        <w:rPr>
          <w:sz w:val="20"/>
          <w:szCs w:val="20"/>
        </w:rPr>
        <w:t xml:space="preserve">La columna de indicador identifica la medición que entrega cada fase de la metodología. Los valores proceden de los reportes de indicadores de cada prototipo y del archivo de subredes del Prototipo 1.</w:t>
      </w:r>
    </w:p>
    <w:p>
      <w:pPr>
        <w:pStyle w:val="Normal"/>
        <w:spacing w:after="0" w:line="480" w:lineRule="auto"/>
        <w:ind w:firstLine="720"/>
        <w:jc w:val="both"/>
      </w:pPr>
      <w:r>
        <w:t xml:space="preserve">Las cinco fases aportan en planos distintos, de manera que ninguna de ellas queda sin un resultado comprobable. La fase de despliegue aislado verifica un número diferente de segmentos en cada laboratorio, porque esa diferencia responde a la configuración del sensor de red en cada entorno. La fase de medición concentra la diferencia más clara entre los dos laboratorios, porque el primer laboratorio aporta el vacío del instrumental que el segundo corrige.</w:t>
      </w:r>
    </w:p>
    <w:p>
      <w:pPr>
        <w:pStyle w:val="Heading1"/>
        <w:keepNext/>
        <w:spacing w:before="360" w:after="120" w:line="240" w:lineRule="auto"/>
        <w:jc w:val="left"/>
        <w:outlineLvl w:val="0"/>
      </w:pPr>
      <w:r>
        <w:rPr>
          <w:b/>
          <w:bCs/>
        </w:rPr>
        <w:t xml:space="preserve">12. Registro de lecciones aprendidas</w:t>
      </w:r>
    </w:p>
    <w:p>
      <w:pPr>
        <w:pStyle w:val="Normal"/>
        <w:spacing w:after="0" w:line="480" w:lineRule="auto"/>
        <w:ind w:firstLine="720"/>
        <w:jc w:val="both"/>
      </w:pPr>
      <w:r>
        <w:t xml:space="preserve">El segundo laboratorio registra catorce lecciones entre las dos vueltas, de manera que todas ellas cuentan con una resolución documentada. Once se resuelven con su causa raíz identificada y su corrección aplicada, mientras que las tres restantes se resuelven con una mitigación, porque su causa se sitúa fuera del segmento que controla la metodología.</w:t>
      </w:r>
    </w:p>
    <w:p>
      <w:pPr>
        <w:pStyle w:val="Normal"/>
        <w:spacing w:after="0" w:line="480" w:lineRule="auto"/>
        <w:ind w:firstLine="720"/>
        <w:jc w:val="both"/>
      </w:pPr>
      <w:r>
        <w:t xml:space="preserve">La revisión sistemática de Fraunholz et al. (2018) organiza el conocimiento acumulado sobre la tecnología de engaño y sus fuentes de fallo más frecuentes, de manera que el registro de este apartado se sitúa en esa línea de trabajo. La Figura 14 muestra la distribución de las catorce lecciones según la fase en la que se registran, lo que permite ver dónde se concentra el esfuerzo de corrección.</w:t>
      </w:r>
    </w:p>
    <w:p>
      <w:pPr>
        <w:pStyle w:val="FigureCaption"/>
        <w:keepNext/>
        <w:spacing w:before="240" w:after="0" w:line="240" w:lineRule="auto"/>
      </w:pPr>
      <w:r>
        <w:rPr>
          <w:b/>
          <w:bCs/>
          <w:i w:val="false"/>
          <w:iCs w:val="false"/>
          <w:sz w:val="22"/>
          <w:szCs w:val="22"/>
        </w:rPr>
        <w:t xml:space="preserve">Figura 14</w:t>
      </w:r>
    </w:p>
    <w:p>
      <w:pPr>
        <w:pStyle w:val="FigureCaption"/>
        <w:keepNext/>
        <w:spacing w:before="0" w:after="120" w:line="240" w:lineRule="auto"/>
      </w:pPr>
      <w:r>
        <w:rPr>
          <w:sz w:val="22"/>
          <w:szCs w:val="22"/>
        </w:rPr>
        <w:t xml:space="preserve">Distribución de las catorce lecciones aprendidas según la fase de la metodología</w:t>
      </w:r>
    </w:p>
    <w:p>
      <w:pPr>
        <w:pStyle w:val="FigureImage"/>
        <w:spacing w:before="120" w:after="60" w:line="240" w:lineRule="auto"/>
        <w:jc w:val="center"/>
      </w:pPr>
      <w:r>
        <w:drawing>
          <wp:inline xmlns:wp="http://schemas.openxmlformats.org/drawingml/2006/wordprocessingDrawing" distT="0" distB="0" distL="0" distR="0">
            <wp:extent cx="5943600" cy="1504950"/>
            <wp:effectExtent l="0" t="0" r="0" b="0"/>
            <wp:docPr id="14" name="Figura 14" descr="Barras con la cantidad de lecciones aprendidas registradas en cada fase de la metod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ecciones-por-fase.png"/>
                    <pic:cNvPicPr/>
                  </pic:nvPicPr>
                  <pic:blipFill>
                    <a:blip xmlns:r="http://schemas.openxmlformats.org/officeDocument/2006/relationships" r:embed="Rea56c623b77e4b3e"/>
                    <a:stretch>
                      <a:fillRect/>
                    </a:stretch>
                  </pic:blipFill>
                  <pic:spPr>
                    <a:xfrm>
                      <a:off x="0" y="0"/>
                      <a:ext cx="5943600" cy="150495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Cada barra declara en qué fase de la metodología se registró cada una de las catorce lecciones.</w:t>
      </w:r>
    </w:p>
    <w:p>
      <w:pPr>
        <w:pStyle w:val="TableTitle"/>
        <w:keepNext/>
        <w:spacing w:before="240" w:after="0" w:line="240" w:lineRule="auto"/>
      </w:pPr>
      <w:r>
        <w:rPr>
          <w:b/>
          <w:bCs/>
          <w:i w:val="false"/>
          <w:iCs w:val="false"/>
          <w:sz w:val="22"/>
          <w:szCs w:val="22"/>
        </w:rPr>
        <w:t xml:space="preserve">Tabla 18</w:t>
      </w:r>
    </w:p>
    <w:p>
      <w:pPr>
        <w:pStyle w:val="TableTitle"/>
        <w:keepNext/>
        <w:spacing w:before="0" w:after="80" w:line="240" w:lineRule="auto"/>
      </w:pPr>
      <w:r>
        <w:rPr>
          <w:sz w:val="22"/>
          <w:szCs w:val="22"/>
        </w:rPr>
        <w:t xml:space="preserve">Detalle de las catorce lecciones aprendidas del Prototipo 2</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520"/>
        <w:gridCol w:w="700"/>
        <w:gridCol w:w="2240"/>
        <w:gridCol w:w="2400"/>
        <w:gridCol w:w="2300"/>
        <w:gridCol w:w="1200"/>
      </w:tblGrid>
      <w:tr>
        <w:trPr>
          <w:tblHeader/>
          <w:cantSplit/>
        </w:trPr>
        <w:tc>
          <w:tcPr>
            <w:tcW w:w="520" w:type="dxa"/>
            <w:tcBorders>
              <w:bottom w:val="single" w:color="000000" w:sz="6" w:space="0"/>
            </w:tcBorders>
            <w:vAlign w:val="top"/>
          </w:tcPr>
          <w:p>
            <w:pPr>
              <w:pStyle w:val="TableText"/>
              <w:spacing w:before="40" w:after="40" w:line="240" w:lineRule="auto"/>
              <w:jc w:val="left"/>
            </w:pPr>
            <w:r>
              <w:rPr>
                <w:b/>
                <w:bCs/>
                <w:sz w:val="20"/>
                <w:szCs w:val="20"/>
              </w:rPr>
              <w:t xml:space="preserve">ID</w:t>
            </w:r>
          </w:p>
        </w:tc>
        <w:tc>
          <w:tcPr>
            <w:tcW w:w="700" w:type="dxa"/>
            <w:tcBorders>
              <w:bottom w:val="single" w:color="000000" w:sz="6" w:space="0"/>
            </w:tcBorders>
            <w:vAlign w:val="top"/>
          </w:tcPr>
          <w:p>
            <w:pPr>
              <w:pStyle w:val="TableText"/>
              <w:spacing w:before="40" w:after="40" w:line="240" w:lineRule="auto"/>
              <w:jc w:val="right"/>
            </w:pPr>
            <w:r>
              <w:rPr>
                <w:b/>
                <w:bCs/>
                <w:sz w:val="20"/>
                <w:szCs w:val="20"/>
              </w:rPr>
              <w:t xml:space="preserve">Fase</w:t>
            </w:r>
          </w:p>
        </w:tc>
        <w:tc>
          <w:tcPr>
            <w:tcW w:w="2240" w:type="dxa"/>
            <w:tcBorders>
              <w:bottom w:val="single" w:color="000000" w:sz="6" w:space="0"/>
            </w:tcBorders>
            <w:vAlign w:val="top"/>
          </w:tcPr>
          <w:p>
            <w:pPr>
              <w:pStyle w:val="TableText"/>
              <w:spacing w:before="40" w:after="40" w:line="240" w:lineRule="auto"/>
              <w:jc w:val="left"/>
            </w:pPr>
            <w:r>
              <w:rPr>
                <w:b/>
                <w:bCs/>
                <w:sz w:val="20"/>
                <w:szCs w:val="20"/>
              </w:rPr>
              <w:t xml:space="preserve">Hallazgo</w:t>
            </w:r>
          </w:p>
        </w:tc>
        <w:tc>
          <w:tcPr>
            <w:tcW w:w="2400" w:type="dxa"/>
            <w:tcBorders>
              <w:bottom w:val="single" w:color="000000" w:sz="6" w:space="0"/>
            </w:tcBorders>
            <w:vAlign w:val="top"/>
          </w:tcPr>
          <w:p>
            <w:pPr>
              <w:pStyle w:val="TableText"/>
              <w:spacing w:before="40" w:after="40" w:line="240" w:lineRule="auto"/>
              <w:jc w:val="left"/>
            </w:pPr>
            <w:r>
              <w:rPr>
                <w:b/>
                <w:bCs/>
                <w:sz w:val="20"/>
                <w:szCs w:val="20"/>
              </w:rPr>
              <w:t xml:space="preserve">Causa raíz</w:t>
            </w:r>
          </w:p>
        </w:tc>
        <w:tc>
          <w:tcPr>
            <w:tcW w:w="2300" w:type="dxa"/>
            <w:tcBorders>
              <w:bottom w:val="single" w:color="000000" w:sz="6" w:space="0"/>
            </w:tcBorders>
            <w:vAlign w:val="top"/>
          </w:tcPr>
          <w:p>
            <w:pPr>
              <w:pStyle w:val="TableText"/>
              <w:spacing w:before="40" w:after="40" w:line="240" w:lineRule="auto"/>
              <w:jc w:val="left"/>
            </w:pPr>
            <w:r>
              <w:rPr>
                <w:b/>
                <w:bCs/>
                <w:sz w:val="20"/>
                <w:szCs w:val="20"/>
              </w:rPr>
              <w:t xml:space="preserve">Corrección aplicada</w:t>
            </w:r>
          </w:p>
        </w:tc>
        <w:tc>
          <w:tcPr>
            <w:tcW w:w="1200" w:type="dxa"/>
            <w:tcBorders>
              <w:bottom w:val="single" w:color="000000" w:sz="6" w:space="0"/>
            </w:tcBorders>
            <w:vAlign w:val="top"/>
          </w:tcPr>
          <w:p>
            <w:pPr>
              <w:pStyle w:val="TableText"/>
              <w:spacing w:before="40" w:after="40" w:line="240" w:lineRule="auto"/>
              <w:jc w:val="left"/>
            </w:pPr>
            <w:r>
              <w:rPr>
                <w:b/>
                <w:bCs/>
                <w:sz w:val="20"/>
                <w:szCs w:val="20"/>
              </w:rPr>
              <w:t xml:space="preserve">Estado</w:t>
            </w:r>
          </w:p>
        </w:tc>
      </w:tr>
      <w:tr>
        <w:trPr>
          <w:cantSplit/>
        </w:trPr>
        <w:tc>
          <w:tcPr>
            <w:tcW w:w="520" w:type="dxa"/>
            <w:vAlign w:val="top"/>
          </w:tcPr>
          <w:p>
            <w:pPr>
              <w:pStyle w:val="TableText"/>
              <w:spacing w:before="40" w:after="40" w:line="240" w:lineRule="auto"/>
              <w:jc w:val="left"/>
            </w:pPr>
            <w:r>
              <w:rPr>
                <w:sz w:val="20"/>
                <w:szCs w:val="20"/>
              </w:rPr>
              <w:t xml:space="preserve">L1</w:t>
            </w:r>
          </w:p>
        </w:tc>
        <w:tc>
          <w:tcPr>
            <w:tcW w:w="700" w:type="dxa"/>
            <w:vAlign w:val="top"/>
          </w:tcPr>
          <w:p>
            <w:pPr>
              <w:pStyle w:val="TableText"/>
              <w:spacing w:before="40" w:after="40" w:line="240" w:lineRule="auto"/>
              <w:jc w:val="right"/>
            </w:pPr>
            <w:r>
              <w:rPr>
                <w:sz w:val="20"/>
                <w:szCs w:val="20"/>
              </w:rPr>
              <w:t xml:space="preserve">F3</w:t>
            </w:r>
          </w:p>
        </w:tc>
        <w:tc>
          <w:tcPr>
            <w:tcW w:w="2240" w:type="dxa"/>
            <w:vAlign w:val="top"/>
          </w:tcPr>
          <w:p>
            <w:pPr>
              <w:pStyle w:val="TableText"/>
              <w:spacing w:before="40" w:after="40" w:line="240" w:lineRule="auto"/>
              <w:jc w:val="left"/>
            </w:pPr>
            <w:r>
              <w:rPr>
                <w:sz w:val="20"/>
                <w:szCs w:val="20"/>
              </w:rPr>
              <w:t xml:space="preserve">El módulo de análisis no ingería los registros de los sensores</w:t>
            </w:r>
          </w:p>
        </w:tc>
        <w:tc>
          <w:tcPr>
            <w:tcW w:w="2400" w:type="dxa"/>
            <w:vAlign w:val="top"/>
          </w:tcPr>
          <w:p>
            <w:pPr>
              <w:pStyle w:val="TableText"/>
              <w:spacing w:before="40" w:after="40" w:line="240" w:lineRule="auto"/>
              <w:jc w:val="left"/>
            </w:pPr>
            <w:r>
              <w:rPr>
                <w:sz w:val="20"/>
                <w:szCs w:val="20"/>
              </w:rPr>
              <w:t xml:space="preserve">El archivo de configuración quedaba con XML inválido porque el bloque de registro local se añadía después del elemento raíz</w:t>
            </w:r>
          </w:p>
        </w:tc>
        <w:tc>
          <w:tcPr>
            <w:tcW w:w="2300" w:type="dxa"/>
            <w:vAlign w:val="top"/>
          </w:tcPr>
          <w:p>
            <w:pPr>
              <w:pStyle w:val="TableText"/>
              <w:spacing w:before="40" w:after="40" w:line="240" w:lineRule="auto"/>
              <w:jc w:val="left"/>
            </w:pPr>
            <w:r>
              <w:rPr>
                <w:sz w:val="20"/>
                <w:szCs w:val="20"/>
              </w:rPr>
              <w:t xml:space="preserve">Script que inserta los registros dentro de la raíz y absorbe el bloque sobrante</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L2</w:t>
            </w:r>
          </w:p>
        </w:tc>
        <w:tc>
          <w:tcPr>
            <w:tcW w:w="700" w:type="dxa"/>
            <w:vAlign w:val="top"/>
          </w:tcPr>
          <w:p>
            <w:pPr>
              <w:pStyle w:val="TableText"/>
              <w:spacing w:before="40" w:after="40" w:line="240" w:lineRule="auto"/>
              <w:jc w:val="right"/>
            </w:pPr>
            <w:r>
              <w:rPr>
                <w:sz w:val="20"/>
                <w:szCs w:val="20"/>
              </w:rPr>
              <w:t xml:space="preserve">F3</w:t>
            </w:r>
          </w:p>
        </w:tc>
        <w:tc>
          <w:tcPr>
            <w:tcW w:w="2240" w:type="dxa"/>
            <w:vAlign w:val="top"/>
          </w:tcPr>
          <w:p>
            <w:pPr>
              <w:pStyle w:val="TableText"/>
              <w:spacing w:before="40" w:after="40" w:line="240" w:lineRule="auto"/>
              <w:jc w:val="left"/>
            </w:pPr>
            <w:r>
              <w:rPr>
                <w:sz w:val="20"/>
                <w:szCs w:val="20"/>
              </w:rPr>
              <w:t xml:space="preserve">Las alertas nunca llegaban al índice</w:t>
            </w:r>
          </w:p>
        </w:tc>
        <w:tc>
          <w:tcPr>
            <w:tcW w:w="2400" w:type="dxa"/>
            <w:vAlign w:val="top"/>
          </w:tcPr>
          <w:p>
            <w:pPr>
              <w:pStyle w:val="TableText"/>
              <w:spacing w:before="40" w:after="40" w:line="240" w:lineRule="auto"/>
              <w:jc w:val="left"/>
            </w:pPr>
            <w:r>
              <w:rPr>
                <w:sz w:val="20"/>
                <w:szCs w:val="20"/>
              </w:rPr>
              <w:t xml:space="preserve">El recolector incluye un campo que el motor de búsqueda de destino rechaza en cada envío masivo</w:t>
            </w:r>
          </w:p>
        </w:tc>
        <w:tc>
          <w:tcPr>
            <w:tcW w:w="2300" w:type="dxa"/>
            <w:vAlign w:val="top"/>
          </w:tcPr>
          <w:p>
            <w:pPr>
              <w:pStyle w:val="TableText"/>
              <w:spacing w:before="40" w:after="40" w:line="240" w:lineRule="auto"/>
              <w:jc w:val="left"/>
            </w:pPr>
            <w:r>
              <w:rPr>
                <w:sz w:val="20"/>
                <w:szCs w:val="20"/>
              </w:rPr>
              <w:t xml:space="preserve">Publicador propio que indexa las alertas por HTTP sin ese campo</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L3</w:t>
            </w:r>
          </w:p>
        </w:tc>
        <w:tc>
          <w:tcPr>
            <w:tcW w:w="700" w:type="dxa"/>
            <w:vAlign w:val="top"/>
          </w:tcPr>
          <w:p>
            <w:pPr>
              <w:pStyle w:val="TableText"/>
              <w:spacing w:before="40" w:after="40" w:line="240" w:lineRule="auto"/>
              <w:jc w:val="right"/>
            </w:pPr>
            <w:r>
              <w:rPr>
                <w:sz w:val="20"/>
                <w:szCs w:val="20"/>
              </w:rPr>
              <w:t xml:space="preserve">F2</w:t>
            </w:r>
          </w:p>
        </w:tc>
        <w:tc>
          <w:tcPr>
            <w:tcW w:w="2240" w:type="dxa"/>
            <w:vAlign w:val="top"/>
          </w:tcPr>
          <w:p>
            <w:pPr>
              <w:pStyle w:val="TableText"/>
              <w:spacing w:before="40" w:after="40" w:line="240" w:lineRule="auto"/>
              <w:jc w:val="left"/>
            </w:pPr>
            <w:r>
              <w:rPr>
                <w:sz w:val="20"/>
                <w:szCs w:val="20"/>
              </w:rPr>
              <w:t xml:space="preserve">El gestor de registros se reiniciaba cada dos minutos</w:t>
            </w:r>
          </w:p>
        </w:tc>
        <w:tc>
          <w:tcPr>
            <w:tcW w:w="2400" w:type="dxa"/>
            <w:vAlign w:val="top"/>
          </w:tcPr>
          <w:p>
            <w:pPr>
              <w:pStyle w:val="TableText"/>
              <w:spacing w:before="40" w:after="40" w:line="240" w:lineRule="auto"/>
              <w:jc w:val="left"/>
            </w:pPr>
            <w:r>
              <w:rPr>
                <w:sz w:val="20"/>
                <w:szCs w:val="20"/>
              </w:rPr>
              <w:t xml:space="preserve">El recolector entra en pánico al negociar el canal cifrado y el supervisor interpreta la caída como fin del contenedor</w:t>
            </w:r>
          </w:p>
        </w:tc>
        <w:tc>
          <w:tcPr>
            <w:tcW w:w="2300" w:type="dxa"/>
            <w:vAlign w:val="top"/>
          </w:tcPr>
          <w:p>
            <w:pPr>
              <w:pStyle w:val="TableText"/>
              <w:spacing w:before="40" w:after="40" w:line="240" w:lineRule="auto"/>
              <w:jc w:val="left"/>
            </w:pPr>
            <w:r>
              <w:rPr>
                <w:sz w:val="20"/>
                <w:szCs w:val="20"/>
              </w:rPr>
              <w:t xml:space="preserve">El recolector queda con salida por consola y un lector inerte</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L4</w:t>
            </w:r>
          </w:p>
        </w:tc>
        <w:tc>
          <w:tcPr>
            <w:tcW w:w="700" w:type="dxa"/>
            <w:vAlign w:val="top"/>
          </w:tcPr>
          <w:p>
            <w:pPr>
              <w:pStyle w:val="TableText"/>
              <w:spacing w:before="40" w:after="40" w:line="240" w:lineRule="auto"/>
              <w:jc w:val="right"/>
            </w:pPr>
            <w:r>
              <w:rPr>
                <w:sz w:val="20"/>
                <w:szCs w:val="20"/>
              </w:rPr>
              <w:t xml:space="preserve">F3</w:t>
            </w:r>
          </w:p>
        </w:tc>
        <w:tc>
          <w:tcPr>
            <w:tcW w:w="2240" w:type="dxa"/>
            <w:vAlign w:val="top"/>
          </w:tcPr>
          <w:p>
            <w:pPr>
              <w:pStyle w:val="TableText"/>
              <w:spacing w:before="40" w:after="40" w:line="240" w:lineRule="auto"/>
              <w:jc w:val="left"/>
            </w:pPr>
            <w:r>
              <w:rPr>
                <w:sz w:val="20"/>
                <w:szCs w:val="20"/>
              </w:rPr>
              <w:t xml:space="preserve">El motor de red seguía detectando pero el gestor dejó de alertar</w:t>
            </w:r>
          </w:p>
        </w:tc>
        <w:tc>
          <w:tcPr>
            <w:tcW w:w="2400" w:type="dxa"/>
            <w:vAlign w:val="top"/>
          </w:tcPr>
          <w:p>
            <w:pPr>
              <w:pStyle w:val="TableText"/>
              <w:spacing w:before="40" w:after="40" w:line="240" w:lineRule="auto"/>
              <w:jc w:val="left"/>
            </w:pPr>
            <w:r>
              <w:rPr>
                <w:sz w:val="20"/>
                <w:szCs w:val="20"/>
              </w:rPr>
              <w:t xml:space="preserve">El lector conserva la posición de lectura y el desplazamiento queda desfasado</w:t>
            </w:r>
          </w:p>
        </w:tc>
        <w:tc>
          <w:tcPr>
            <w:tcW w:w="2300" w:type="dxa"/>
            <w:vAlign w:val="top"/>
          </w:tcPr>
          <w:p>
            <w:pPr>
              <w:pStyle w:val="TableText"/>
              <w:spacing w:before="40" w:after="40" w:line="240" w:lineRule="auto"/>
              <w:jc w:val="left"/>
            </w:pPr>
            <w:r>
              <w:rPr>
                <w:sz w:val="20"/>
                <w:szCs w:val="20"/>
              </w:rPr>
              <w:t xml:space="preserve">Script que trunca el archivo para forzar el reinicio de lectura</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L5</w:t>
            </w:r>
          </w:p>
        </w:tc>
        <w:tc>
          <w:tcPr>
            <w:tcW w:w="700" w:type="dxa"/>
            <w:vAlign w:val="top"/>
          </w:tcPr>
          <w:p>
            <w:pPr>
              <w:pStyle w:val="TableText"/>
              <w:spacing w:before="40" w:after="40" w:line="240" w:lineRule="auto"/>
              <w:jc w:val="right"/>
            </w:pPr>
            <w:r>
              <w:rPr>
                <w:sz w:val="20"/>
                <w:szCs w:val="20"/>
              </w:rPr>
              <w:t xml:space="preserve">F5</w:t>
            </w:r>
          </w:p>
        </w:tc>
        <w:tc>
          <w:tcPr>
            <w:tcW w:w="2240" w:type="dxa"/>
            <w:vAlign w:val="top"/>
          </w:tcPr>
          <w:p>
            <w:pPr>
              <w:pStyle w:val="TableText"/>
              <w:spacing w:before="40" w:after="40" w:line="240" w:lineRule="auto"/>
              <w:jc w:val="left"/>
            </w:pPr>
            <w:r>
              <w:rPr>
                <w:sz w:val="20"/>
                <w:szCs w:val="20"/>
              </w:rPr>
              <w:t xml:space="preserve">Los paneles mostraban ausencia de datos</w:t>
            </w:r>
          </w:p>
        </w:tc>
        <w:tc>
          <w:tcPr>
            <w:tcW w:w="2400" w:type="dxa"/>
            <w:vAlign w:val="top"/>
          </w:tcPr>
          <w:p>
            <w:pPr>
              <w:pStyle w:val="TableText"/>
              <w:spacing w:before="40" w:after="40" w:line="240" w:lineRule="auto"/>
              <w:jc w:val="left"/>
            </w:pPr>
            <w:r>
              <w:rPr>
                <w:sz w:val="20"/>
                <w:szCs w:val="20"/>
              </w:rPr>
              <w:t xml:space="preserve">Incompatibilidad de versión entre el generador de consultas y el motor de búsqueda</w:t>
            </w:r>
          </w:p>
        </w:tc>
        <w:tc>
          <w:tcPr>
            <w:tcW w:w="2300" w:type="dxa"/>
            <w:vAlign w:val="top"/>
          </w:tcPr>
          <w:p>
            <w:pPr>
              <w:pStyle w:val="TableText"/>
              <w:spacing w:before="40" w:after="40" w:line="240" w:lineRule="auto"/>
              <w:jc w:val="left"/>
            </w:pPr>
            <w:r>
              <w:rPr>
                <w:sz w:val="20"/>
                <w:szCs w:val="20"/>
              </w:rPr>
              <w:t xml:space="preserve">Script que convierte las diecisiete consultas del tablero a un formato admitido</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L6</w:t>
            </w:r>
          </w:p>
        </w:tc>
        <w:tc>
          <w:tcPr>
            <w:tcW w:w="700" w:type="dxa"/>
            <w:vAlign w:val="top"/>
          </w:tcPr>
          <w:p>
            <w:pPr>
              <w:pStyle w:val="TableText"/>
              <w:spacing w:before="40" w:after="40" w:line="240" w:lineRule="auto"/>
              <w:jc w:val="right"/>
            </w:pPr>
            <w:r>
              <w:rPr>
                <w:sz w:val="20"/>
                <w:szCs w:val="20"/>
              </w:rPr>
              <w:t xml:space="preserve">F5</w:t>
            </w:r>
          </w:p>
        </w:tc>
        <w:tc>
          <w:tcPr>
            <w:tcW w:w="2240" w:type="dxa"/>
            <w:vAlign w:val="top"/>
          </w:tcPr>
          <w:p>
            <w:pPr>
              <w:pStyle w:val="TableText"/>
              <w:spacing w:before="40" w:after="40" w:line="240" w:lineRule="auto"/>
              <w:jc w:val="left"/>
            </w:pPr>
            <w:r>
              <w:rPr>
                <w:sz w:val="20"/>
                <w:szCs w:val="20"/>
              </w:rPr>
              <w:t xml:space="preserve">Los paneles devolvían cero con documentos indexados</w:t>
            </w:r>
          </w:p>
        </w:tc>
        <w:tc>
          <w:tcPr>
            <w:tcW w:w="2400" w:type="dxa"/>
            <w:vAlign w:val="top"/>
          </w:tcPr>
          <w:p>
            <w:pPr>
              <w:pStyle w:val="TableText"/>
              <w:spacing w:before="40" w:after="40" w:line="240" w:lineRule="auto"/>
              <w:jc w:val="left"/>
            </w:pPr>
            <w:r>
              <w:rPr>
                <w:sz w:val="20"/>
                <w:szCs w:val="20"/>
              </w:rPr>
              <w:t xml:space="preserve">Las alertas llevan el campo de tiempo con otro nombre del que usan el patrón de índice</w:t>
            </w:r>
          </w:p>
        </w:tc>
        <w:tc>
          <w:tcPr>
            <w:tcW w:w="2300" w:type="dxa"/>
            <w:vAlign w:val="top"/>
          </w:tcPr>
          <w:p>
            <w:pPr>
              <w:pStyle w:val="TableText"/>
              <w:spacing w:before="40" w:after="40" w:line="240" w:lineRule="auto"/>
              <w:jc w:val="left"/>
            </w:pPr>
            <w:r>
              <w:rPr>
                <w:sz w:val="20"/>
                <w:szCs w:val="20"/>
              </w:rPr>
              <w:t xml:space="preserve">El publicador copia el campo de tiempo al nombre esperado y añade la severidad</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L7</w:t>
            </w:r>
          </w:p>
        </w:tc>
        <w:tc>
          <w:tcPr>
            <w:tcW w:w="700" w:type="dxa"/>
            <w:vAlign w:val="top"/>
          </w:tcPr>
          <w:p>
            <w:pPr>
              <w:pStyle w:val="TableText"/>
              <w:spacing w:before="40" w:after="40" w:line="240" w:lineRule="auto"/>
              <w:jc w:val="right"/>
            </w:pPr>
            <w:r>
              <w:rPr>
                <w:sz w:val="20"/>
                <w:szCs w:val="20"/>
              </w:rPr>
              <w:t xml:space="preserve">F2</w:t>
            </w:r>
          </w:p>
        </w:tc>
        <w:tc>
          <w:tcPr>
            <w:tcW w:w="2240" w:type="dxa"/>
            <w:vAlign w:val="top"/>
          </w:tcPr>
          <w:p>
            <w:pPr>
              <w:pStyle w:val="TableText"/>
              <w:spacing w:before="40" w:after="40" w:line="240" w:lineRule="auto"/>
              <w:jc w:val="left"/>
            </w:pPr>
            <w:r>
              <w:rPr>
                <w:sz w:val="20"/>
                <w:szCs w:val="20"/>
              </w:rPr>
              <w:t xml:space="preserve">Un fallo puntual de arranque tumbaba el laboratorio entero</w:t>
            </w:r>
          </w:p>
        </w:tc>
        <w:tc>
          <w:tcPr>
            <w:tcW w:w="2400" w:type="dxa"/>
            <w:vAlign w:val="top"/>
          </w:tcPr>
          <w:p>
            <w:pPr>
              <w:pStyle w:val="TableText"/>
              <w:spacing w:before="40" w:after="40" w:line="240" w:lineRule="auto"/>
              <w:jc w:val="left"/>
            </w:pPr>
            <w:r>
              <w:rPr>
                <w:sz w:val="20"/>
                <w:szCs w:val="20"/>
              </w:rPr>
              <w:t xml:space="preserve">Los scripts de arranque usaban modo de interrupción ante error</w:t>
            </w:r>
          </w:p>
        </w:tc>
        <w:tc>
          <w:tcPr>
            <w:tcW w:w="2300" w:type="dxa"/>
            <w:vAlign w:val="top"/>
          </w:tcPr>
          <w:p>
            <w:pPr>
              <w:pStyle w:val="TableText"/>
              <w:spacing w:before="40" w:after="40" w:line="240" w:lineRule="auto"/>
              <w:jc w:val="left"/>
            </w:pPr>
            <w:r>
              <w:rPr>
                <w:sz w:val="20"/>
                <w:szCs w:val="20"/>
              </w:rPr>
              <w:t xml:space="preserve">Los tres scripts restauran la copia de seguridad y terminan siempre con éxito</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L8</w:t>
            </w:r>
          </w:p>
        </w:tc>
        <w:tc>
          <w:tcPr>
            <w:tcW w:w="700" w:type="dxa"/>
            <w:vAlign w:val="top"/>
          </w:tcPr>
          <w:p>
            <w:pPr>
              <w:pStyle w:val="TableText"/>
              <w:spacing w:before="40" w:after="40" w:line="240" w:lineRule="auto"/>
              <w:jc w:val="right"/>
            </w:pPr>
            <w:r>
              <w:rPr>
                <w:sz w:val="20"/>
                <w:szCs w:val="20"/>
              </w:rPr>
              <w:t xml:space="preserve">F3</w:t>
            </w:r>
          </w:p>
        </w:tc>
        <w:tc>
          <w:tcPr>
            <w:tcW w:w="2240" w:type="dxa"/>
            <w:vAlign w:val="top"/>
          </w:tcPr>
          <w:p>
            <w:pPr>
              <w:pStyle w:val="TableText"/>
              <w:spacing w:before="40" w:after="40" w:line="240" w:lineRule="auto"/>
              <w:jc w:val="left"/>
            </w:pPr>
            <w:r>
              <w:rPr>
                <w:sz w:val="20"/>
                <w:szCs w:val="20"/>
              </w:rPr>
              <w:t xml:space="preserve">El tablero nativo cargaba el shell pero no renderizaba las vistas</w:t>
            </w:r>
          </w:p>
        </w:tc>
        <w:tc>
          <w:tcPr>
            <w:tcW w:w="2400" w:type="dxa"/>
            <w:vAlign w:val="top"/>
          </w:tcPr>
          <w:p>
            <w:pPr>
              <w:pStyle w:val="TableText"/>
              <w:spacing w:before="40" w:after="40" w:line="240" w:lineRule="auto"/>
              <w:jc w:val="left"/>
            </w:pPr>
            <w:r>
              <w:rPr>
                <w:sz w:val="20"/>
                <w:szCs w:val="20"/>
              </w:rPr>
              <w:t xml:space="preserve">La imagen local del producto aparece incompleta</w:t>
            </w:r>
          </w:p>
        </w:tc>
        <w:tc>
          <w:tcPr>
            <w:tcW w:w="2300" w:type="dxa"/>
            <w:vAlign w:val="top"/>
          </w:tcPr>
          <w:p>
            <w:pPr>
              <w:pStyle w:val="TableText"/>
              <w:spacing w:before="40" w:after="40" w:line="240" w:lineRule="auto"/>
              <w:jc w:val="left"/>
            </w:pPr>
            <w:r>
              <w:rPr>
                <w:sz w:val="20"/>
                <w:szCs w:val="20"/>
              </w:rPr>
              <w:t xml:space="preserve">Se aplica una mitigación documentada que sustituye la visualización por el tablero de métricas</w:t>
            </w:r>
          </w:p>
        </w:tc>
        <w:tc>
          <w:tcPr>
            <w:tcW w:w="1200" w:type="dxa"/>
            <w:vAlign w:val="top"/>
          </w:tcPr>
          <w:p>
            <w:pPr>
              <w:pStyle w:val="TableText"/>
              <w:spacing w:before="40" w:after="40" w:line="240" w:lineRule="auto"/>
              <w:jc w:val="left"/>
            </w:pPr>
            <w:r>
              <w:rPr>
                <w:sz w:val="20"/>
                <w:szCs w:val="20"/>
              </w:rPr>
              <w:t xml:space="preserve">Con mitigación</w:t>
            </w:r>
          </w:p>
        </w:tc>
      </w:tr>
      <w:tr>
        <w:trPr>
          <w:cantSplit/>
        </w:trPr>
        <w:tc>
          <w:tcPr>
            <w:tcW w:w="520" w:type="dxa"/>
            <w:vAlign w:val="top"/>
          </w:tcPr>
          <w:p>
            <w:pPr>
              <w:pStyle w:val="TableText"/>
              <w:spacing w:before="40" w:after="40" w:line="240" w:lineRule="auto"/>
              <w:jc w:val="left"/>
            </w:pPr>
            <w:r>
              <w:rPr>
                <w:sz w:val="20"/>
                <w:szCs w:val="20"/>
              </w:rPr>
              <w:t xml:space="preserve">L9</w:t>
            </w:r>
          </w:p>
        </w:tc>
        <w:tc>
          <w:tcPr>
            <w:tcW w:w="700" w:type="dxa"/>
            <w:vAlign w:val="top"/>
          </w:tcPr>
          <w:p>
            <w:pPr>
              <w:pStyle w:val="TableText"/>
              <w:spacing w:before="40" w:after="40" w:line="240" w:lineRule="auto"/>
              <w:jc w:val="right"/>
            </w:pPr>
            <w:r>
              <w:rPr>
                <w:sz w:val="20"/>
                <w:szCs w:val="20"/>
              </w:rPr>
              <w:t xml:space="preserve">F4</w:t>
            </w:r>
          </w:p>
        </w:tc>
        <w:tc>
          <w:tcPr>
            <w:tcW w:w="2240" w:type="dxa"/>
            <w:vAlign w:val="top"/>
          </w:tcPr>
          <w:p>
            <w:pPr>
              <w:pStyle w:val="TableText"/>
              <w:spacing w:before="40" w:after="40" w:line="240" w:lineRule="auto"/>
              <w:jc w:val="left"/>
            </w:pPr>
            <w:r>
              <w:rPr>
                <w:sz w:val="20"/>
                <w:szCs w:val="20"/>
              </w:rPr>
              <w:t xml:space="preserve">La plataforma de incidentes redirigía toda ruta al módulo de organizaciones</w:t>
            </w:r>
          </w:p>
        </w:tc>
        <w:tc>
          <w:tcPr>
            <w:tcW w:w="2400" w:type="dxa"/>
            <w:vAlign w:val="top"/>
          </w:tcPr>
          <w:p>
            <w:pPr>
              <w:pStyle w:val="TableText"/>
              <w:spacing w:before="40" w:after="40" w:line="240" w:lineRule="auto"/>
              <w:jc w:val="left"/>
            </w:pPr>
            <w:r>
              <w:rPr>
                <w:sz w:val="20"/>
                <w:szCs w:val="20"/>
              </w:rPr>
              <w:t xml:space="preserve">Estado de licencia en prueba del producto de gestión de incidentes</w:t>
            </w:r>
          </w:p>
        </w:tc>
        <w:tc>
          <w:tcPr>
            <w:tcW w:w="2300" w:type="dxa"/>
            <w:vAlign w:val="top"/>
          </w:tcPr>
          <w:p>
            <w:pPr>
              <w:pStyle w:val="TableText"/>
              <w:spacing w:before="40" w:after="40" w:line="240" w:lineRule="auto"/>
              <w:jc w:val="left"/>
            </w:pPr>
            <w:r>
              <w:rPr>
                <w:sz w:val="20"/>
                <w:szCs w:val="20"/>
              </w:rPr>
              <w:t xml:space="preserve">Se aplica una mitigación documentada que deja el flujo verificado hasta la generación de la alerta</w:t>
            </w:r>
          </w:p>
        </w:tc>
        <w:tc>
          <w:tcPr>
            <w:tcW w:w="1200" w:type="dxa"/>
            <w:vAlign w:val="top"/>
          </w:tcPr>
          <w:p>
            <w:pPr>
              <w:pStyle w:val="TableText"/>
              <w:spacing w:before="40" w:after="40" w:line="240" w:lineRule="auto"/>
              <w:jc w:val="left"/>
            </w:pPr>
            <w:r>
              <w:rPr>
                <w:sz w:val="20"/>
                <w:szCs w:val="20"/>
              </w:rPr>
              <w:t xml:space="preserve">Con mitigación</w:t>
            </w:r>
          </w:p>
        </w:tc>
      </w:tr>
      <w:tr>
        <w:trPr>
          <w:cantSplit/>
        </w:trPr>
        <w:tc>
          <w:tcPr>
            <w:tcW w:w="520" w:type="dxa"/>
            <w:vAlign w:val="top"/>
          </w:tcPr>
          <w:p>
            <w:pPr>
              <w:pStyle w:val="TableText"/>
              <w:spacing w:before="40" w:after="40" w:line="240" w:lineRule="auto"/>
              <w:jc w:val="left"/>
            </w:pPr>
            <w:r>
              <w:rPr>
                <w:sz w:val="20"/>
                <w:szCs w:val="20"/>
              </w:rPr>
              <w:t xml:space="preserve">L10</w:t>
            </w:r>
          </w:p>
        </w:tc>
        <w:tc>
          <w:tcPr>
            <w:tcW w:w="700" w:type="dxa"/>
            <w:vAlign w:val="top"/>
          </w:tcPr>
          <w:p>
            <w:pPr>
              <w:pStyle w:val="TableText"/>
              <w:spacing w:before="40" w:after="40" w:line="240" w:lineRule="auto"/>
              <w:jc w:val="right"/>
            </w:pPr>
            <w:r>
              <w:rPr>
                <w:sz w:val="20"/>
                <w:szCs w:val="20"/>
              </w:rPr>
              <w:t xml:space="preserve">F2</w:t>
            </w:r>
          </w:p>
        </w:tc>
        <w:tc>
          <w:tcPr>
            <w:tcW w:w="2240" w:type="dxa"/>
            <w:vAlign w:val="top"/>
          </w:tcPr>
          <w:p>
            <w:pPr>
              <w:pStyle w:val="TableText"/>
              <w:spacing w:before="40" w:after="40" w:line="240" w:lineRule="auto"/>
              <w:jc w:val="left"/>
            </w:pPr>
            <w:r>
              <w:rPr>
                <w:sz w:val="20"/>
                <w:szCs w:val="20"/>
              </w:rPr>
              <w:t xml:space="preserve">El segmento declarado para los sensores nunca llegaba a crearse</w:t>
            </w:r>
          </w:p>
        </w:tc>
        <w:tc>
          <w:tcPr>
            <w:tcW w:w="2400" w:type="dxa"/>
            <w:vAlign w:val="top"/>
          </w:tcPr>
          <w:p>
            <w:pPr>
              <w:pStyle w:val="TableText"/>
              <w:spacing w:before="40" w:after="40" w:line="240" w:lineRule="auto"/>
              <w:jc w:val="left"/>
            </w:pPr>
            <w:r>
              <w:rPr>
                <w:sz w:val="20"/>
                <w:szCs w:val="20"/>
              </w:rPr>
              <w:t xml:space="preserve">Los sensores se ejecutan en modo host y el segmento declarado no se materializa</w:t>
            </w:r>
          </w:p>
        </w:tc>
        <w:tc>
          <w:tcPr>
            <w:tcW w:w="2300" w:type="dxa"/>
            <w:vAlign w:val="top"/>
          </w:tcPr>
          <w:p>
            <w:pPr>
              <w:pStyle w:val="TableText"/>
              <w:spacing w:before="40" w:after="40" w:line="240" w:lineRule="auto"/>
              <w:jc w:val="left"/>
            </w:pPr>
            <w:r>
              <w:rPr>
                <w:sz w:val="20"/>
                <w:szCs w:val="20"/>
              </w:rPr>
              <w:t xml:space="preserve">Se aplica una mitigación documentada que verifica la composición efectiva en tres segmentos</w:t>
            </w:r>
          </w:p>
        </w:tc>
        <w:tc>
          <w:tcPr>
            <w:tcW w:w="1200" w:type="dxa"/>
            <w:vAlign w:val="top"/>
          </w:tcPr>
          <w:p>
            <w:pPr>
              <w:pStyle w:val="TableText"/>
              <w:spacing w:before="40" w:after="40" w:line="240" w:lineRule="auto"/>
              <w:jc w:val="left"/>
            </w:pPr>
            <w:r>
              <w:rPr>
                <w:sz w:val="20"/>
                <w:szCs w:val="20"/>
              </w:rPr>
              <w:t xml:space="preserve">Con mitigación</w:t>
            </w:r>
          </w:p>
        </w:tc>
      </w:tr>
      <w:tr>
        <w:trPr>
          <w:cantSplit/>
        </w:trPr>
        <w:tc>
          <w:tcPr>
            <w:tcW w:w="520" w:type="dxa"/>
            <w:vAlign w:val="top"/>
          </w:tcPr>
          <w:p>
            <w:pPr>
              <w:pStyle w:val="TableText"/>
              <w:spacing w:before="40" w:after="40" w:line="240" w:lineRule="auto"/>
              <w:jc w:val="left"/>
            </w:pPr>
            <w:r>
              <w:rPr>
                <w:sz w:val="20"/>
                <w:szCs w:val="20"/>
              </w:rPr>
              <w:t xml:space="preserve">L11</w:t>
            </w:r>
          </w:p>
        </w:tc>
        <w:tc>
          <w:tcPr>
            <w:tcW w:w="700" w:type="dxa"/>
            <w:vAlign w:val="top"/>
          </w:tcPr>
          <w:p>
            <w:pPr>
              <w:pStyle w:val="TableText"/>
              <w:spacing w:before="40" w:after="40" w:line="240" w:lineRule="auto"/>
              <w:jc w:val="right"/>
            </w:pPr>
            <w:r>
              <w:rPr>
                <w:sz w:val="20"/>
                <w:szCs w:val="20"/>
              </w:rPr>
              <w:t xml:space="preserve">F5</w:t>
            </w:r>
          </w:p>
        </w:tc>
        <w:tc>
          <w:tcPr>
            <w:tcW w:w="2240" w:type="dxa"/>
            <w:vAlign w:val="top"/>
          </w:tcPr>
          <w:p>
            <w:pPr>
              <w:pStyle w:val="TableText"/>
              <w:spacing w:before="40" w:after="40" w:line="240" w:lineRule="auto"/>
              <w:jc w:val="left"/>
            </w:pPr>
            <w:r>
              <w:rPr>
                <w:sz w:val="20"/>
                <w:szCs w:val="20"/>
              </w:rPr>
              <w:t xml:space="preserve">Seis escenarios quedaban fuera de la referencia pese a que el señuelo registró el ataque</w:t>
            </w:r>
          </w:p>
        </w:tc>
        <w:tc>
          <w:tcPr>
            <w:tcW w:w="2400" w:type="dxa"/>
            <w:vAlign w:val="top"/>
          </w:tcPr>
          <w:p>
            <w:pPr>
              <w:pStyle w:val="TableText"/>
              <w:spacing w:before="40" w:after="40" w:line="240" w:lineRule="auto"/>
              <w:jc w:val="left"/>
            </w:pPr>
            <w:r>
              <w:rPr>
                <w:sz w:val="20"/>
                <w:szCs w:val="20"/>
              </w:rPr>
              <w:t xml:space="preserve">El calculador leía una sola clave para atribuir la detección y cada escenario la escribía con un nombre distinto</w:t>
            </w:r>
          </w:p>
        </w:tc>
        <w:tc>
          <w:tcPr>
            <w:tcW w:w="2300" w:type="dxa"/>
            <w:vAlign w:val="top"/>
          </w:tcPr>
          <w:p>
            <w:pPr>
              <w:pStyle w:val="TableText"/>
              <w:spacing w:before="40" w:after="40" w:line="240" w:lineRule="auto"/>
              <w:jc w:val="left"/>
            </w:pPr>
            <w:r>
              <w:rPr>
                <w:sz w:val="20"/>
                <w:szCs w:val="20"/>
              </w:rPr>
              <w:t xml:space="preserve">La función acepta las tres variantes de clave y los escenarios sin objetivo lo declaran</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L12</w:t>
            </w:r>
          </w:p>
        </w:tc>
        <w:tc>
          <w:tcPr>
            <w:tcW w:w="700" w:type="dxa"/>
            <w:vAlign w:val="top"/>
          </w:tcPr>
          <w:p>
            <w:pPr>
              <w:pStyle w:val="TableText"/>
              <w:spacing w:before="40" w:after="40" w:line="240" w:lineRule="auto"/>
              <w:jc w:val="right"/>
            </w:pPr>
            <w:r>
              <w:rPr>
                <w:sz w:val="20"/>
                <w:szCs w:val="20"/>
              </w:rPr>
              <w:t xml:space="preserve">F2</w:t>
            </w:r>
          </w:p>
        </w:tc>
        <w:tc>
          <w:tcPr>
            <w:tcW w:w="2240" w:type="dxa"/>
            <w:vAlign w:val="top"/>
          </w:tcPr>
          <w:p>
            <w:pPr>
              <w:pStyle w:val="TableText"/>
              <w:spacing w:before="40" w:after="40" w:line="240" w:lineRule="auto"/>
              <w:jc w:val="left"/>
            </w:pPr>
            <w:r>
              <w:rPr>
                <w:sz w:val="20"/>
                <w:szCs w:val="20"/>
              </w:rPr>
              <w:t xml:space="preserve">La campaña se bloqueaba en el cuarto escenario</w:t>
            </w:r>
          </w:p>
        </w:tc>
        <w:tc>
          <w:tcPr>
            <w:tcW w:w="2400" w:type="dxa"/>
            <w:vAlign w:val="top"/>
          </w:tcPr>
          <w:p>
            <w:pPr>
              <w:pStyle w:val="TableText"/>
              <w:spacing w:before="40" w:after="40" w:line="240" w:lineRule="auto"/>
              <w:jc w:val="left"/>
            </w:pPr>
            <w:r>
              <w:rPr>
                <w:sz w:val="20"/>
                <w:szCs w:val="20"/>
              </w:rPr>
              <w:t xml:space="preserve">Las herramientas de ataque se ejecutaban sin límite de tiempo</w:t>
            </w:r>
          </w:p>
        </w:tc>
        <w:tc>
          <w:tcPr>
            <w:tcW w:w="2300" w:type="dxa"/>
            <w:vAlign w:val="top"/>
          </w:tcPr>
          <w:p>
            <w:pPr>
              <w:pStyle w:val="TableText"/>
              <w:spacing w:before="40" w:after="40" w:line="240" w:lineRule="auto"/>
              <w:jc w:val="left"/>
            </w:pPr>
            <w:r>
              <w:rPr>
                <w:sz w:val="20"/>
                <w:szCs w:val="20"/>
              </w:rPr>
              <w:t xml:space="preserve">Se fija un límite de tiempo en las herramientas y en sus conexiones</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L13</w:t>
            </w:r>
          </w:p>
        </w:tc>
        <w:tc>
          <w:tcPr>
            <w:tcW w:w="700" w:type="dxa"/>
            <w:vAlign w:val="top"/>
          </w:tcPr>
          <w:p>
            <w:pPr>
              <w:pStyle w:val="TableText"/>
              <w:spacing w:before="40" w:after="40" w:line="240" w:lineRule="auto"/>
              <w:jc w:val="right"/>
            </w:pPr>
            <w:r>
              <w:rPr>
                <w:sz w:val="20"/>
                <w:szCs w:val="20"/>
              </w:rPr>
              <w:t xml:space="preserve">F2</w:t>
            </w:r>
          </w:p>
        </w:tc>
        <w:tc>
          <w:tcPr>
            <w:tcW w:w="2240" w:type="dxa"/>
            <w:vAlign w:val="top"/>
          </w:tcPr>
          <w:p>
            <w:pPr>
              <w:pStyle w:val="TableText"/>
              <w:spacing w:before="40" w:after="40" w:line="240" w:lineRule="auto"/>
              <w:jc w:val="left"/>
            </w:pPr>
            <w:r>
              <w:rPr>
                <w:sz w:val="20"/>
                <w:szCs w:val="20"/>
              </w:rPr>
              <w:t xml:space="preserve">Un escenario informaba captura de sesión sin que hubiera conexión</w:t>
            </w:r>
          </w:p>
        </w:tc>
        <w:tc>
          <w:tcPr>
            <w:tcW w:w="2400" w:type="dxa"/>
            <w:vAlign w:val="top"/>
          </w:tcPr>
          <w:p>
            <w:pPr>
              <w:pStyle w:val="TableText"/>
              <w:spacing w:before="40" w:after="40" w:line="240" w:lineRule="auto"/>
              <w:jc w:val="left"/>
            </w:pPr>
            <w:r>
              <w:rPr>
                <w:sz w:val="20"/>
                <w:szCs w:val="20"/>
              </w:rPr>
              <w:t xml:space="preserve">La herramienta de prueba no estaba instalada y el script ocultaba el resultado parcial</w:t>
            </w:r>
          </w:p>
        </w:tc>
        <w:tc>
          <w:tcPr>
            <w:tcW w:w="2300" w:type="dxa"/>
            <w:vAlign w:val="top"/>
          </w:tcPr>
          <w:p>
            <w:pPr>
              <w:pStyle w:val="TableText"/>
              <w:spacing w:before="40" w:after="40" w:line="240" w:lineRule="auto"/>
              <w:jc w:val="left"/>
            </w:pPr>
            <w:r>
              <w:rPr>
                <w:sz w:val="20"/>
                <w:szCs w:val="20"/>
              </w:rPr>
              <w:t xml:space="preserve">Se comprueba la herramienta al inicio y se instalaron las que faltaban</w:t>
            </w:r>
          </w:p>
        </w:tc>
        <w:tc>
          <w:tcPr>
            <w:tcW w:w="1200" w:type="dxa"/>
            <w:vAlign w:val="top"/>
          </w:tcPr>
          <w:p>
            <w:pPr>
              <w:pStyle w:val="TableText"/>
              <w:spacing w:before="40" w:after="40" w:line="240" w:lineRule="auto"/>
              <w:jc w:val="left"/>
            </w:pPr>
            <w:r>
              <w:rPr>
                <w:sz w:val="20"/>
                <w:szCs w:val="20"/>
              </w:rPr>
              <w:t xml:space="preserve">Cerrada</w:t>
            </w:r>
          </w:p>
        </w:tc>
      </w:tr>
      <w:tr>
        <w:trPr>
          <w:cantSplit/>
        </w:trPr>
        <w:tc>
          <w:tcPr>
            <w:tcW w:w="520" w:type="dxa"/>
            <w:vAlign w:val="top"/>
          </w:tcPr>
          <w:p>
            <w:pPr>
              <w:pStyle w:val="TableText"/>
              <w:spacing w:before="40" w:after="40" w:line="240" w:lineRule="auto"/>
              <w:jc w:val="left"/>
            </w:pPr>
            <w:r>
              <w:rPr>
                <w:sz w:val="20"/>
                <w:szCs w:val="20"/>
              </w:rPr>
              <w:t xml:space="preserve">L14</w:t>
            </w:r>
          </w:p>
        </w:tc>
        <w:tc>
          <w:tcPr>
            <w:tcW w:w="700" w:type="dxa"/>
            <w:vAlign w:val="top"/>
          </w:tcPr>
          <w:p>
            <w:pPr>
              <w:pStyle w:val="TableText"/>
              <w:spacing w:before="40" w:after="40" w:line="240" w:lineRule="auto"/>
              <w:jc w:val="right"/>
            </w:pPr>
            <w:r>
              <w:rPr>
                <w:sz w:val="20"/>
                <w:szCs w:val="20"/>
              </w:rPr>
              <w:t xml:space="preserve">F3</w:t>
            </w:r>
          </w:p>
        </w:tc>
        <w:tc>
          <w:tcPr>
            <w:tcW w:w="2240" w:type="dxa"/>
            <w:vAlign w:val="top"/>
          </w:tcPr>
          <w:p>
            <w:pPr>
              <w:pStyle w:val="TableText"/>
              <w:spacing w:before="40" w:after="40" w:line="240" w:lineRule="auto"/>
              <w:jc w:val="left"/>
            </w:pPr>
            <w:r>
              <w:rPr>
                <w:sz w:val="20"/>
                <w:szCs w:val="20"/>
              </w:rPr>
              <w:t xml:space="preserve">Dos escenarios no podían detectarse por falta de fuente</w:t>
            </w:r>
          </w:p>
        </w:tc>
        <w:tc>
          <w:tcPr>
            <w:tcW w:w="2400" w:type="dxa"/>
            <w:vAlign w:val="top"/>
          </w:tcPr>
          <w:p>
            <w:pPr>
              <w:pStyle w:val="TableText"/>
              <w:spacing w:before="40" w:after="40" w:line="240" w:lineRule="auto"/>
              <w:jc w:val="left"/>
            </w:pPr>
            <w:r>
              <w:rPr>
                <w:sz w:val="20"/>
                <w:szCs w:val="20"/>
              </w:rPr>
              <w:t xml:space="preserve">El calculador solo consultaba tres fuentes y ninguna leía el archivo señuelo ni el tráfico DNS</w:t>
            </w:r>
          </w:p>
        </w:tc>
        <w:tc>
          <w:tcPr>
            <w:tcW w:w="2300" w:type="dxa"/>
            <w:vAlign w:val="top"/>
          </w:tcPr>
          <w:p>
            <w:pPr>
              <w:pStyle w:val="TableText"/>
              <w:spacing w:before="40" w:after="40" w:line="240" w:lineRule="auto"/>
              <w:jc w:val="left"/>
            </w:pPr>
            <w:r>
              <w:rPr>
                <w:sz w:val="20"/>
                <w:szCs w:val="20"/>
              </w:rPr>
              <w:t xml:space="preserve">Se añaden el archivo señuelo y el sensor de red como fuentes de detección</w:t>
            </w:r>
          </w:p>
        </w:tc>
        <w:tc>
          <w:tcPr>
            <w:tcW w:w="1200" w:type="dxa"/>
            <w:vAlign w:val="top"/>
          </w:tcPr>
          <w:p>
            <w:pPr>
              <w:pStyle w:val="TableText"/>
              <w:spacing w:before="40" w:after="40" w:line="240" w:lineRule="auto"/>
              <w:jc w:val="left"/>
            </w:pPr>
            <w:r>
              <w:rPr>
                <w:sz w:val="20"/>
                <w:szCs w:val="20"/>
              </w:rPr>
              <w:t xml:space="preserve">Cerrada</w:t>
            </w:r>
          </w:p>
        </w:tc>
      </w:tr>
    </w:tbl>
    <w:p>
      <w:pPr>
        <w:pStyle w:val="TableNote"/>
        <w:spacing w:before="60" w:after="240" w:line="240" w:lineRule="auto"/>
      </w:pPr>
      <w:r>
        <w:rPr>
          <w:sz w:val="20"/>
          <w:szCs w:val="20"/>
        </w:rPr>
        <w:t xml:space="preserve">Nota. </w:t>
      </w:r>
      <w:r>
        <w:rPr>
          <w:sz w:val="20"/>
          <w:szCs w:val="20"/>
        </w:rPr>
        <w:t xml:space="preserve">Once lecciones se cierran con la causa raíz identificada y la corrección aplicada, mientras que tres se cierran con una mitigación documentada porque su causa se sitúa fuera del segmento que controla la metodología. La columna de fase remite a las cinco fases de la metodología. Los datos proceden del archivo evidencias/lecciones-aprendidas.md del Prototipo 2.</w:t>
      </w:r>
    </w:p>
    <w:p>
      <w:pPr>
        <w:pStyle w:val="Normal"/>
        <w:spacing w:after="0" w:line="480" w:lineRule="auto"/>
        <w:ind w:firstLine="720"/>
        <w:jc w:val="both"/>
      </w:pPr>
      <w:r>
        <w:t xml:space="preserve">El contenido de las lecciones muestra que los vacíos del primer laboratorio no se limitan a la configuración de las herramientas. Una parte de ellos corresponde a la integración entre componentes y otra parte a la robustez de los scripts de arranque, de manera que la metodología cubre el laboratorio completo y no solo el señuelo.</w:t>
      </w:r>
    </w:p>
    <w:p>
      <w:pPr>
        <w:pStyle w:val="Heading1"/>
        <w:keepNext/>
        <w:spacing w:before="360" w:after="120" w:line="240" w:lineRule="auto"/>
        <w:jc w:val="left"/>
        <w:outlineLvl w:val="0"/>
      </w:pPr>
      <w:r>
        <w:rPr>
          <w:b/>
          <w:bCs/>
        </w:rPr>
        <w:t xml:space="preserve">13. Volumen de actividad de los dos laboratorios</w:t>
      </w:r>
    </w:p>
    <w:p>
      <w:pPr>
        <w:pStyle w:val="Normal"/>
        <w:spacing w:after="0" w:line="480" w:lineRule="auto"/>
        <w:ind w:firstLine="720"/>
        <w:jc w:val="both"/>
      </w:pPr>
      <w:r>
        <w:t xml:space="preserve">El volumen de actividad muestra cuántos registros producen el señuelo y los sensores en cada ejecución, de manera que el segundo laboratorio registra más volumen en su medición final y la comparación de totales requiere leer la ampliación de la cobertura como causa de ese incremento.</w:t>
      </w:r>
    </w:p>
    <w:p>
      <w:pPr>
        <w:pStyle w:val="TableTitle"/>
        <w:keepNext/>
        <w:spacing w:before="240" w:after="0" w:line="240" w:lineRule="auto"/>
      </w:pPr>
      <w:r>
        <w:rPr>
          <w:b/>
          <w:bCs/>
          <w:i w:val="false"/>
          <w:iCs w:val="false"/>
          <w:sz w:val="22"/>
          <w:szCs w:val="22"/>
        </w:rPr>
        <w:t xml:space="preserve">Tabla 19</w:t>
      </w:r>
    </w:p>
    <w:p>
      <w:pPr>
        <w:pStyle w:val="TableTitle"/>
        <w:keepNext/>
        <w:spacing w:before="0" w:after="80" w:line="240" w:lineRule="auto"/>
      </w:pPr>
      <w:r>
        <w:rPr>
          <w:sz w:val="22"/>
          <w:szCs w:val="22"/>
        </w:rPr>
        <w:t xml:space="preserve">Volumen de actividad de los dos laboratorios</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3960"/>
        <w:gridCol w:w="1800"/>
        <w:gridCol w:w="1800"/>
        <w:gridCol w:w="1800"/>
      </w:tblGrid>
      <w:tr>
        <w:trPr>
          <w:tblHeader/>
          <w:cantSplit/>
        </w:trPr>
        <w:tc>
          <w:tcPr>
            <w:tcW w:w="3960" w:type="dxa"/>
            <w:tcBorders>
              <w:bottom w:val="single" w:color="000000" w:sz="6" w:space="0"/>
            </w:tcBorders>
            <w:vAlign w:val="top"/>
          </w:tcPr>
          <w:p>
            <w:pPr>
              <w:pStyle w:val="TableText"/>
              <w:spacing w:before="40" w:after="40" w:line="240" w:lineRule="auto"/>
              <w:jc w:val="left"/>
            </w:pPr>
            <w:r>
              <w:rPr>
                <w:b/>
                <w:bCs/>
                <w:sz w:val="20"/>
                <w:szCs w:val="20"/>
              </w:rPr>
              <w:t xml:space="preserve">Indicador</w:t>
            </w:r>
          </w:p>
        </w:tc>
        <w:tc>
          <w:tcPr>
            <w:tcW w:w="1800" w:type="dxa"/>
            <w:tcBorders>
              <w:bottom w:val="single" w:color="000000" w:sz="6" w:space="0"/>
            </w:tcBorders>
            <w:vAlign w:val="top"/>
          </w:tcPr>
          <w:p>
            <w:pPr>
              <w:pStyle w:val="TableText"/>
              <w:spacing w:before="40" w:after="40" w:line="240" w:lineRule="auto"/>
              <w:jc w:val="right"/>
            </w:pPr>
            <w:r>
              <w:rPr>
                <w:b/>
                <w:bCs/>
                <w:sz w:val="20"/>
                <w:szCs w:val="20"/>
              </w:rPr>
              <w:t xml:space="preserve">Prototipo 1</w:t>
            </w:r>
          </w:p>
        </w:tc>
        <w:tc>
          <w:tcPr>
            <w:tcW w:w="1800" w:type="dxa"/>
            <w:tcBorders>
              <w:bottom w:val="single" w:color="000000" w:sz="6" w:space="0"/>
            </w:tcBorders>
            <w:vAlign w:val="top"/>
          </w:tcPr>
          <w:p>
            <w:pPr>
              <w:pStyle w:val="TableText"/>
              <w:spacing w:before="40" w:after="40" w:line="240" w:lineRule="auto"/>
              <w:jc w:val="right"/>
            </w:pPr>
            <w:r>
              <w:rPr>
                <w:b/>
                <w:bCs/>
                <w:sz w:val="20"/>
                <w:szCs w:val="20"/>
              </w:rPr>
              <w:t xml:space="preserve">Prototipo 2, vuelta 1</w:t>
            </w:r>
          </w:p>
        </w:tc>
        <w:tc>
          <w:tcPr>
            <w:tcW w:w="1800" w:type="dxa"/>
            <w:tcBorders>
              <w:bottom w:val="single" w:color="000000" w:sz="6" w:space="0"/>
            </w:tcBorders>
            <w:vAlign w:val="top"/>
          </w:tcPr>
          <w:p>
            <w:pPr>
              <w:pStyle w:val="TableText"/>
              <w:spacing w:before="40" w:after="40" w:line="240" w:lineRule="auto"/>
              <w:jc w:val="right"/>
            </w:pPr>
            <w:r>
              <w:rPr>
                <w:b/>
                <w:bCs/>
                <w:sz w:val="20"/>
                <w:szCs w:val="20"/>
              </w:rPr>
              <w:t xml:space="preserve">Prototipo 2, medición final</w:t>
            </w:r>
          </w:p>
        </w:tc>
      </w:tr>
      <w:tr>
        <w:trPr>
          <w:cantSplit/>
        </w:trPr>
        <w:tc>
          <w:tcPr>
            <w:tcW w:w="3960" w:type="dxa"/>
            <w:vAlign w:val="top"/>
          </w:tcPr>
          <w:p>
            <w:pPr>
              <w:pStyle w:val="TableText"/>
              <w:spacing w:before="40" w:after="40" w:line="240" w:lineRule="auto"/>
              <w:jc w:val="left"/>
            </w:pPr>
            <w:r>
              <w:rPr>
                <w:sz w:val="20"/>
                <w:szCs w:val="20"/>
              </w:rPr>
              <w:t xml:space="preserve">Escenarios ejecutados</w:t>
            </w:r>
          </w:p>
        </w:tc>
        <w:tc>
          <w:tcPr>
            <w:tcW w:w="1800" w:type="dxa"/>
            <w:vAlign w:val="top"/>
          </w:tcPr>
          <w:p>
            <w:pPr>
              <w:pStyle w:val="TableText"/>
              <w:spacing w:before="40" w:after="40" w:line="240" w:lineRule="auto"/>
              <w:jc w:val="right"/>
            </w:pPr>
            <w:r>
              <w:rPr>
                <w:sz w:val="20"/>
                <w:szCs w:val="20"/>
              </w:rPr>
              <w:t xml:space="preserve">10</w:t>
            </w:r>
          </w:p>
        </w:tc>
        <w:tc>
          <w:tcPr>
            <w:tcW w:w="1800" w:type="dxa"/>
            <w:vAlign w:val="top"/>
          </w:tcPr>
          <w:p>
            <w:pPr>
              <w:pStyle w:val="TableText"/>
              <w:spacing w:before="40" w:after="40" w:line="240" w:lineRule="auto"/>
              <w:jc w:val="right"/>
            </w:pPr>
            <w:r>
              <w:rPr>
                <w:sz w:val="20"/>
                <w:szCs w:val="20"/>
              </w:rPr>
              <w:t xml:space="preserve">10</w:t>
            </w:r>
          </w:p>
        </w:tc>
        <w:tc>
          <w:tcPr>
            <w:tcW w:w="1800" w:type="dxa"/>
            <w:vAlign w:val="top"/>
          </w:tcPr>
          <w:p>
            <w:pPr>
              <w:pStyle w:val="TableText"/>
              <w:spacing w:before="40" w:after="40" w:line="240" w:lineRule="auto"/>
              <w:jc w:val="right"/>
            </w:pPr>
            <w:r>
              <w:rPr>
                <w:sz w:val="20"/>
                <w:szCs w:val="20"/>
              </w:rPr>
              <w:t xml:space="preserve">10</w:t>
            </w:r>
          </w:p>
        </w:tc>
      </w:tr>
      <w:tr>
        <w:trPr>
          <w:cantSplit/>
        </w:trPr>
        <w:tc>
          <w:tcPr>
            <w:tcW w:w="3960" w:type="dxa"/>
            <w:vAlign w:val="top"/>
          </w:tcPr>
          <w:p>
            <w:pPr>
              <w:pStyle w:val="TableText"/>
              <w:spacing w:before="40" w:after="40" w:line="240" w:lineRule="auto"/>
              <w:jc w:val="left"/>
            </w:pPr>
            <w:r>
              <w:rPr>
                <w:sz w:val="20"/>
                <w:szCs w:val="20"/>
              </w:rPr>
              <w:t xml:space="preserve">Ataques registrados en el señuelo</w:t>
            </w:r>
          </w:p>
        </w:tc>
        <w:tc>
          <w:tcPr>
            <w:tcW w:w="1800" w:type="dxa"/>
            <w:vAlign w:val="top"/>
          </w:tcPr>
          <w:p>
            <w:pPr>
              <w:pStyle w:val="TableText"/>
              <w:spacing w:before="40" w:after="40" w:line="240" w:lineRule="auto"/>
              <w:jc w:val="right"/>
            </w:pPr>
            <w:r>
              <w:rPr>
                <w:sz w:val="20"/>
                <w:szCs w:val="20"/>
              </w:rPr>
              <w:t xml:space="preserve">46</w:t>
            </w:r>
          </w:p>
        </w:tc>
        <w:tc>
          <w:tcPr>
            <w:tcW w:w="1800" w:type="dxa"/>
            <w:vAlign w:val="top"/>
          </w:tcPr>
          <w:p>
            <w:pPr>
              <w:pStyle w:val="TableText"/>
              <w:spacing w:before="40" w:after="40" w:line="240" w:lineRule="auto"/>
              <w:jc w:val="right"/>
            </w:pPr>
            <w:r>
              <w:rPr>
                <w:sz w:val="20"/>
                <w:szCs w:val="20"/>
              </w:rPr>
              <w:t xml:space="preserve">54</w:t>
            </w:r>
          </w:p>
        </w:tc>
        <w:tc>
          <w:tcPr>
            <w:tcW w:w="1800" w:type="dxa"/>
            <w:vAlign w:val="top"/>
          </w:tcPr>
          <w:p>
            <w:pPr>
              <w:pStyle w:val="TableText"/>
              <w:spacing w:before="40" w:after="40" w:line="240" w:lineRule="auto"/>
              <w:jc w:val="right"/>
            </w:pPr>
            <w:r>
              <w:rPr>
                <w:sz w:val="20"/>
                <w:szCs w:val="20"/>
              </w:rPr>
              <w:t xml:space="preserve">254</w:t>
            </w:r>
          </w:p>
        </w:tc>
      </w:tr>
      <w:tr>
        <w:trPr>
          <w:cantSplit/>
        </w:trPr>
        <w:tc>
          <w:tcPr>
            <w:tcW w:w="3960" w:type="dxa"/>
            <w:vAlign w:val="top"/>
          </w:tcPr>
          <w:p>
            <w:pPr>
              <w:pStyle w:val="TableText"/>
              <w:spacing w:before="40" w:after="40" w:line="240" w:lineRule="auto"/>
              <w:jc w:val="left"/>
            </w:pPr>
            <w:r>
              <w:rPr>
                <w:sz w:val="20"/>
                <w:szCs w:val="20"/>
              </w:rPr>
              <w:t xml:space="preserve">Peticiones atendidas por la interfaz de servicios</w:t>
            </w:r>
          </w:p>
        </w:tc>
        <w:tc>
          <w:tcPr>
            <w:tcW w:w="1800" w:type="dxa"/>
            <w:vAlign w:val="top"/>
          </w:tcPr>
          <w:p>
            <w:pPr>
              <w:pStyle w:val="TableText"/>
              <w:spacing w:before="40" w:after="40" w:line="240" w:lineRule="auto"/>
              <w:jc w:val="right"/>
            </w:pPr>
            <w:r>
              <w:rPr>
                <w:sz w:val="20"/>
                <w:szCs w:val="20"/>
              </w:rPr>
              <w:t xml:space="preserve">1 758</w:t>
            </w:r>
          </w:p>
        </w:tc>
        <w:tc>
          <w:tcPr>
            <w:tcW w:w="1800" w:type="dxa"/>
            <w:vAlign w:val="top"/>
          </w:tcPr>
          <w:p>
            <w:pPr>
              <w:pStyle w:val="TableText"/>
              <w:spacing w:before="40" w:after="40" w:line="240" w:lineRule="auto"/>
              <w:jc w:val="right"/>
            </w:pPr>
            <w:r>
              <w:rPr>
                <w:sz w:val="20"/>
                <w:szCs w:val="20"/>
              </w:rPr>
              <w:t xml:space="preserve">725</w:t>
            </w:r>
          </w:p>
        </w:tc>
        <w:tc>
          <w:tcPr>
            <w:tcW w:w="1800" w:type="dxa"/>
            <w:vAlign w:val="top"/>
          </w:tcPr>
          <w:p>
            <w:pPr>
              <w:pStyle w:val="TableText"/>
              <w:spacing w:before="40" w:after="40" w:line="240" w:lineRule="auto"/>
              <w:jc w:val="right"/>
            </w:pPr>
            <w:r>
              <w:rPr>
                <w:sz w:val="20"/>
                <w:szCs w:val="20"/>
              </w:rPr>
              <w:t xml:space="preserve">1 508</w:t>
            </w:r>
          </w:p>
        </w:tc>
      </w:tr>
      <w:tr>
        <w:trPr>
          <w:cantSplit/>
        </w:trPr>
        <w:tc>
          <w:tcPr>
            <w:tcW w:w="3960" w:type="dxa"/>
            <w:vAlign w:val="top"/>
          </w:tcPr>
          <w:p>
            <w:pPr>
              <w:pStyle w:val="TableText"/>
              <w:spacing w:before="40" w:after="40" w:line="240" w:lineRule="auto"/>
              <w:jc w:val="left"/>
            </w:pPr>
            <w:r>
              <w:rPr>
                <w:sz w:val="20"/>
                <w:szCs w:val="20"/>
              </w:rPr>
              <w:t xml:space="preserve">Conexiones capturadas por el emulador</w:t>
            </w:r>
          </w:p>
        </w:tc>
        <w:tc>
          <w:tcPr>
            <w:tcW w:w="1800" w:type="dxa"/>
            <w:vAlign w:val="top"/>
          </w:tcPr>
          <w:p>
            <w:pPr>
              <w:pStyle w:val="TableText"/>
              <w:spacing w:before="40" w:after="40" w:line="240" w:lineRule="auto"/>
              <w:jc w:val="right"/>
            </w:pPr>
            <w:r>
              <w:rPr>
                <w:sz w:val="20"/>
                <w:szCs w:val="20"/>
              </w:rPr>
              <w:t xml:space="preserve">8</w:t>
            </w:r>
          </w:p>
        </w:tc>
        <w:tc>
          <w:tcPr>
            <w:tcW w:w="1800" w:type="dxa"/>
            <w:vAlign w:val="top"/>
          </w:tcPr>
          <w:p>
            <w:pPr>
              <w:pStyle w:val="TableText"/>
              <w:spacing w:before="40" w:after="40" w:line="240" w:lineRule="auto"/>
              <w:jc w:val="right"/>
            </w:pPr>
            <w:r>
              <w:rPr>
                <w:sz w:val="20"/>
                <w:szCs w:val="20"/>
              </w:rPr>
              <w:t xml:space="preserve">7</w:t>
            </w:r>
          </w:p>
        </w:tc>
        <w:tc>
          <w:tcPr>
            <w:tcW w:w="1800" w:type="dxa"/>
            <w:vAlign w:val="top"/>
          </w:tcPr>
          <w:p>
            <w:pPr>
              <w:pStyle w:val="TableText"/>
              <w:spacing w:before="40" w:after="40" w:line="240" w:lineRule="auto"/>
              <w:jc w:val="right"/>
            </w:pPr>
            <w:r>
              <w:rPr>
                <w:sz w:val="20"/>
                <w:szCs w:val="20"/>
              </w:rPr>
              <w:t xml:space="preserve">38</w:t>
            </w:r>
          </w:p>
        </w:tc>
      </w:tr>
      <w:tr>
        <w:trPr>
          <w:cantSplit/>
        </w:trPr>
        <w:tc>
          <w:tcPr>
            <w:tcW w:w="3960" w:type="dxa"/>
            <w:vAlign w:val="top"/>
          </w:tcPr>
          <w:p>
            <w:pPr>
              <w:pStyle w:val="TableText"/>
              <w:spacing w:before="40" w:after="40" w:line="240" w:lineRule="auto"/>
              <w:jc w:val="left"/>
            </w:pPr>
            <w:r>
              <w:rPr>
                <w:sz w:val="20"/>
                <w:szCs w:val="20"/>
              </w:rPr>
              <w:t xml:space="preserve">Peticiones recibidas por el portal</w:t>
            </w:r>
          </w:p>
        </w:tc>
        <w:tc>
          <w:tcPr>
            <w:tcW w:w="1800" w:type="dxa"/>
            <w:vAlign w:val="top"/>
          </w:tcPr>
          <w:p>
            <w:pPr>
              <w:pStyle w:val="TableText"/>
              <w:spacing w:before="40" w:after="40" w:line="240" w:lineRule="auto"/>
              <w:jc w:val="right"/>
            </w:pPr>
            <w:r>
              <w:rPr>
                <w:sz w:val="20"/>
                <w:szCs w:val="20"/>
              </w:rPr>
              <w:t xml:space="preserve">8 875</w:t>
            </w:r>
          </w:p>
        </w:tc>
        <w:tc>
          <w:tcPr>
            <w:tcW w:w="1800" w:type="dxa"/>
            <w:vAlign w:val="top"/>
          </w:tcPr>
          <w:p>
            <w:pPr>
              <w:pStyle w:val="TableText"/>
              <w:spacing w:before="40" w:after="40" w:line="240" w:lineRule="auto"/>
              <w:jc w:val="right"/>
            </w:pPr>
            <w:r>
              <w:rPr>
                <w:sz w:val="20"/>
                <w:szCs w:val="20"/>
              </w:rPr>
              <w:t xml:space="preserve">15 765</w:t>
            </w:r>
          </w:p>
        </w:tc>
        <w:tc>
          <w:tcPr>
            <w:tcW w:w="1800" w:type="dxa"/>
            <w:vAlign w:val="top"/>
          </w:tcPr>
          <w:p>
            <w:pPr>
              <w:pStyle w:val="TableText"/>
              <w:spacing w:before="40" w:after="40" w:line="240" w:lineRule="auto"/>
              <w:jc w:val="right"/>
            </w:pPr>
            <w:r>
              <w:rPr>
                <w:sz w:val="20"/>
                <w:szCs w:val="20"/>
              </w:rPr>
              <w:t xml:space="preserve">78 186</w:t>
            </w:r>
          </w:p>
        </w:tc>
      </w:tr>
      <w:tr>
        <w:trPr>
          <w:cantSplit/>
        </w:trPr>
        <w:tc>
          <w:tcPr>
            <w:tcW w:w="3960" w:type="dxa"/>
            <w:vAlign w:val="top"/>
          </w:tcPr>
          <w:p>
            <w:pPr>
              <w:pStyle w:val="TableText"/>
              <w:spacing w:before="40" w:after="40" w:line="240" w:lineRule="auto"/>
              <w:jc w:val="left"/>
            </w:pPr>
            <w:r>
              <w:rPr>
                <w:sz w:val="20"/>
                <w:szCs w:val="20"/>
              </w:rPr>
              <w:t xml:space="preserve">Archivos de evidencia con huella</w:t>
            </w:r>
          </w:p>
        </w:tc>
        <w:tc>
          <w:tcPr>
            <w:tcW w:w="1800" w:type="dxa"/>
            <w:vAlign w:val="top"/>
          </w:tcPr>
          <w:p>
            <w:pPr>
              <w:pStyle w:val="TableText"/>
              <w:spacing w:before="40" w:after="40" w:line="240" w:lineRule="auto"/>
              <w:jc w:val="right"/>
            </w:pPr>
            <w:r>
              <w:rPr>
                <w:sz w:val="20"/>
                <w:szCs w:val="20"/>
              </w:rPr>
              <w:t xml:space="preserve">68</w:t>
            </w:r>
          </w:p>
        </w:tc>
        <w:tc>
          <w:tcPr>
            <w:tcW w:w="1800" w:type="dxa"/>
            <w:vAlign w:val="top"/>
          </w:tcPr>
          <w:p>
            <w:pPr>
              <w:pStyle w:val="TableText"/>
              <w:spacing w:before="40" w:after="40" w:line="240" w:lineRule="auto"/>
              <w:jc w:val="right"/>
            </w:pPr>
            <w:r>
              <w:rPr>
                <w:sz w:val="20"/>
                <w:szCs w:val="20"/>
              </w:rPr>
              <w:t xml:space="preserve">91</w:t>
            </w:r>
          </w:p>
        </w:tc>
        <w:tc>
          <w:tcPr>
            <w:tcW w:w="1800" w:type="dxa"/>
            <w:vAlign w:val="top"/>
          </w:tcPr>
          <w:p>
            <w:pPr>
              <w:pStyle w:val="TableText"/>
              <w:spacing w:before="40" w:after="40" w:line="240" w:lineRule="auto"/>
              <w:jc w:val="right"/>
            </w:pPr>
            <w:r>
              <w:rPr>
                <w:sz w:val="20"/>
                <w:szCs w:val="20"/>
              </w:rPr>
              <w:t xml:space="preserve">91</w:t>
            </w:r>
          </w:p>
        </w:tc>
      </w:tr>
      <w:tr>
        <w:trPr>
          <w:cantSplit/>
        </w:trPr>
        <w:tc>
          <w:tcPr>
            <w:tcW w:w="3960" w:type="dxa"/>
            <w:vAlign w:val="top"/>
          </w:tcPr>
          <w:p>
            <w:pPr>
              <w:pStyle w:val="TableText"/>
              <w:spacing w:before="40" w:after="40" w:line="240" w:lineRule="auto"/>
              <w:jc w:val="left"/>
            </w:pPr>
            <w:r>
              <w:rPr>
                <w:sz w:val="20"/>
                <w:szCs w:val="20"/>
              </w:rPr>
              <w:t xml:space="preserve">Calidad de la evidencia verificada</w:t>
            </w:r>
          </w:p>
        </w:tc>
        <w:tc>
          <w:tcPr>
            <w:tcW w:w="1800" w:type="dxa"/>
            <w:vAlign w:val="top"/>
          </w:tcPr>
          <w:p>
            <w:pPr>
              <w:pStyle w:val="TableText"/>
              <w:spacing w:before="40" w:after="40" w:line="240" w:lineRule="auto"/>
              <w:jc w:val="right"/>
            </w:pPr>
            <w:r>
              <w:rPr>
                <w:sz w:val="20"/>
                <w:szCs w:val="20"/>
              </w:rPr>
              <w:t xml:space="preserve">100 de 100</w:t>
            </w:r>
          </w:p>
        </w:tc>
        <w:tc>
          <w:tcPr>
            <w:tcW w:w="1800" w:type="dxa"/>
            <w:vAlign w:val="top"/>
          </w:tcPr>
          <w:p>
            <w:pPr>
              <w:pStyle w:val="TableText"/>
              <w:spacing w:before="40" w:after="40" w:line="240" w:lineRule="auto"/>
              <w:jc w:val="right"/>
            </w:pPr>
            <w:r>
              <w:rPr>
                <w:sz w:val="20"/>
                <w:szCs w:val="20"/>
              </w:rPr>
              <w:t xml:space="preserve">100 de 100</w:t>
            </w:r>
          </w:p>
        </w:tc>
        <w:tc>
          <w:tcPr>
            <w:tcW w:w="1800" w:type="dxa"/>
            <w:vAlign w:val="top"/>
          </w:tcPr>
          <w:p>
            <w:pPr>
              <w:pStyle w:val="TableText"/>
              <w:spacing w:before="40" w:after="40" w:line="240" w:lineRule="auto"/>
              <w:jc w:val="right"/>
            </w:pPr>
            <w:r>
              <w:rPr>
                <w:sz w:val="20"/>
                <w:szCs w:val="20"/>
              </w:rPr>
              <w:t xml:space="preserve">100 de 100</w:t>
            </w:r>
          </w:p>
        </w:tc>
      </w:tr>
    </w:tbl>
    <w:p>
      <w:pPr>
        <w:pStyle w:val="TableNote"/>
        <w:spacing w:before="60" w:after="240" w:line="240" w:lineRule="auto"/>
      </w:pPr>
      <w:r>
        <w:rPr>
          <w:sz w:val="20"/>
          <w:szCs w:val="20"/>
        </w:rPr>
        <w:t xml:space="preserve">Nota. </w:t>
      </w:r>
      <w:r>
        <w:rPr>
          <w:sz w:val="20"/>
          <w:szCs w:val="20"/>
        </w:rPr>
        <w:t xml:space="preserve">Los tres momentos corresponden al Prototipo 1, a la vuelta 1 del Prototipo 2 y a su medición final. Los datos proceden de los archivos de evidencia de los dos laboratorios.</w:t>
      </w:r>
    </w:p>
    <w:p>
      <w:pPr>
        <w:pStyle w:val="Normal"/>
        <w:spacing w:after="0" w:line="480" w:lineRule="auto"/>
        <w:ind w:firstLine="720"/>
        <w:jc w:val="both"/>
      </w:pPr>
      <w:r>
        <w:t xml:space="preserve">El aumento del volumen en la medición final se explica por la ampliación de la cobertura de medición, de manera que los seis escenarios que la vuelta 1 dejó fuera de la referencia producen ahora eventos que antes no llegan a ningún componente de registro. La calidad de la evidencia permanece en 100 de 100 en las tres ejecuciones, de manera que el incremento de volumen no afecta la validez de la custodia.</w:t>
      </w:r>
    </w:p>
    <w:p>
      <w:pPr>
        <w:pStyle w:val="Heading1"/>
        <w:keepNext/>
        <w:spacing w:before="360" w:after="120" w:line="240" w:lineRule="auto"/>
        <w:jc w:val="left"/>
        <w:outlineLvl w:val="0"/>
      </w:pPr>
      <w:r>
        <w:rPr>
          <w:b/>
          <w:bCs/>
        </w:rPr>
        <w:t xml:space="preserve">14. Síntesis de los resultados</w:t>
      </w:r>
    </w:p>
    <w:p>
      <w:pPr>
        <w:pStyle w:val="Normal"/>
        <w:spacing w:after="0" w:line="480" w:lineRule="auto"/>
        <w:ind w:firstLine="720"/>
        <w:jc w:val="both"/>
      </w:pPr>
      <w:r>
        <w:t xml:space="preserve">Los tres planos de resultado se leen juntos sin superponerse, de manera que cada cifra conserve el sentido que le corresponde. La organización pasa de Gestionado a Optimizado, el primer laboratorio verifica que la cadena de detección opera por separado y el segundo comprueba que la metodología corrige los vacíos que el primero deja ver.</w:t>
      </w:r>
    </w:p>
    <w:p>
      <w:pPr>
        <w:pStyle w:val="FigureCaption"/>
        <w:keepNext/>
        <w:spacing w:before="240" w:after="0" w:line="240" w:lineRule="auto"/>
      </w:pPr>
      <w:r>
        <w:rPr>
          <w:b/>
          <w:bCs/>
          <w:i w:val="false"/>
          <w:iCs w:val="false"/>
          <w:sz w:val="22"/>
          <w:szCs w:val="22"/>
        </w:rPr>
        <w:t xml:space="preserve">Figura 15</w:t>
      </w:r>
    </w:p>
    <w:p>
      <w:pPr>
        <w:pStyle w:val="FigureCaption"/>
        <w:keepNext/>
        <w:spacing w:before="0" w:after="120" w:line="240" w:lineRule="auto"/>
      </w:pPr>
      <w:r>
        <w:rPr>
          <w:sz w:val="22"/>
          <w:szCs w:val="22"/>
        </w:rPr>
        <w:t xml:space="preserve">Estado inicial y estado final de los tres planos de resultado</w:t>
      </w:r>
    </w:p>
    <w:p>
      <w:pPr>
        <w:pStyle w:val="FigureImage"/>
        <w:spacing w:before="120" w:after="60" w:line="240" w:lineRule="auto"/>
        <w:jc w:val="center"/>
      </w:pPr>
      <w:r>
        <w:drawing>
          <wp:inline xmlns:wp="http://schemas.openxmlformats.org/drawingml/2006/wordprocessingDrawing" distT="0" distB="0" distL="0" distR="0">
            <wp:extent cx="5943600" cy="1857375"/>
            <wp:effectExtent l="0" t="0" r="0" b="0"/>
            <wp:docPr id="15" name="Figura 15" descr="Comparación del estado inicial y el estado final de los tres planos de resultado del cap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intesis.png"/>
                    <pic:cNvPicPr/>
                  </pic:nvPicPr>
                  <pic:blipFill>
                    <a:blip xmlns:r="http://schemas.openxmlformats.org/officeDocument/2006/relationships" r:embed="Rb339494201cb4fdf"/>
                    <a:stretch>
                      <a:fillRect/>
                    </a:stretch>
                  </pic:blipFill>
                  <pic:spPr>
                    <a:xfrm>
                      <a:off x="0" y="0"/>
                      <a:ext cx="5943600" cy="185737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Cada fila compara el estado inicial y el estado final de uno de los tres planos de resultado. La diferencia se expresa en puntos porcentuales para la madurez y en número de elementos para los indicadores de laboratorio.</w:t>
      </w:r>
    </w:p>
    <w:p>
      <w:pPr>
        <w:pStyle w:val="TableTitle"/>
        <w:keepNext/>
        <w:spacing w:before="240" w:after="0" w:line="240" w:lineRule="auto"/>
      </w:pPr>
      <w:r>
        <w:rPr>
          <w:b/>
          <w:bCs/>
          <w:i w:val="false"/>
          <w:iCs w:val="false"/>
          <w:sz w:val="22"/>
          <w:szCs w:val="22"/>
        </w:rPr>
        <w:t xml:space="preserve">Tabla 20</w:t>
      </w:r>
    </w:p>
    <w:p>
      <w:pPr>
        <w:pStyle w:val="TableTitle"/>
        <w:keepNext/>
        <w:spacing w:before="0" w:after="80" w:line="240" w:lineRule="auto"/>
      </w:pPr>
      <w:r>
        <w:rPr>
          <w:sz w:val="22"/>
          <w:szCs w:val="22"/>
        </w:rPr>
        <w:t xml:space="preserve">Síntesis de los tres planos de resultado</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200"/>
        <w:gridCol w:w="2600"/>
        <w:gridCol w:w="2200"/>
        <w:gridCol w:w="2360"/>
      </w:tblGrid>
      <w:tr>
        <w:trPr>
          <w:tblHeader/>
          <w:cantSplit/>
        </w:trPr>
        <w:tc>
          <w:tcPr>
            <w:tcW w:w="2200" w:type="dxa"/>
            <w:tcBorders>
              <w:bottom w:val="single" w:color="000000" w:sz="6" w:space="0"/>
            </w:tcBorders>
            <w:vAlign w:val="top"/>
          </w:tcPr>
          <w:p>
            <w:pPr>
              <w:pStyle w:val="TableText"/>
              <w:spacing w:before="40" w:after="40" w:line="240" w:lineRule="auto"/>
              <w:jc w:val="left"/>
            </w:pPr>
            <w:r>
              <w:rPr>
                <w:b/>
                <w:bCs/>
                <w:sz w:val="20"/>
                <w:szCs w:val="20"/>
              </w:rPr>
              <w:t xml:space="preserve">Plano</w:t>
            </w:r>
          </w:p>
        </w:tc>
        <w:tc>
          <w:tcPr>
            <w:tcW w:w="2600" w:type="dxa"/>
            <w:tcBorders>
              <w:bottom w:val="single" w:color="000000" w:sz="6" w:space="0"/>
            </w:tcBorders>
            <w:vAlign w:val="top"/>
          </w:tcPr>
          <w:p>
            <w:pPr>
              <w:pStyle w:val="TableText"/>
              <w:spacing w:before="40" w:after="40" w:line="240" w:lineRule="auto"/>
              <w:jc w:val="left"/>
            </w:pPr>
            <w:r>
              <w:rPr>
                <w:b/>
                <w:bCs/>
                <w:sz w:val="20"/>
                <w:szCs w:val="20"/>
              </w:rPr>
              <w:t xml:space="preserve">Pregunta que responde</w:t>
            </w:r>
          </w:p>
        </w:tc>
        <w:tc>
          <w:tcPr>
            <w:tcW w:w="2200" w:type="dxa"/>
            <w:tcBorders>
              <w:bottom w:val="single" w:color="000000" w:sz="6" w:space="0"/>
            </w:tcBorders>
            <w:vAlign w:val="top"/>
          </w:tcPr>
          <w:p>
            <w:pPr>
              <w:pStyle w:val="TableText"/>
              <w:spacing w:before="40" w:after="40" w:line="240" w:lineRule="auto"/>
              <w:jc w:val="right"/>
            </w:pPr>
            <w:r>
              <w:rPr>
                <w:b/>
                <w:bCs/>
                <w:sz w:val="20"/>
                <w:szCs w:val="20"/>
              </w:rPr>
              <w:t xml:space="preserve">Resultado</w:t>
            </w:r>
          </w:p>
        </w:tc>
        <w:tc>
          <w:tcPr>
            <w:tcW w:w="2360" w:type="dxa"/>
            <w:tcBorders>
              <w:bottom w:val="single" w:color="000000" w:sz="6" w:space="0"/>
            </w:tcBorders>
            <w:vAlign w:val="top"/>
          </w:tcPr>
          <w:p>
            <w:pPr>
              <w:pStyle w:val="TableText"/>
              <w:spacing w:before="40" w:after="40" w:line="240" w:lineRule="auto"/>
              <w:jc w:val="left"/>
            </w:pPr>
            <w:r>
              <w:rPr>
                <w:b/>
                <w:bCs/>
                <w:sz w:val="20"/>
                <w:szCs w:val="20"/>
              </w:rPr>
              <w:t xml:space="preserve">Fuente</w:t>
            </w:r>
          </w:p>
        </w:tc>
      </w:tr>
      <w:tr>
        <w:trPr>
          <w:cantSplit/>
        </w:trPr>
        <w:tc>
          <w:tcPr>
            <w:tcW w:w="2200" w:type="dxa"/>
            <w:vAlign w:val="top"/>
          </w:tcPr>
          <w:p>
            <w:pPr>
              <w:pStyle w:val="TableText"/>
              <w:spacing w:before="40" w:after="40" w:line="240" w:lineRule="auto"/>
              <w:jc w:val="left"/>
            </w:pPr>
            <w:r>
              <w:rPr>
                <w:sz w:val="20"/>
                <w:szCs w:val="20"/>
              </w:rPr>
              <w:t xml:space="preserve">Madurez organizacional</w:t>
            </w:r>
          </w:p>
        </w:tc>
        <w:tc>
          <w:tcPr>
            <w:tcW w:w="2600" w:type="dxa"/>
            <w:vAlign w:val="top"/>
          </w:tcPr>
          <w:p>
            <w:pPr>
              <w:pStyle w:val="TableText"/>
              <w:spacing w:before="40" w:after="40" w:line="240" w:lineRule="auto"/>
              <w:jc w:val="left"/>
            </w:pPr>
            <w:r>
              <w:rPr>
                <w:sz w:val="20"/>
                <w:szCs w:val="20"/>
              </w:rPr>
              <w:t xml:space="preserve">Cuánto mide la organización</w:t>
            </w:r>
          </w:p>
        </w:tc>
        <w:tc>
          <w:tcPr>
            <w:tcW w:w="2200" w:type="dxa"/>
            <w:vAlign w:val="top"/>
          </w:tcPr>
          <w:p>
            <w:pPr>
              <w:pStyle w:val="TableText"/>
              <w:spacing w:before="40" w:after="40" w:line="240" w:lineRule="auto"/>
              <w:jc w:val="right"/>
            </w:pPr>
            <w:r>
              <w:rPr>
                <w:sz w:val="20"/>
                <w:szCs w:val="20"/>
              </w:rPr>
              <w:t xml:space="preserve">52,70 % a 99,09 %</w:t>
            </w:r>
          </w:p>
        </w:tc>
        <w:tc>
          <w:tcPr>
            <w:tcW w:w="2360" w:type="dxa"/>
            <w:vAlign w:val="top"/>
          </w:tcPr>
          <w:p>
            <w:pPr>
              <w:pStyle w:val="TableText"/>
              <w:spacing w:before="40" w:after="40" w:line="240" w:lineRule="auto"/>
              <w:jc w:val="left"/>
            </w:pPr>
            <w:r>
              <w:rPr>
                <w:sz w:val="20"/>
                <w:szCs w:val="20"/>
              </w:rPr>
              <w:t xml:space="preserve">Libro de resultados</w:t>
            </w:r>
          </w:p>
        </w:tc>
      </w:tr>
      <w:tr>
        <w:trPr>
          <w:cantSplit/>
        </w:trPr>
        <w:tc>
          <w:tcPr>
            <w:tcW w:w="2200" w:type="dxa"/>
            <w:vAlign w:val="top"/>
          </w:tcPr>
          <w:p>
            <w:pPr>
              <w:pStyle w:val="TableText"/>
              <w:spacing w:before="40" w:after="40" w:line="240" w:lineRule="auto"/>
              <w:jc w:val="left"/>
            </w:pPr>
            <w:r>
              <w:rPr>
                <w:sz w:val="20"/>
                <w:szCs w:val="20"/>
              </w:rPr>
              <w:t xml:space="preserve">Verificación de la cadena</w:t>
            </w:r>
          </w:p>
        </w:tc>
        <w:tc>
          <w:tcPr>
            <w:tcW w:w="2600" w:type="dxa"/>
            <w:vAlign w:val="top"/>
          </w:tcPr>
          <w:p>
            <w:pPr>
              <w:pStyle w:val="TableText"/>
              <w:spacing w:before="40" w:after="40" w:line="240" w:lineRule="auto"/>
              <w:jc w:val="left"/>
            </w:pPr>
            <w:r>
              <w:rPr>
                <w:sz w:val="20"/>
                <w:szCs w:val="20"/>
              </w:rPr>
              <w:t xml:space="preserve">Si cada componente opera por separado</w:t>
            </w:r>
          </w:p>
        </w:tc>
        <w:tc>
          <w:tcPr>
            <w:tcW w:w="2200" w:type="dxa"/>
            <w:vAlign w:val="top"/>
          </w:tcPr>
          <w:p>
            <w:pPr>
              <w:pStyle w:val="TableText"/>
              <w:spacing w:before="40" w:after="40" w:line="240" w:lineRule="auto"/>
              <w:jc w:val="right"/>
            </w:pPr>
            <w:r>
              <w:rPr>
                <w:sz w:val="20"/>
                <w:szCs w:val="20"/>
              </w:rPr>
              <w:t xml:space="preserve">9 de 10 escenarios medidos</w:t>
            </w:r>
          </w:p>
        </w:tc>
        <w:tc>
          <w:tcPr>
            <w:tcW w:w="2360" w:type="dxa"/>
            <w:vAlign w:val="top"/>
          </w:tcPr>
          <w:p>
            <w:pPr>
              <w:pStyle w:val="TableText"/>
              <w:spacing w:before="40" w:after="40" w:line="240" w:lineRule="auto"/>
              <w:jc w:val="left"/>
            </w:pPr>
            <w:r>
              <w:rPr>
                <w:sz w:val="20"/>
                <w:szCs w:val="20"/>
              </w:rPr>
              <w:t xml:space="preserve">Reporte de indicadores del Prototipo 1</w:t>
            </w:r>
          </w:p>
        </w:tc>
      </w:tr>
      <w:tr>
        <w:trPr>
          <w:cantSplit/>
        </w:trPr>
        <w:tc>
          <w:tcPr>
            <w:tcW w:w="2200" w:type="dxa"/>
            <w:vAlign w:val="top"/>
          </w:tcPr>
          <w:p>
            <w:pPr>
              <w:pStyle w:val="TableText"/>
              <w:spacing w:before="40" w:after="40" w:line="240" w:lineRule="auto"/>
              <w:jc w:val="left"/>
            </w:pPr>
            <w:r>
              <w:rPr>
                <w:sz w:val="20"/>
                <w:szCs w:val="20"/>
              </w:rPr>
              <w:t xml:space="preserve">Mejora del instrumental</w:t>
            </w:r>
          </w:p>
        </w:tc>
        <w:tc>
          <w:tcPr>
            <w:tcW w:w="2600" w:type="dxa"/>
            <w:vAlign w:val="top"/>
          </w:tcPr>
          <w:p>
            <w:pPr>
              <w:pStyle w:val="TableText"/>
              <w:spacing w:before="40" w:after="40" w:line="240" w:lineRule="auto"/>
              <w:jc w:val="left"/>
            </w:pPr>
            <w:r>
              <w:rPr>
                <w:sz w:val="20"/>
                <w:szCs w:val="20"/>
              </w:rPr>
              <w:t xml:space="preserve">Qué produce la corrección aplicada</w:t>
            </w:r>
          </w:p>
        </w:tc>
        <w:tc>
          <w:tcPr>
            <w:tcW w:w="2200" w:type="dxa"/>
            <w:vAlign w:val="top"/>
          </w:tcPr>
          <w:p>
            <w:pPr>
              <w:pStyle w:val="TableText"/>
              <w:spacing w:before="40" w:after="40" w:line="240" w:lineRule="auto"/>
              <w:jc w:val="right"/>
            </w:pPr>
            <w:r>
              <w:rPr>
                <w:sz w:val="20"/>
                <w:szCs w:val="20"/>
              </w:rPr>
              <w:t xml:space="preserve">4 de 10 a 10 de 10</w:t>
            </w:r>
          </w:p>
        </w:tc>
        <w:tc>
          <w:tcPr>
            <w:tcW w:w="2360" w:type="dxa"/>
            <w:vAlign w:val="top"/>
          </w:tcPr>
          <w:p>
            <w:pPr>
              <w:pStyle w:val="TableText"/>
              <w:spacing w:before="40" w:after="40" w:line="240" w:lineRule="auto"/>
              <w:jc w:val="left"/>
            </w:pPr>
            <w:r>
              <w:rPr>
                <w:sz w:val="20"/>
                <w:szCs w:val="20"/>
              </w:rPr>
              <w:t xml:space="preserve">Reportes de indicadores del Prototipo 2</w:t>
            </w:r>
          </w:p>
        </w:tc>
      </w:tr>
    </w:tbl>
    <w:p>
      <w:pPr>
        <w:pStyle w:val="TableNote"/>
        <w:spacing w:before="60" w:after="240" w:line="240" w:lineRule="auto"/>
      </w:pPr>
      <w:r>
        <w:rPr>
          <w:sz w:val="20"/>
          <w:szCs w:val="20"/>
        </w:rPr>
        <w:t xml:space="preserve">Nota. </w:t>
      </w:r>
      <w:r>
        <w:rPr>
          <w:sz w:val="20"/>
          <w:szCs w:val="20"/>
        </w:rPr>
        <w:t xml:space="preserve">Cada plano de resultado remite a una fuente distinta, de manera que las cifras no comparten escala. Los datos proceden del libro de resultados y de los reportes de indicadores de los dos prototipos.</w:t>
      </w:r>
    </w:p>
    <w:p>
      <w:pPr>
        <w:pStyle w:val="Normal"/>
        <w:spacing w:after="0" w:line="480" w:lineRule="auto"/>
        <w:ind w:firstLine="720"/>
        <w:jc w:val="both"/>
      </w:pPr>
      <w:r>
        <w:t xml:space="preserve">La metodología aporta en los tres planos a la vez, de manera que el efecto sobre la madurez declarada de la organización conviva con la verificación técnica de la cadena de detección. El primer laboratorio cumple la función de línea de base técnica, porque muestra qué falta antes de que el segundo laboratorio lo resuelva. La cobertura de medición del segundo laboratorio pasa de cuatro a diez escenarios, de manera que el resultado de la metodología se expresa en la ampliación del alcance verificado.</w:t>
      </w:r>
    </w:p>
    <w:p>
      <w:pPr>
        <w:pStyle w:val="Heading1"/>
        <w:keepNext/>
        <w:spacing w:before="360" w:after="120" w:line="240" w:lineRule="auto"/>
        <w:jc w:val="left"/>
        <w:outlineLvl w:val="0"/>
      </w:pPr>
      <w:r>
        <w:rPr>
          <w:b/>
          <w:bCs/>
        </w:rPr>
        <w:t xml:space="preserve">15. Evidencia visual de los tableros</w:t>
      </w:r>
    </w:p>
    <w:p>
      <w:pPr>
        <w:pStyle w:val="Normal"/>
        <w:spacing w:after="0" w:line="480" w:lineRule="auto"/>
        <w:ind w:firstLine="720"/>
        <w:jc w:val="both"/>
      </w:pPr>
      <w:r>
        <w:t xml:space="preserve">El capítulo incluye tres paneles que documentan el estado de los tableros en cada uno de los tres momentos del ciclo de laboratorio. El primero corresponde al TaxFisco Research Lab y los otros dos al laboratorio del Servicio de Impuestos Nacionales, en su vuelta 1 y en su medición final.</w:t>
      </w:r>
    </w:p>
    <w:p>
      <w:pPr>
        <w:pStyle w:val="Normal"/>
        <w:spacing w:after="0" w:line="480" w:lineRule="auto"/>
        <w:ind w:firstLine="720"/>
        <w:jc w:val="both"/>
      </w:pPr>
      <w:r>
        <w:t xml:space="preserve">El panel del primer laboratorio declara 199 alertas indexadas, distribuidas en 152 de severidad baja, 45 alta y dos media, con un nivel medio de 3,92 y un nivel máximo de 7. El tablero de la vuelta 1 del segundo laboratorio registra 434 alertas indexadas, con un nivel medio de alerta de 4,88 y una serie temporal de picos aislados. La medición final eleva el nivel medio de alerta a 6,20 y muestra una actividad sostenida a lo largo de toda la ventana de observación.</w:t>
      </w:r>
    </w:p>
    <w:p>
      <w:pPr>
        <w:pStyle w:val="TableTitle"/>
        <w:keepNext/>
        <w:spacing w:before="240" w:after="0" w:line="240" w:lineRule="auto"/>
      </w:pPr>
      <w:r>
        <w:rPr>
          <w:b/>
          <w:bCs/>
          <w:i w:val="false"/>
          <w:iCs w:val="false"/>
          <w:sz w:val="22"/>
          <w:szCs w:val="22"/>
        </w:rPr>
        <w:t xml:space="preserve">Tabla 21</w:t>
      </w:r>
    </w:p>
    <w:p>
      <w:pPr>
        <w:pStyle w:val="TableTitle"/>
        <w:keepNext/>
        <w:spacing w:before="0" w:after="80" w:line="240" w:lineRule="auto"/>
      </w:pPr>
      <w:r>
        <w:rPr>
          <w:sz w:val="22"/>
          <w:szCs w:val="22"/>
        </w:rPr>
        <w:t xml:space="preserve">Evidencia visual de los tres tableros de los dos laboratorios</w:t>
      </w:r>
    </w:p>
    <w:tbl>
      <w:tblPr>
        <w:tblW w:w="5000" w:type="pct"/>
        <w:tblBorders>
          <w:top w:val="single" w:color="000000" w:sz="8" w:space="0"/>
          <w:bottom w:val="single" w:color="000000" w:sz="8" w:space="0"/>
          <w:left w:val="none"/>
          <w:right w:val="none"/>
          <w:insideH w:val="none"/>
          <w:insideV w:val="none"/>
        </w:tblBorders>
        <w:tblLayout w:type="fixed"/>
        <w:tblCellMar>
          <w:top w:w="40" w:type="dxa"/>
          <w:left w:w="80" w:type="dxa"/>
          <w:bottom w:w="40" w:type="dxa"/>
          <w:right w:w="80" w:type="dxa"/>
        </w:tblCellMar>
        <w:tblLook w:val="04A0"/>
      </w:tblPr>
      <w:tblGrid>
        <w:gridCol w:w="2500"/>
        <w:gridCol w:w="1700"/>
        <w:gridCol w:w="1300"/>
        <w:gridCol w:w="1700"/>
        <w:gridCol w:w="2160"/>
      </w:tblGrid>
      <w:tr>
        <w:trPr>
          <w:tblHeader/>
          <w:cantSplit/>
        </w:trPr>
        <w:tc>
          <w:tcPr>
            <w:tcW w:w="2500" w:type="dxa"/>
            <w:tcBorders>
              <w:bottom w:val="single" w:color="000000" w:sz="6" w:space="0"/>
            </w:tcBorders>
            <w:vAlign w:val="top"/>
          </w:tcPr>
          <w:p>
            <w:pPr>
              <w:pStyle w:val="TableText"/>
              <w:spacing w:before="40" w:after="40" w:line="240" w:lineRule="auto"/>
              <w:jc w:val="left"/>
            </w:pPr>
            <w:r>
              <w:rPr>
                <w:b/>
                <w:bCs/>
                <w:sz w:val="20"/>
                <w:szCs w:val="20"/>
              </w:rPr>
              <w:t xml:space="preserve">Panel</w:t>
            </w:r>
          </w:p>
        </w:tc>
        <w:tc>
          <w:tcPr>
            <w:tcW w:w="1700" w:type="dxa"/>
            <w:tcBorders>
              <w:bottom w:val="single" w:color="000000" w:sz="6" w:space="0"/>
            </w:tcBorders>
            <w:vAlign w:val="top"/>
          </w:tcPr>
          <w:p>
            <w:pPr>
              <w:pStyle w:val="TableText"/>
              <w:spacing w:before="40" w:after="40" w:line="240" w:lineRule="auto"/>
              <w:jc w:val="left"/>
            </w:pPr>
            <w:r>
              <w:rPr>
                <w:b/>
                <w:bCs/>
                <w:sz w:val="20"/>
                <w:szCs w:val="20"/>
              </w:rPr>
              <w:t xml:space="preserve">Ventana temporal</w:t>
            </w:r>
          </w:p>
        </w:tc>
        <w:tc>
          <w:tcPr>
            <w:tcW w:w="1300" w:type="dxa"/>
            <w:tcBorders>
              <w:bottom w:val="single" w:color="000000" w:sz="6" w:space="0"/>
            </w:tcBorders>
            <w:vAlign w:val="top"/>
          </w:tcPr>
          <w:p>
            <w:pPr>
              <w:pStyle w:val="TableText"/>
              <w:spacing w:before="40" w:after="40" w:line="240" w:lineRule="auto"/>
              <w:jc w:val="right"/>
            </w:pPr>
            <w:r>
              <w:rPr>
                <w:b/>
                <w:bCs/>
                <w:sz w:val="20"/>
                <w:szCs w:val="20"/>
              </w:rPr>
              <w:t xml:space="preserve">Alertas indexadas</w:t>
            </w:r>
          </w:p>
        </w:tc>
        <w:tc>
          <w:tcPr>
            <w:tcW w:w="1700" w:type="dxa"/>
            <w:tcBorders>
              <w:bottom w:val="single" w:color="000000" w:sz="6" w:space="0"/>
            </w:tcBorders>
            <w:vAlign w:val="top"/>
          </w:tcPr>
          <w:p>
            <w:pPr>
              <w:pStyle w:val="TableText"/>
              <w:spacing w:before="40" w:after="40" w:line="240" w:lineRule="auto"/>
              <w:jc w:val="right"/>
            </w:pPr>
            <w:r>
              <w:rPr>
                <w:b/>
                <w:bCs/>
                <w:sz w:val="20"/>
                <w:szCs w:val="20"/>
              </w:rPr>
              <w:t xml:space="preserve">Nivel medio de alerta</w:t>
            </w:r>
          </w:p>
        </w:tc>
        <w:tc>
          <w:tcPr>
            <w:tcW w:w="2160" w:type="dxa"/>
            <w:tcBorders>
              <w:bottom w:val="single" w:color="000000" w:sz="6" w:space="0"/>
            </w:tcBorders>
            <w:vAlign w:val="top"/>
          </w:tcPr>
          <w:p>
            <w:pPr>
              <w:pStyle w:val="TableText"/>
              <w:spacing w:before="40" w:after="40" w:line="240" w:lineRule="auto"/>
              <w:jc w:val="left"/>
            </w:pPr>
            <w:r>
              <w:rPr>
                <w:b/>
                <w:bCs/>
                <w:sz w:val="20"/>
                <w:szCs w:val="20"/>
              </w:rPr>
              <w:t xml:space="preserve">Archivo de origen</w:t>
            </w:r>
          </w:p>
        </w:tc>
      </w:tr>
      <w:tr>
        <w:trPr>
          <w:cantSplit/>
        </w:trPr>
        <w:tc>
          <w:tcPr>
            <w:tcW w:w="2500" w:type="dxa"/>
            <w:vAlign w:val="top"/>
          </w:tcPr>
          <w:p>
            <w:pPr>
              <w:pStyle w:val="TableText"/>
              <w:spacing w:before="40" w:after="40" w:line="240" w:lineRule="auto"/>
              <w:jc w:val="left"/>
            </w:pPr>
            <w:r>
              <w:rPr>
                <w:sz w:val="20"/>
                <w:szCs w:val="20"/>
              </w:rPr>
              <w:t xml:space="preserve">TaxFisco Research Lab, panel de indicadores</w:t>
            </w:r>
          </w:p>
        </w:tc>
        <w:tc>
          <w:tcPr>
            <w:tcW w:w="1700" w:type="dxa"/>
            <w:vAlign w:val="top"/>
          </w:tcPr>
          <w:p>
            <w:pPr>
              <w:pStyle w:val="TableText"/>
              <w:spacing w:before="40" w:after="40" w:line="240" w:lineRule="auto"/>
              <w:jc w:val="left"/>
            </w:pPr>
            <w:r>
              <w:rPr>
                <w:sz w:val="20"/>
                <w:szCs w:val="20"/>
              </w:rPr>
              <w:t xml:space="preserve">Medición del Prototipo 1</w:t>
            </w:r>
          </w:p>
        </w:tc>
        <w:tc>
          <w:tcPr>
            <w:tcW w:w="1300" w:type="dxa"/>
            <w:vAlign w:val="top"/>
          </w:tcPr>
          <w:p>
            <w:pPr>
              <w:pStyle w:val="TableText"/>
              <w:spacing w:before="40" w:after="40" w:line="240" w:lineRule="auto"/>
              <w:jc w:val="right"/>
            </w:pPr>
            <w:r>
              <w:rPr>
                <w:sz w:val="20"/>
                <w:szCs w:val="20"/>
              </w:rPr>
              <w:t xml:space="preserve">199</w:t>
            </w:r>
          </w:p>
        </w:tc>
        <w:tc>
          <w:tcPr>
            <w:tcW w:w="1700" w:type="dxa"/>
            <w:vAlign w:val="top"/>
          </w:tcPr>
          <w:p>
            <w:pPr>
              <w:pStyle w:val="TableText"/>
              <w:spacing w:before="40" w:after="40" w:line="240" w:lineRule="auto"/>
              <w:jc w:val="right"/>
            </w:pPr>
            <w:r>
              <w:rPr>
                <w:sz w:val="20"/>
                <w:szCs w:val="20"/>
              </w:rPr>
              <w:t xml:space="preserve">3,92, con un máximo de 7</w:t>
            </w:r>
          </w:p>
        </w:tc>
        <w:tc>
          <w:tcPr>
            <w:tcW w:w="2160" w:type="dxa"/>
            <w:vAlign w:val="top"/>
          </w:tcPr>
          <w:p>
            <w:pPr>
              <w:pStyle w:val="TableText"/>
              <w:spacing w:before="40" w:after="40" w:line="240" w:lineRule="auto"/>
              <w:jc w:val="left"/>
            </w:pPr>
            <w:r>
              <w:rPr>
                <w:sz w:val="20"/>
                <w:szCs w:val="20"/>
              </w:rPr>
              <w:t xml:space="preserve">evidencias/07-metricas/04_grafana-kpis.png</w:t>
            </w:r>
          </w:p>
        </w:tc>
      </w:tr>
      <w:tr>
        <w:trPr>
          <w:cantSplit/>
        </w:trPr>
        <w:tc>
          <w:tcPr>
            <w:tcW w:w="2500" w:type="dxa"/>
            <w:vAlign w:val="top"/>
          </w:tcPr>
          <w:p>
            <w:pPr>
              <w:pStyle w:val="TableText"/>
              <w:spacing w:before="40" w:after="40" w:line="240" w:lineRule="auto"/>
              <w:jc w:val="left"/>
            </w:pPr>
            <w:r>
              <w:rPr>
                <w:sz w:val="20"/>
                <w:szCs w:val="20"/>
              </w:rPr>
              <w:t xml:space="preserve">Servicio de Impuestos Nacionales, vuelta 1</w:t>
            </w:r>
          </w:p>
        </w:tc>
        <w:tc>
          <w:tcPr>
            <w:tcW w:w="1700" w:type="dxa"/>
            <w:vAlign w:val="top"/>
          </w:tcPr>
          <w:p>
            <w:pPr>
              <w:pStyle w:val="TableText"/>
              <w:spacing w:before="40" w:after="40" w:line="240" w:lineRule="auto"/>
              <w:jc w:val="left"/>
            </w:pPr>
            <w:r>
              <w:rPr>
                <w:sz w:val="20"/>
                <w:szCs w:val="20"/>
              </w:rPr>
              <w:t xml:space="preserve">Tres horas</w:t>
            </w:r>
          </w:p>
        </w:tc>
        <w:tc>
          <w:tcPr>
            <w:tcW w:w="1300" w:type="dxa"/>
            <w:vAlign w:val="top"/>
          </w:tcPr>
          <w:p>
            <w:pPr>
              <w:pStyle w:val="TableText"/>
              <w:spacing w:before="40" w:after="40" w:line="240" w:lineRule="auto"/>
              <w:jc w:val="right"/>
            </w:pPr>
            <w:r>
              <w:rPr>
                <w:sz w:val="20"/>
                <w:szCs w:val="20"/>
              </w:rPr>
              <w:t xml:space="preserve">434</w:t>
            </w:r>
          </w:p>
        </w:tc>
        <w:tc>
          <w:tcPr>
            <w:tcW w:w="1700" w:type="dxa"/>
            <w:vAlign w:val="top"/>
          </w:tcPr>
          <w:p>
            <w:pPr>
              <w:pStyle w:val="TableText"/>
              <w:spacing w:before="40" w:after="40" w:line="240" w:lineRule="auto"/>
              <w:jc w:val="right"/>
            </w:pPr>
            <w:r>
              <w:rPr>
                <w:sz w:val="20"/>
                <w:szCs w:val="20"/>
              </w:rPr>
              <w:t xml:space="preserve">4,88</w:t>
            </w:r>
          </w:p>
        </w:tc>
        <w:tc>
          <w:tcPr>
            <w:tcW w:w="2160" w:type="dxa"/>
            <w:vAlign w:val="top"/>
          </w:tcPr>
          <w:p>
            <w:pPr>
              <w:pStyle w:val="TableText"/>
              <w:spacing w:before="40" w:after="40" w:line="240" w:lineRule="auto"/>
              <w:jc w:val="left"/>
            </w:pPr>
            <w:r>
              <w:rPr>
                <w:sz w:val="20"/>
                <w:szCs w:val="20"/>
              </w:rPr>
              <w:t xml:space="preserve">v2.0-it1/04-captura-eventos/02_grafana-dashboard-siem.png</w:t>
            </w:r>
          </w:p>
        </w:tc>
      </w:tr>
      <w:tr>
        <w:trPr>
          <w:cantSplit/>
        </w:trPr>
        <w:tc>
          <w:tcPr>
            <w:tcW w:w="2500" w:type="dxa"/>
            <w:vAlign w:val="top"/>
          </w:tcPr>
          <w:p>
            <w:pPr>
              <w:pStyle w:val="TableText"/>
              <w:spacing w:before="40" w:after="40" w:line="240" w:lineRule="auto"/>
              <w:jc w:val="left"/>
            </w:pPr>
            <w:r>
              <w:rPr>
                <w:sz w:val="20"/>
                <w:szCs w:val="20"/>
              </w:rPr>
              <w:t xml:space="preserve">Servicio de Impuestos Nacionales, medición final</w:t>
            </w:r>
          </w:p>
        </w:tc>
        <w:tc>
          <w:tcPr>
            <w:tcW w:w="1700" w:type="dxa"/>
            <w:vAlign w:val="top"/>
          </w:tcPr>
          <w:p>
            <w:pPr>
              <w:pStyle w:val="TableText"/>
              <w:spacing w:before="40" w:after="40" w:line="240" w:lineRule="auto"/>
              <w:jc w:val="left"/>
            </w:pPr>
            <w:r>
              <w:rPr>
                <w:sz w:val="20"/>
                <w:szCs w:val="20"/>
              </w:rPr>
              <w:t xml:space="preserve">Veinticuatro horas</w:t>
            </w:r>
          </w:p>
        </w:tc>
        <w:tc>
          <w:tcPr>
            <w:tcW w:w="1300" w:type="dxa"/>
            <w:vAlign w:val="top"/>
          </w:tcPr>
          <w:p>
            <w:pPr>
              <w:pStyle w:val="TableText"/>
              <w:spacing w:before="40" w:after="40" w:line="240" w:lineRule="auto"/>
              <w:jc w:val="right"/>
            </w:pPr>
            <w:r>
              <w:rPr>
                <w:sz w:val="20"/>
                <w:szCs w:val="20"/>
              </w:rPr>
              <w:t xml:space="preserve">35,1 mil</w:t>
            </w:r>
          </w:p>
        </w:tc>
        <w:tc>
          <w:tcPr>
            <w:tcW w:w="1700" w:type="dxa"/>
            <w:vAlign w:val="top"/>
          </w:tcPr>
          <w:p>
            <w:pPr>
              <w:pStyle w:val="TableText"/>
              <w:spacing w:before="40" w:after="40" w:line="240" w:lineRule="auto"/>
              <w:jc w:val="right"/>
            </w:pPr>
            <w:r>
              <w:rPr>
                <w:sz w:val="20"/>
                <w:szCs w:val="20"/>
              </w:rPr>
              <w:t xml:space="preserve">6,20</w:t>
            </w:r>
          </w:p>
        </w:tc>
        <w:tc>
          <w:tcPr>
            <w:tcW w:w="2160" w:type="dxa"/>
            <w:vAlign w:val="top"/>
          </w:tcPr>
          <w:p>
            <w:pPr>
              <w:pStyle w:val="TableText"/>
              <w:spacing w:before="40" w:after="40" w:line="240" w:lineRule="auto"/>
              <w:jc w:val="left"/>
            </w:pPr>
            <w:r>
              <w:rPr>
                <w:sz w:val="20"/>
                <w:szCs w:val="20"/>
              </w:rPr>
              <w:t xml:space="preserve">v2.1-it2/04-captura-eventos/05_grafana-dashboard-siem.png</w:t>
            </w:r>
          </w:p>
        </w:tc>
      </w:tr>
    </w:tbl>
    <w:p>
      <w:pPr>
        <w:pStyle w:val="TableNote"/>
        <w:spacing w:before="60" w:after="240" w:line="240" w:lineRule="auto"/>
      </w:pPr>
      <w:r>
        <w:rPr>
          <w:sz w:val="20"/>
          <w:szCs w:val="20"/>
        </w:rPr>
        <w:t xml:space="preserve">Nota. </w:t>
      </w:r>
      <w:r>
        <w:rPr>
          <w:sz w:val="20"/>
          <w:szCs w:val="20"/>
        </w:rPr>
        <w:t xml:space="preserve">Las ventanas temporales de los dos paneles del segundo laboratorio difieren porque la cadena de indexación se puso en marcha entre una captura y la otra, de manera que el lector no interprete los totales como una serie homogénea. La cifra de 35,1 mil se reproduce tal como la declara la captura del tablero.</w:t>
      </w:r>
    </w:p>
    <w:p>
      <w:pPr>
        <w:pStyle w:val="Normal"/>
        <w:spacing w:after="0" w:line="480" w:lineRule="auto"/>
        <w:ind w:firstLine="720"/>
        <w:jc w:val="both"/>
      </w:pPr>
      <w:r>
        <w:t xml:space="preserve">La diferencia de ventanas responde a la puesta en marcha de la cadena de indexación entre una captura y la otra, de manera que la comparación de paneles se apoya en la tendencia y no en la igualdad de los totales, mientras que las tres figuras siguientes reproducen cada panel con su nota de origen.</w:t>
      </w:r>
    </w:p>
    <w:p>
      <w:pPr>
        <w:pStyle w:val="FigureCaption"/>
        <w:keepNext/>
        <w:spacing w:before="240" w:after="0" w:line="240" w:lineRule="auto"/>
      </w:pPr>
      <w:r>
        <w:rPr>
          <w:b/>
          <w:bCs/>
          <w:i w:val="false"/>
          <w:iCs w:val="false"/>
          <w:sz w:val="22"/>
          <w:szCs w:val="22"/>
        </w:rPr>
        <w:t xml:space="preserve">Figura 16</w:t>
      </w:r>
    </w:p>
    <w:p>
      <w:pPr>
        <w:pStyle w:val="FigureCaption"/>
        <w:keepNext/>
        <w:spacing w:before="0" w:after="120" w:line="240" w:lineRule="auto"/>
      </w:pPr>
      <w:r>
        <w:rPr>
          <w:sz w:val="22"/>
          <w:szCs w:val="22"/>
        </w:rPr>
        <w:t xml:space="preserve">Panel de indicadores del TaxFisco Research Lab</w:t>
      </w:r>
    </w:p>
    <w:p>
      <w:pPr>
        <w:pStyle w:val="FigureImage"/>
        <w:spacing w:before="120" w:after="60" w:line="240" w:lineRule="auto"/>
        <w:jc w:val="center"/>
      </w:pPr>
      <w:r>
        <w:drawing>
          <wp:inline xmlns:wp="http://schemas.openxmlformats.org/drawingml/2006/wordprocessingDrawing" distT="0" distB="0" distL="0" distR="0">
            <wp:extent cx="5943600" cy="4829175"/>
            <wp:effectExtent l="0" t="0" r="0" b="0"/>
            <wp:docPr id="16" name="Figura 16" descr="Panel de indicadores del TaxFisco Research Lab con 199 alertas indexadas, nivel medio 3,92 y nivel máxim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1-indicadores.png"/>
                    <pic:cNvPicPr/>
                  </pic:nvPicPr>
                  <pic:blipFill>
                    <a:blip xmlns:r="http://schemas.openxmlformats.org/officeDocument/2006/relationships" r:embed="R5e43c4ee8c1f45cd"/>
                    <a:stretch>
                      <a:fillRect/>
                    </a:stretch>
                  </pic:blipFill>
                  <pic:spPr>
                    <a:xfrm>
                      <a:off x="0" y="0"/>
                      <a:ext cx="5943600" cy="4829175"/>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El panel declara 199 alertas indexadas, distribuidas en 152 de severidad baja, 45 alta y dos media. La imagen procede del archivo evidencias/07-metricas/04_grafana-kpis.png.</w:t>
      </w:r>
    </w:p>
    <w:p>
      <w:pPr>
        <w:pStyle w:val="FigureCaption"/>
        <w:keepNext/>
        <w:spacing w:before="240" w:after="0" w:line="240" w:lineRule="auto"/>
      </w:pPr>
      <w:r>
        <w:rPr>
          <w:b/>
          <w:bCs/>
          <w:i w:val="false"/>
          <w:iCs w:val="false"/>
          <w:sz w:val="22"/>
          <w:szCs w:val="22"/>
        </w:rPr>
        <w:t xml:space="preserve">Figura 17</w:t>
      </w:r>
    </w:p>
    <w:p>
      <w:pPr>
        <w:pStyle w:val="FigureCaption"/>
        <w:keepNext/>
        <w:spacing w:before="0" w:after="120" w:line="240" w:lineRule="auto"/>
      </w:pPr>
      <w:r>
        <w:rPr>
          <w:sz w:val="22"/>
          <w:szCs w:val="22"/>
        </w:rPr>
        <w:t xml:space="preserve">Tablero de alertas del laboratorio del Servicio de Impuestos Nacionales en la vuelta 1</w:t>
      </w:r>
    </w:p>
    <w:p>
      <w:pPr>
        <w:pStyle w:val="FigureImage"/>
        <w:spacing w:before="120" w:after="60" w:line="240" w:lineRule="auto"/>
        <w:jc w:val="center"/>
      </w:pPr>
      <w:r>
        <w:drawing>
          <wp:inline xmlns:wp="http://schemas.openxmlformats.org/drawingml/2006/wordprocessingDrawing" distT="0" distB="0" distL="0" distR="0">
            <wp:extent cx="5943600" cy="3714750"/>
            <wp:effectExtent l="0" t="0" r="0" b="0"/>
            <wp:docPr id="17" name="Figura 17" descr="Tablero de alertas del laboratorio SIN en la vuelta 1 con 434 alertas indexadas y picos aislados en la serie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2-vuelta-1.png"/>
                    <pic:cNvPicPr/>
                  </pic:nvPicPr>
                  <pic:blipFill>
                    <a:blip xmlns:r="http://schemas.openxmlformats.org/officeDocument/2006/relationships" r:embed="R3b2aac29feb44a78"/>
                    <a:stretch>
                      <a:fillRect/>
                    </a:stretch>
                  </pic:blipFill>
                  <pic:spPr>
                    <a:xfrm>
                      <a:off x="0" y="0"/>
                      <a:ext cx="5943600" cy="371475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serie temporal muestra picos aislados y un nivel medio de alerta de 4,88 sobre cuatrocientas treinta y cuatro alertas indexadas. La imagen procede del archivo v2.0-it1/04-captura-eventos/02_grafana-dashboard-siem.png.</w:t>
      </w:r>
    </w:p>
    <w:p>
      <w:pPr>
        <w:pStyle w:val="FigureCaption"/>
        <w:keepNext/>
        <w:spacing w:before="240" w:after="0" w:line="240" w:lineRule="auto"/>
      </w:pPr>
      <w:r>
        <w:rPr>
          <w:b/>
          <w:bCs/>
          <w:i w:val="false"/>
          <w:iCs w:val="false"/>
          <w:sz w:val="22"/>
          <w:szCs w:val="22"/>
        </w:rPr>
        <w:t xml:space="preserve">Figura 18</w:t>
      </w:r>
    </w:p>
    <w:p>
      <w:pPr>
        <w:pStyle w:val="FigureCaption"/>
        <w:keepNext/>
        <w:spacing w:before="0" w:after="120" w:line="240" w:lineRule="auto"/>
      </w:pPr>
      <w:r>
        <w:rPr>
          <w:sz w:val="22"/>
          <w:szCs w:val="22"/>
        </w:rPr>
        <w:t xml:space="preserve">Tablero de alertas del laboratorio del Servicio de Impuestos Nacionales en la medición final</w:t>
      </w:r>
    </w:p>
    <w:p>
      <w:pPr>
        <w:pStyle w:val="FigureImage"/>
        <w:spacing w:before="120" w:after="60" w:line="240" w:lineRule="auto"/>
        <w:jc w:val="center"/>
      </w:pPr>
      <w:r>
        <w:drawing>
          <wp:inline xmlns:wp="http://schemas.openxmlformats.org/drawingml/2006/wordprocessingDrawing" distT="0" distB="0" distL="0" distR="0">
            <wp:extent cx="5943600" cy="3714750"/>
            <wp:effectExtent l="0" t="0" r="0" b="0"/>
            <wp:docPr id="18" name="Figura 18" descr="Tablero de alertas del laboratorio SIN en la medición final con 35,1 mil alertas indexadas y actividad sost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2-vuelta-2.png"/>
                    <pic:cNvPicPr/>
                  </pic:nvPicPr>
                  <pic:blipFill>
                    <a:blip xmlns:r="http://schemas.openxmlformats.org/officeDocument/2006/relationships" r:embed="R3090c15e154348e2"/>
                    <a:stretch>
                      <a:fillRect/>
                    </a:stretch>
                  </pic:blipFill>
                  <pic:spPr>
                    <a:xfrm>
                      <a:off x="0" y="0"/>
                      <a:ext cx="5943600" cy="3714750"/>
                    </a:xfrm>
                    <a:prstGeom prst="rect">
                      <a:avLst/>
                    </a:prstGeom>
                  </pic:spPr>
                </pic:pic>
              </a:graphicData>
            </a:graphic>
          </wp:inline>
        </w:drawing>
      </w:r>
    </w:p>
    <w:p>
      <w:pPr>
        <w:pStyle w:val="TableNote"/>
        <w:spacing w:before="40" w:after="240" w:line="240" w:lineRule="auto"/>
      </w:pPr>
      <w:r>
        <w:rPr>
          <w:sz w:val="20"/>
          <w:szCs w:val="20"/>
        </w:rPr>
        <w:t xml:space="preserve">Nota. </w:t>
      </w:r>
      <w:r>
        <w:rPr>
          <w:sz w:val="20"/>
          <w:szCs w:val="20"/>
        </w:rPr>
        <w:t xml:space="preserve">La serie temporal sostiene actividad a lo largo de toda la ventana y el nivel medio de alerta sube a 6,20. La imagen procede del archivo v2.1-it2/04-captura-eventos/05_grafana-dashboard-siem.png.</w:t>
      </w:r>
    </w:p>
    <w:p>
      <w:pPr>
        <w:pStyle w:val="Heading1"/>
        <w:keepNext/>
        <w:spacing w:before="360" w:after="120" w:line="240" w:lineRule="auto"/>
        <w:jc w:val="left"/>
        <w:outlineLvl w:val="0"/>
      </w:pPr>
      <w:r>
        <w:rPr>
          <w:b/>
          <w:bCs/>
        </w:rPr>
        <w:t xml:space="preserve">16. Naturaleza del dato posterior y trazabilidad de la medición</w:t>
      </w:r>
    </w:p>
    <w:p>
      <w:pPr>
        <w:pStyle w:val="Normal"/>
        <w:spacing w:after="0" w:line="480" w:lineRule="auto"/>
        <w:ind w:firstLine="720"/>
        <w:jc w:val="both"/>
      </w:pPr>
      <w:r>
        <w:t xml:space="preserve">El capítulo distingue la naturaleza de los dos conjuntos de cifras, de manera que la comparación conserve su valor interpretativo. La línea base de 52,70 % se calcula sobre una matriz de treinta respondentes con distribución natural de cero a cuatro, de manera que el alfa de Cronbach de 0,868989 acompaña ese conjunto de respuestas.</w:t>
      </w:r>
    </w:p>
    <w:p>
      <w:pPr>
        <w:pStyle w:val="Normal"/>
        <w:spacing w:after="0" w:line="480" w:lineRule="auto"/>
        <w:ind w:firstLine="720"/>
        <w:jc w:val="both"/>
      </w:pPr>
      <w:r>
        <w:t xml:space="preserve">La cifra posterior de 99,09 % procede del libro de resultados de la medición posterior, de manera que el capítulo la presenta con ese carácter declarado. La matriz posterior concentra el noventa y seis por ciento de las respuestas en el valor superior de la escala, de manera que veintiocho de los treinta participantes alcanzan el mismo puntaje y el desglose individual de esa matriz no resulta auditable desde el libro.</w:t>
      </w:r>
    </w:p>
    <w:p>
      <w:pPr>
        <w:pStyle w:val="Normal"/>
        <w:spacing w:after="0" w:line="480" w:lineRule="auto"/>
        <w:ind w:firstLine="720"/>
        <w:jc w:val="both"/>
      </w:pPr>
      <w:r>
        <w:t xml:space="preserve">El capítulo registra esa diferencia de trazabilidad porque una medición de madurez exige que el lector sepa qué grado de detalle respalda cada cifra. La comparación entre las dos mediciones se sostiene en el resultado global que el libro declara para cada momento, no en un desglose por reactivo que el libro no ofrece en su versión posterior. La trazabilidad del dato es un requisito habitual en los marcos de medición de la gestión de incidentes (Cawthra et al., 2024), de manera que declararla forma parte del resultado y no de sus límites.</w:t>
      </w:r>
    </w:p>
    <w:p>
      <w:pPr>
        <w:pStyle w:val="Normal"/>
        <w:spacing w:after="0" w:line="480" w:lineRule="auto"/>
        <w:ind w:firstLine="720"/>
        <w:jc w:val="both"/>
      </w:pPr>
      <w:r>
        <w:t xml:space="preserve">El resto de los resultados del capítulo tiene un origen distinto, porque cada cifra de los dos laboratorios remite a un archivo de evidencia verificado en el repositorio. En esos casos el lector puede reconstruir el dato desde su archivo de origen, de manera que la trazabilidad del capítulo es completa en el plano técnico.</w:t>
      </w:r>
    </w:p>
    <w:p>
      <w:pPr>
        <w:pStyle w:val="Heading1"/>
        <w:keepNext/>
        <w:spacing w:before="360" w:after="120" w:line="240" w:lineRule="auto"/>
        <w:jc w:val="left"/>
        <w:outlineLvl w:val="0"/>
      </w:pPr>
      <w:r>
        <w:rPr>
          <w:b/>
          <w:bCs/>
        </w:rPr>
        <w:t xml:space="preserve">Referencias</w:t>
      </w:r>
    </w:p>
    <w:p>
      <w:pPr>
        <w:pStyle w:val="Normal"/>
        <w:ind w:left="720" w:hanging="720"/>
        <w:spacing w:after="0" w:line="480" w:lineRule="auto"/>
        <w:jc w:val="left"/>
      </w:pPr>
      <w:r>
        <w:t xml:space="preserve">Cawthra, J., Ekstrom, M., Lusty, L., Sexton, J., &amp; Sweetnam, J. (2024). </w:t>
      </w:r>
      <w:r>
        <w:rPr>
          <w:i/>
          <w:iCs/>
        </w:rPr>
        <w:t xml:space="preserve">NIST SP 800-61 Rev. 3: Incident response recommendations and considerations for cybersecurity risk management</w:t>
      </w:r>
      <w:r>
        <w:t xml:space="preserve">. National Institute of Standards and Technology.</w:t>
      </w:r>
    </w:p>
    <w:p>
      <w:pPr>
        <w:pStyle w:val="Normal"/>
        <w:ind w:left="720" w:hanging="720"/>
        <w:spacing w:after="0" w:line="480" w:lineRule="auto"/>
        <w:jc w:val="left"/>
      </w:pPr>
      <w:r>
        <w:t xml:space="preserve">Fraunholz, D., Duong, H. H. D., Pohl, M., Ruland, C., &amp; Schotten, H. D. (2018). Demystifying deception technology: A systematic literature review. </w:t>
      </w:r>
      <w:r>
        <w:rPr>
          <w:i/>
          <w:iCs/>
        </w:rPr>
        <w:t xml:space="preserve">Computers &amp; Security</w:t>
      </w:r>
      <w:r>
        <w:t xml:space="preserve">.</w:t>
      </w:r>
    </w:p>
    <w:p>
      <w:pPr>
        <w:pStyle w:val="Normal"/>
        <w:ind w:left="720" w:hanging="720"/>
        <w:spacing w:after="0" w:line="480" w:lineRule="auto"/>
        <w:jc w:val="left"/>
      </w:pPr>
      <w:r>
        <w:t xml:space="preserve">International Organization for Standardization. (2022). </w:t>
      </w:r>
      <w:r>
        <w:rPr>
          <w:i/>
          <w:iCs/>
        </w:rPr>
        <w:t xml:space="preserve">ISO/IEC 27001:2022. Information security, cybersecurity and privacy protection. Information security management systems. Requirements</w:t>
      </w:r>
      <w:r>
        <w:t xml:space="preserve">.</w:t>
      </w:r>
    </w:p>
    <w:p>
      <w:pPr>
        <w:pStyle w:val="Normal"/>
        <w:ind w:left="720" w:hanging="720"/>
        <w:spacing w:after="0" w:line="480" w:lineRule="auto"/>
        <w:jc w:val="left"/>
      </w:pPr>
      <w:r>
        <w:t xml:space="preserve">International Organization for Standardization. (2023). </w:t>
      </w:r>
      <w:r>
        <w:rPr>
          <w:i/>
          <w:iCs/>
        </w:rPr>
        <w:t xml:space="preserve">ISO/IEC 27035-1:2023. Information security incident management. Part 1: Principles and process</w:t>
      </w:r>
      <w:r>
        <w:t xml:space="preserve">.</w:t>
      </w:r>
    </w:p>
    <w:p>
      <w:pPr>
        <w:pStyle w:val="Normal"/>
        <w:ind w:left="720" w:hanging="720"/>
        <w:spacing w:after="0" w:line="480" w:lineRule="auto"/>
        <w:jc w:val="left"/>
      </w:pPr>
      <w:r>
        <w:t xml:space="preserve">MITRE Corporation. (2024). </w:t>
      </w:r>
      <w:r>
        <w:rPr>
          <w:i/>
          <w:iCs/>
        </w:rPr>
        <w:t xml:space="preserve">MITRE ATT&amp;CK Enterprise matrix</w:t>
      </w:r>
      <w:r>
        <w:t xml:space="preserve">. https://attack.mitre.org/</w:t>
      </w:r>
    </w:p>
    <w:p>
      <w:pPr>
        <w:pStyle w:val="Normal"/>
        <w:ind w:left="720" w:hanging="720"/>
        <w:spacing w:after="0" w:line="480" w:lineRule="auto"/>
        <w:jc w:val="left"/>
      </w:pPr>
      <w:r>
        <w:t xml:space="preserve">Spitzner, L. (2003). </w:t>
      </w:r>
      <w:r>
        <w:rPr>
          <w:i/>
          <w:iCs/>
        </w:rPr>
        <w:t xml:space="preserve">Honeypots: Tracking hackers</w:t>
      </w:r>
      <w:r>
        <w:t xml:space="preserve">. Addison-Wesley.</w:t>
      </w:r>
    </w:p>
    <w:sectPr>
      <w:headerReference xmlns:r="http://schemas.openxmlformats.org/officeDocument/2006/relationships" w:type="first" r:id="Rbf4177e5d4e84f9f"/>
      <w:headerReference xmlns:r="http://schemas.openxmlformats.org/officeDocument/2006/relationships" w:type="default" r:id="Ra358897dc7934784"/>
      <w:titlePg/>
      <w:pgSz w:w="12240" w:h="15840"/>
      <w:pgMar w:top="1440" w:right="1440" w:bottom="1440" w:left="1440" w:header="720" w:footer="720" w:gutter="0"/>
      <w:cols w:space="708"/>
      <w:docGrid w:linePitch="360"/>
    </w:sectPr>
  </w:body>
</w:document>
</file>

<file path=word/header1.xml><?xml version="1.0" encoding="utf-8"?>
<w:hdr xmlns:w="http://schemas.openxmlformats.org/wordprocessingml/2006/main">
  <w:p>
    <w:pPr>
      <w:pStyle w:val="HeaderFooter"/>
      <w:tabs>
        <w:tab w:val="right" w:pos="9360"/>
      </w:tabs>
      <w:spacing w:after="0" w:line="240" w:lineRule="auto"/>
    </w:pPr>
    <w:r>
      <w:rPr>
        <w:sz w:val="20"/>
      </w:rPr>
      <w:t xml:space="preserve">Metodología Honeypot en servicios fiscales</w:t>
    </w:r>
    <w:r>
      <w:tab/>
    </w:r>
    <w:r>
      <w:fldChar w:fldCharType="begin"/>
    </w:r>
    <w:r>
      <w:instrText xml:space="preserve"> PAGE </w:instrText>
    </w:r>
    <w:r>
      <w:fldChar w:fldCharType="separate"/>
    </w:r>
    <w:r>
      <w:rPr>
        <w:sz w:val="20"/>
      </w:rPr>
      <w:t>1</w:t>
    </w:r>
    <w:r>
      <w:fldChar w:fldCharType="end"/>
    </w:r>
  </w:p>
</w:hdr>
</file>

<file path=word/header2.xml><?xml version="1.0" encoding="utf-8"?>
<w:hdr xmlns:w="http://schemas.openxmlformats.org/wordprocessingml/2006/main">
  <w:p>
    <w:pPr>
      <w:pStyle w:val="HeaderFooter"/>
    </w:pPr>
  </w:p>
</w:hdr>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s-BO"/>
      </w:rPr>
    </w:rPrDefault>
    <w:pPrDefault>
      <w:pPr>
        <w:spacing w:after="0" w:line="480" w:lineRule="auto"/>
      </w:pPr>
    </w:pPrDefault>
  </w:docDefaults>
  <w:style w:type="paragraph" w:styleId="Normal" w:default="true">
    <w:name w:val="Normal"/>
    <w:qFormat/>
    <w:pPr>
      <w:spacing w:after="0" w:line="480" w:lineRule="auto"/>
      <w:jc w:val="both"/>
    </w:pPr>
  </w:style>
  <w:style w:type="paragraph" w:styleId="Heading1">
    <w:name w:val="heading 1"/>
    <w:basedOn w:val="Normal"/>
    <w:next w:val="Normal"/>
    <w:uiPriority w:val="9"/>
    <w:qFormat/>
    <w:pPr>
      <w:keepNext/>
      <w:keepLines/>
      <w:spacing w:before="360" w:after="120" w:line="240" w:lineRule="auto"/>
      <w:jc w:val="left"/>
      <w:outlineLvl w:val="0"/>
    </w:pPr>
    <w:rPr>
      <w:rFonts w:ascii="Times New Roman" w:hAnsi="Times New Roman" w:cs="Times New Roman"/>
      <w:b/>
      <w:bCs/>
      <w:color w:val="000000"/>
      <w:sz w:val="28"/>
      <w:szCs w:val="28"/>
    </w:rPr>
  </w:style>
  <w:style w:type="paragraph" w:styleId="Heading2">
    <w:name w:val="heading 2"/>
    <w:basedOn w:val="Normal"/>
    <w:next w:val="Normal"/>
    <w:uiPriority w:val="9"/>
    <w:qFormat/>
    <w:pPr>
      <w:keepNext/>
      <w:keepLines/>
      <w:spacing w:before="280" w:after="120" w:line="240" w:lineRule="auto"/>
      <w:jc w:val="left"/>
      <w:outlineLvl w:val="1"/>
    </w:pPr>
    <w:rPr>
      <w:rFonts w:ascii="Times New Roman" w:hAnsi="Times New Roman" w:cs="Times New Roman"/>
      <w:b/>
      <w:bCs/>
      <w:color w:val="000000"/>
      <w:sz w:val="26"/>
      <w:szCs w:val="26"/>
    </w:rPr>
  </w:style>
  <w:style w:type="paragraph" w:styleId="Heading3">
    <w:name w:val="heading 3"/>
    <w:basedOn w:val="Normal"/>
    <w:next w:val="Normal"/>
    <w:uiPriority w:val="9"/>
    <w:qFormat/>
    <w:pPr>
      <w:keepNext/>
      <w:keepLines/>
      <w:spacing w:before="280" w:after="120" w:line="240" w:lineRule="auto"/>
      <w:jc w:val="left"/>
      <w:outlineLvl w:val="2"/>
    </w:pPr>
    <w:rPr>
      <w:rFonts w:ascii="Times New Roman" w:hAnsi="Times New Roman" w:cs="Times New Roman"/>
      <w:b/>
      <w:bCs/>
      <w:color w:val="000000"/>
      <w:sz w:val="24"/>
      <w:szCs w:val="24"/>
    </w:rPr>
  </w:style>
  <w:style w:type="paragraph" w:styleId="TableTitle">
    <w:name w:val="Table Title"/>
    <w:basedOn w:val="Normal"/>
    <w:next w:val="Normal"/>
    <w:pPr>
      <w:spacing w:before="240" w:after="80" w:line="240" w:lineRule="auto"/>
      <w:jc w:val="left"/>
    </w:pPr>
    <w:rPr>
      <w:rFonts w:ascii="Times New Roman" w:hAnsi="Times New Roman" w:cs="Times New Roman"/>
      <w:i/>
      <w:iCs/>
      <w:sz w:val="22"/>
      <w:szCs w:val="22"/>
    </w:rPr>
  </w:style>
  <w:style w:type="paragraph" w:styleId="TableText">
    <w:name w:val="Table Text"/>
    <w:basedOn w:val="Normal"/>
    <w:pPr>
      <w:spacing w:before="40" w:after="40" w:line="240" w:lineRule="auto"/>
      <w:jc w:val="left"/>
    </w:pPr>
    <w:rPr>
      <w:rFonts w:ascii="Times New Roman" w:hAnsi="Times New Roman" w:cs="Times New Roman"/>
      <w:sz w:val="20"/>
      <w:szCs w:val="20"/>
    </w:rPr>
  </w:style>
  <w:style w:type="paragraph" w:styleId="TableNote">
    <w:name w:val="Table Note"/>
    <w:basedOn w:val="Normal"/>
    <w:pPr>
      <w:spacing w:before="60" w:after="240" w:line="240" w:lineRule="auto"/>
      <w:jc w:val="left"/>
    </w:pPr>
    <w:rPr>
      <w:rFonts w:ascii="Times New Roman" w:hAnsi="Times New Roman" w:cs="Times New Roman"/>
      <w:sz w:val="20"/>
      <w:szCs w:val="20"/>
    </w:rPr>
  </w:style>
  <w:style w:type="paragraph" w:styleId="FigureCaption">
    <w:name w:val="Figure Caption"/>
    <w:basedOn w:val="Normal"/>
    <w:pPr>
      <w:spacing w:before="0" w:after="0" w:line="240" w:lineRule="auto"/>
      <w:jc w:val="left"/>
    </w:pPr>
    <w:rPr>
      <w:rFonts w:ascii="Times New Roman" w:hAnsi="Times New Roman" w:cs="Times New Roman"/>
      <w:sz w:val="22"/>
      <w:szCs w:val="22"/>
    </w:rPr>
  </w:style>
  <w:style w:type="paragraph" w:styleId="FigureImage">
    <w:name w:val="Figure Image"/>
    <w:basedOn w:val="Normal"/>
    <w:pPr>
      <w:spacing w:before="160" w:after="60" w:line="240" w:lineRule="auto"/>
      <w:jc w:val="center"/>
    </w:pPr>
  </w:style>
  <w:style w:type="paragraph" w:styleId="HeaderFooter">
    <w:name w:val="Header Footer"/>
    <w:basedOn w:val="Normal"/>
    <w:pPr>
      <w:spacing w:after="0" w:line="240" w:lineRule="auto"/>
    </w:pPr>
    <w:rPr>
      <w:rFonts w:ascii="Times New Roman" w:hAnsi="Times New Roman" w:cs="Times New Roman"/>
      <w:sz w:val="20"/>
      <w:szCs w:val="20"/>
    </w:rPr>
  </w:style>
  <w:style w:type="paragraph" w:styleId="CoverTitle">
    <w:name w:val="Cover Title"/>
    <w:basedOn w:val="Normal"/>
    <w:pPr>
      <w:spacing w:before="0" w:after="240" w:line="276" w:lineRule="auto"/>
      <w:jc w:val="center"/>
    </w:pPr>
    <w:rPr>
      <w:rFonts w:ascii="Times New Roman" w:hAnsi="Times New Roman" w:cs="Times New Roman"/>
      <w:b/>
      <w:bCs/>
      <w:sz w:val="32"/>
      <w:szCs w:val="32"/>
    </w:rPr>
  </w:style>
  <w:style w:type="paragraph" w:styleId="CoverText">
    <w:name w:val="Cover Text"/>
    <w:basedOn w:val="Normal"/>
    <w:pPr>
      <w:spacing w:before="0" w:after="120" w:line="276" w:lineRule="auto"/>
      <w:jc w:val="center"/>
    </w:pPr>
    <w:rPr>
      <w:rFonts w:ascii="Times New Roman" w:hAnsi="Times New Roman" w:cs="Times New Roman"/>
      <w:sz w:val="26"/>
      <w:szCs w:val="26"/>
    </w:rPr>
  </w:style>
</w:styles>
</file>

<file path=word/_rels/document.xml.rels>&#65279;<?xml version="1.0" encoding="utf-8"?><Relationships xmlns="http://schemas.openxmlformats.org/package/2006/relationships"><Relationship Type="http://schemas.openxmlformats.org/officeDocument/2006/relationships/styles" Target="/word/styles.xml" Id="Rd099c194f41a44c0" /><Relationship Type="http://schemas.openxmlformats.org/officeDocument/2006/relationships/header" Target="/word/header1.xml" Id="Ra358897dc7934784" /><Relationship Type="http://schemas.openxmlformats.org/officeDocument/2006/relationships/image" Target="/media/image.png" Id="R8bf6d654cf434e6b" /><Relationship Type="http://schemas.openxmlformats.org/officeDocument/2006/relationships/image" Target="/media/image2.png" Id="R125fbaf2874b458f" /><Relationship Type="http://schemas.openxmlformats.org/officeDocument/2006/relationships/image" Target="/media/image3.png" Id="R7c0d65177d664cfa" /><Relationship Type="http://schemas.openxmlformats.org/officeDocument/2006/relationships/image" Target="/media/image4.png" Id="Rc16e1ee1e26845e8" /><Relationship Type="http://schemas.openxmlformats.org/officeDocument/2006/relationships/image" Target="/media/image5.png" Id="Rb0d280dc738d4bd8" /><Relationship Type="http://schemas.openxmlformats.org/officeDocument/2006/relationships/image" Target="/media/image6.png" Id="R2b95919e17aa4a1f" /><Relationship Type="http://schemas.openxmlformats.org/officeDocument/2006/relationships/image" Target="/media/image7.png" Id="R17704def82414804" /><Relationship Type="http://schemas.openxmlformats.org/officeDocument/2006/relationships/image" Target="/media/image8.png" Id="R4c3a95d9530d4f0c" /><Relationship Type="http://schemas.openxmlformats.org/officeDocument/2006/relationships/image" Target="/media/image9.png" Id="R50bc589cb6cf41a0" /><Relationship Type="http://schemas.openxmlformats.org/officeDocument/2006/relationships/image" Target="/media/image10.png" Id="R8d503a2ad339489a" /><Relationship Type="http://schemas.openxmlformats.org/officeDocument/2006/relationships/image" Target="/media/image11.png" Id="Rbd697d615bf34b56" /><Relationship Type="http://schemas.openxmlformats.org/officeDocument/2006/relationships/image" Target="/media/image12.png" Id="Rd7c9b90625104678" /><Relationship Type="http://schemas.openxmlformats.org/officeDocument/2006/relationships/image" Target="/media/image13.png" Id="R7d2c0345268b4aeb" /><Relationship Type="http://schemas.openxmlformats.org/officeDocument/2006/relationships/image" Target="/media/image14.png" Id="Rea56c623b77e4b3e" /><Relationship Type="http://schemas.openxmlformats.org/officeDocument/2006/relationships/image" Target="/media/image15.png" Id="Rb339494201cb4fdf" /><Relationship Type="http://schemas.openxmlformats.org/officeDocument/2006/relationships/image" Target="/media/image16.png" Id="R5e43c4ee8c1f45cd" /><Relationship Type="http://schemas.openxmlformats.org/officeDocument/2006/relationships/image" Target="/media/image17.png" Id="R3b2aac29feb44a78" /><Relationship Type="http://schemas.openxmlformats.org/officeDocument/2006/relationships/image" Target="/media/image18.png" Id="R3090c15e154348e2" /><Relationship Type="http://schemas.openxmlformats.org/officeDocument/2006/relationships/header" Target="/word/header2.xml" Id="Rbf4177e5d4e84f9f" /></Relationships>
</file>