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outlineLvl w:val="0"/>
      </w:pPr>
      <w:r>
        <w:rPr>
          <w:rFonts w:ascii="Times New Roman" w:hAnsi="Times New Roman"/>
          <w:b/>
          <w:color w:val="1F3864"/>
          <w:sz w:val="32"/>
        </w:rPr>
        <w:t>Tablero de resultados</w:t>
      </w:r>
    </w:p>
    <w:p>
      <w:pPr>
        <w:spacing w:after="160" w:line="360" w:lineRule="auto"/>
        <w:jc w:val="both"/>
      </w:pPr>
      <w:r>
        <w:rPr>
          <w:rFonts w:ascii="Times New Roman" w:hAnsi="Times New Roman"/>
          <w:color w:val="222830"/>
          <w:sz w:val="24"/>
        </w:rPr>
        <w:t>Resultados del Prototipo II del laboratorio del Servicio de Impuestos Nacionales de Bolivia. El tablero presenta el antes, que es el diagnóstico de la situación actual, y el después, que es la metodología aplicada con sus dos iteraciones verificadas en el laboratorio. El apartado institucional incorpora el resultado comunicado por el Servicio de Impuestos Nacionales, la posición de los catorce instrumentos antes y después y la tabla que separa las cuatro fuentes de resultado del capítulo.</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Nota. El capítulo se apoya en cuatro fuentes de resultado y ninguna comparte escala con las demás. Nota. Los dos primeros conjuntos de datos se midieron con instrumentos distintos. El antes procede del autoinforme de treinta respondentes del área y el después de la instrumentalización del laboratorio. Todo el tablero enlaza ambos conjuntos por trazabilidad, de modo que ninguna cifra se estima y ninguna se presenta fuera de su contexto.</w:t>
            </w:r>
          </w:p>
        </w:tc>
      </w:tr>
    </w:tbl>
    <w:p>
      <w:pPr>
        <w:spacing w:after="80"/>
      </w:pPr>
    </w:p>
    <w:p>
      <w:pPr>
        <w:keepNext/>
        <w:spacing w:before="280" w:after="160"/>
        <w:outlineLvl w:val="1"/>
      </w:pPr>
      <w:r>
        <w:rPr>
          <w:rFonts w:ascii="Times New Roman" w:hAnsi="Times New Roman"/>
          <w:b/>
          <w:color w:val="1F3864"/>
          <w:sz w:val="27"/>
        </w:rPr>
        <w:t>A. El antes: diagnóstico de la situación actual</w:t>
      </w:r>
    </w:p>
    <w:p>
      <w:pPr>
        <w:spacing w:after="160" w:line="360" w:lineRule="auto"/>
        <w:jc w:val="both"/>
      </w:pPr>
      <w:r>
        <w:rPr>
          <w:rFonts w:ascii="Times New Roman" w:hAnsi="Times New Roman"/>
          <w:color w:val="222830"/>
          <w:sz w:val="24"/>
        </w:rPr>
        <w:t>Antes de aplicar la metodología se diagnosticó la gestión de incidentes del Servicio de Impuestos Nacionales de Bolivia con un instrumento de madurez aplicado a la totalidad del personal del área. Este apartado es el punto de partida, y todo lo que viene después se mide contra él.</w:t>
      </w:r>
    </w:p>
    <w:p>
      <w:pPr>
        <w:spacing w:before="200" w:after="80"/>
        <w:jc w:val="center"/>
      </w:pPr>
      <w:r>
        <w:drawing>
          <wp:inline xmlns:a="http://schemas.openxmlformats.org/drawingml/2006/main" xmlns:pic="http://schemas.openxmlformats.org/drawingml/2006/picture">
            <wp:extent cx="5760000" cy="2479200"/>
            <wp:docPr id="1" name="Picture 1"/>
            <wp:cNvGraphicFramePr>
              <a:graphicFrameLocks noChangeAspect="1"/>
            </wp:cNvGraphicFramePr>
            <a:graphic>
              <a:graphicData uri="http://schemas.openxmlformats.org/drawingml/2006/picture">
                <pic:pic>
                  <pic:nvPicPr>
                    <pic:cNvPr id="0" name="diag.png"/>
                    <pic:cNvPicPr/>
                  </pic:nvPicPr>
                  <pic:blipFill>
                    <a:blip r:embed="rId9"/>
                    <a:stretch>
                      <a:fillRect/>
                    </a:stretch>
                  </pic:blipFill>
                  <pic:spPr>
                    <a:xfrm>
                      <a:off x="0" y="0"/>
                      <a:ext cx="5760000" cy="2479200"/>
                    </a:xfrm>
                    <a:prstGeom prst="rect"/>
                  </pic:spPr>
                </pic:pic>
              </a:graphicData>
            </a:graphic>
          </wp:inline>
        </w:drawing>
      </w:r>
    </w:p>
    <w:p>
      <w:pPr>
        <w:spacing w:before="40" w:after="40"/>
        <w:jc w:val="center"/>
      </w:pPr>
      <w:r>
        <w:rPr>
          <w:rFonts w:ascii="Times New Roman" w:hAnsi="Times New Roman"/>
          <w:color w:val="222830"/>
          <w:sz w:val="20"/>
        </w:rPr>
        <w:t xml:space="preserve">Figura 1. </w:t>
      </w:r>
      <w:r>
        <w:rPr>
          <w:rFonts w:ascii="Times New Roman" w:hAnsi="Times New Roman"/>
          <w:i/>
          <w:color w:val="222830"/>
          <w:sz w:val="20"/>
        </w:rPr>
        <w:t>Porcentaje de cumplimiento por instrumento, frente a los cortes de madurez.</w:t>
      </w:r>
    </w:p>
    <w:p>
      <w:pPr>
        <w:spacing w:before="0" w:after="240"/>
        <w:ind w:left="283"/>
        <w:jc w:val="both"/>
      </w:pPr>
      <w:r>
        <w:rPr>
          <w:rFonts w:ascii="Times New Roman" w:hAnsi="Times New Roman"/>
          <w:color w:val="5A6878"/>
          <w:sz w:val="18"/>
        </w:rPr>
        <w:t>Nota. Ordenados de menor a mayor cumplimiento. Seis instrumentos quedan en nivel Básico y ocho en nivel Gestionado. Fuente: instrumento de madurez aplicado a treinta respondentes, α = 0,869.</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907"/>
        <w:gridCol w:w="793"/>
        <w:gridCol w:w="3402"/>
        <w:gridCol w:w="850"/>
        <w:gridCol w:w="1530"/>
        <w:gridCol w:w="1587"/>
      </w:tblGrid>
      <w:tr>
        <w:trPr>
          <w:tblHeader w:val="true"/>
        </w:trPr>
        <w:tc>
          <w:tcPr>
            <w:tcW w:type="dxa" w:w="907"/>
            <w:shd w:val="clear" w:fill="1F3864"/>
          </w:tcPr>
          <w:p>
            <w:pPr>
              <w:spacing w:before="40" w:after="40"/>
            </w:pPr>
            <w:r/>
            <w:r>
              <w:rPr>
                <w:rFonts w:ascii="Calibri" w:hAnsi="Calibri"/>
                <w:b/>
                <w:color w:val="FFFFFF"/>
                <w:sz w:val="18"/>
              </w:rPr>
              <w:t>Grupo</w:t>
            </w:r>
          </w:p>
        </w:tc>
        <w:tc>
          <w:tcPr>
            <w:tcW w:type="dxa" w:w="794"/>
            <w:shd w:val="clear" w:fill="1F3864"/>
          </w:tcPr>
          <w:p>
            <w:pPr>
              <w:spacing w:before="40" w:after="40"/>
            </w:pPr>
            <w:r/>
            <w:r>
              <w:rPr>
                <w:rFonts w:ascii="Calibri" w:hAnsi="Calibri"/>
                <w:b/>
                <w:color w:val="FFFFFF"/>
                <w:sz w:val="18"/>
              </w:rPr>
              <w:t>Instr.</w:t>
            </w:r>
          </w:p>
        </w:tc>
        <w:tc>
          <w:tcPr>
            <w:tcW w:type="dxa" w:w="3402"/>
            <w:shd w:val="clear" w:fill="1F3864"/>
          </w:tcPr>
          <w:p>
            <w:pPr>
              <w:spacing w:before="40" w:after="40"/>
            </w:pPr>
            <w:r/>
            <w:r>
              <w:rPr>
                <w:rFonts w:ascii="Calibri" w:hAnsi="Calibri"/>
                <w:b/>
                <w:color w:val="FFFFFF"/>
                <w:sz w:val="18"/>
              </w:rPr>
              <w:t>Subdimensión evaluada</w:t>
            </w:r>
          </w:p>
        </w:tc>
        <w:tc>
          <w:tcPr>
            <w:tcW w:type="dxa" w:w="850"/>
            <w:shd w:val="clear" w:fill="1F3864"/>
          </w:tcPr>
          <w:p>
            <w:pPr>
              <w:spacing w:before="40" w:after="40"/>
            </w:pPr>
            <w:r/>
            <w:r>
              <w:rPr>
                <w:rFonts w:ascii="Calibri" w:hAnsi="Calibri"/>
                <w:b/>
                <w:color w:val="FFFFFF"/>
                <w:sz w:val="18"/>
              </w:rPr>
              <w:t>Ítems</w:t>
            </w:r>
          </w:p>
        </w:tc>
        <w:tc>
          <w:tcPr>
            <w:tcW w:type="dxa" w:w="1531"/>
            <w:shd w:val="clear" w:fill="1F3864"/>
          </w:tcPr>
          <w:p>
            <w:pPr>
              <w:spacing w:before="40" w:after="40"/>
            </w:pPr>
            <w:r/>
            <w:r>
              <w:rPr>
                <w:rFonts w:ascii="Calibri" w:hAnsi="Calibri"/>
                <w:b/>
                <w:color w:val="FFFFFF"/>
                <w:sz w:val="18"/>
              </w:rPr>
              <w:t>Cumplimiento</w:t>
            </w:r>
          </w:p>
        </w:tc>
        <w:tc>
          <w:tcPr>
            <w:tcW w:type="dxa" w:w="1587"/>
            <w:shd w:val="clear" w:fill="1F3864"/>
          </w:tcPr>
          <w:p>
            <w:pPr>
              <w:spacing w:before="40" w:after="40"/>
            </w:pPr>
            <w:r/>
            <w:r>
              <w:rPr>
                <w:rFonts w:ascii="Calibri" w:hAnsi="Calibri"/>
                <w:b/>
                <w:color w:val="FFFFFF"/>
                <w:sz w:val="18"/>
              </w:rPr>
              <w:t>Nivel</w:t>
            </w:r>
          </w:p>
        </w:tc>
      </w:tr>
      <w:tr>
        <w:tc>
          <w:tcPr>
            <w:tcW w:type="dxa" w:w="907"/>
          </w:tcPr>
          <w:p>
            <w:pPr>
              <w:spacing w:before="40" w:after="40"/>
            </w:pPr>
            <w:r/>
            <w:r>
              <w:rPr>
                <w:rFonts w:ascii="Calibri" w:hAnsi="Calibri"/>
                <w:color w:val="222830"/>
                <w:sz w:val="18"/>
              </w:rPr>
              <w:t>G1</w:t>
            </w:r>
          </w:p>
        </w:tc>
        <w:tc>
          <w:tcPr>
            <w:tcW w:type="dxa" w:w="794"/>
          </w:tcPr>
          <w:p>
            <w:pPr>
              <w:spacing w:before="40" w:after="40"/>
            </w:pPr>
            <w:r/>
            <w:r>
              <w:rPr>
                <w:rFonts w:ascii="Calibri" w:hAnsi="Calibri"/>
                <w:color w:val="222830"/>
                <w:sz w:val="18"/>
              </w:rPr>
              <w:t>1</w:t>
            </w:r>
          </w:p>
        </w:tc>
        <w:tc>
          <w:tcPr>
            <w:tcW w:type="dxa" w:w="3402"/>
          </w:tcPr>
          <w:p>
            <w:pPr>
              <w:spacing w:before="40" w:after="40"/>
            </w:pPr>
            <w:r/>
            <w:r>
              <w:rPr>
                <w:rFonts w:ascii="Calibri" w:hAnsi="Calibri"/>
                <w:color w:val="222830"/>
                <w:sz w:val="18"/>
              </w:rPr>
              <w:t>Detección y registro de eventos</w:t>
            </w:r>
          </w:p>
        </w:tc>
        <w:tc>
          <w:tcPr>
            <w:tcW w:type="dxa" w:w="850"/>
          </w:tcPr>
          <w:p>
            <w:pPr>
              <w:spacing w:before="40" w:after="40"/>
            </w:pPr>
            <w:r/>
            <w:r>
              <w:rPr>
                <w:rFonts w:ascii="Calibri" w:hAnsi="Calibri"/>
                <w:color w:val="222830"/>
                <w:sz w:val="18"/>
              </w:rPr>
              <w:t>4</w:t>
            </w:r>
          </w:p>
        </w:tc>
        <w:tc>
          <w:tcPr>
            <w:tcW w:type="dxa" w:w="1531"/>
          </w:tcPr>
          <w:p>
            <w:pPr>
              <w:spacing w:before="40" w:after="40"/>
            </w:pPr>
            <w:r/>
            <w:r>
              <w:rPr>
                <w:rFonts w:ascii="Calibri" w:hAnsi="Calibri"/>
                <w:color w:val="222830"/>
                <w:sz w:val="18"/>
              </w:rPr>
              <w:t>48,54 %</w:t>
            </w:r>
          </w:p>
        </w:tc>
        <w:tc>
          <w:tcPr>
            <w:tcW w:type="dxa" w:w="1587"/>
          </w:tcPr>
          <w:p>
            <w:pPr>
              <w:spacing w:before="40" w:after="40"/>
            </w:pPr>
            <w:r/>
            <w:r>
              <w:rPr>
                <w:rFonts w:ascii="Calibri" w:hAnsi="Calibri"/>
                <w:color w:val="222830"/>
                <w:sz w:val="18"/>
              </w:rPr>
              <w:t>Básico</w:t>
            </w:r>
          </w:p>
        </w:tc>
      </w:tr>
      <w:tr>
        <w:tc>
          <w:tcPr>
            <w:tcW w:type="dxa" w:w="907"/>
            <w:shd w:val="clear" w:fill="EDF2F8"/>
          </w:tcPr>
          <w:p>
            <w:pPr>
              <w:spacing w:before="40" w:after="40"/>
            </w:pPr>
            <w:r/>
            <w:r>
              <w:rPr>
                <w:rFonts w:ascii="Calibri" w:hAnsi="Calibri"/>
                <w:color w:val="222830"/>
                <w:sz w:val="18"/>
              </w:rPr>
              <w:t>G1</w:t>
            </w:r>
          </w:p>
        </w:tc>
        <w:tc>
          <w:tcPr>
            <w:tcW w:type="dxa" w:w="794"/>
            <w:shd w:val="clear" w:fill="EDF2F8"/>
          </w:tcPr>
          <w:p>
            <w:pPr>
              <w:spacing w:before="40" w:after="40"/>
            </w:pPr>
            <w:r/>
            <w:r>
              <w:rPr>
                <w:rFonts w:ascii="Calibri" w:hAnsi="Calibri"/>
                <w:color w:val="222830"/>
                <w:sz w:val="18"/>
              </w:rPr>
              <w:t>2</w:t>
            </w:r>
          </w:p>
        </w:tc>
        <w:tc>
          <w:tcPr>
            <w:tcW w:type="dxa" w:w="3402"/>
            <w:shd w:val="clear" w:fill="EDF2F8"/>
          </w:tcPr>
          <w:p>
            <w:pPr>
              <w:spacing w:before="40" w:after="40"/>
            </w:pPr>
            <w:r/>
            <w:r>
              <w:rPr>
                <w:rFonts w:ascii="Calibri" w:hAnsi="Calibri"/>
                <w:color w:val="222830"/>
                <w:sz w:val="18"/>
              </w:rPr>
              <w:t>Clasificación y evidencia de incidentes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56,94 %</w:t>
            </w:r>
          </w:p>
        </w:tc>
        <w:tc>
          <w:tcPr>
            <w:tcW w:type="dxa" w:w="1587"/>
            <w:shd w:val="clear" w:fill="EDF2F8"/>
          </w:tcPr>
          <w:p>
            <w:pPr>
              <w:spacing w:before="40" w:after="40"/>
            </w:pPr>
            <w:r/>
            <w:r>
              <w:rPr>
                <w:rFonts w:ascii="Calibri" w:hAnsi="Calibri"/>
                <w:color w:val="222830"/>
                <w:sz w:val="18"/>
              </w:rPr>
              <w:t>Gestionado</w:t>
            </w:r>
          </w:p>
        </w:tc>
      </w:tr>
      <w:tr>
        <w:tc>
          <w:tcPr>
            <w:tcW w:type="dxa" w:w="907"/>
          </w:tcPr>
          <w:p>
            <w:pPr>
              <w:spacing w:before="40" w:after="40"/>
            </w:pPr>
            <w:r/>
            <w:r>
              <w:rPr>
                <w:rFonts w:ascii="Calibri" w:hAnsi="Calibri"/>
                <w:color w:val="222830"/>
                <w:sz w:val="18"/>
              </w:rPr>
              <w:t>G1</w:t>
            </w:r>
          </w:p>
        </w:tc>
        <w:tc>
          <w:tcPr>
            <w:tcW w:type="dxa" w:w="794"/>
          </w:tcPr>
          <w:p>
            <w:pPr>
              <w:spacing w:before="40" w:after="40"/>
            </w:pPr>
            <w:r/>
            <w:r>
              <w:rPr>
                <w:rFonts w:ascii="Calibri" w:hAnsi="Calibri"/>
                <w:color w:val="222830"/>
                <w:sz w:val="18"/>
              </w:rPr>
              <w:t>3</w:t>
            </w:r>
          </w:p>
        </w:tc>
        <w:tc>
          <w:tcPr>
            <w:tcW w:type="dxa" w:w="3402"/>
          </w:tcPr>
          <w:p>
            <w:pPr>
              <w:spacing w:before="40" w:after="40"/>
            </w:pPr>
            <w:r/>
            <w:r>
              <w:rPr>
                <w:rFonts w:ascii="Calibri" w:hAnsi="Calibri"/>
                <w:color w:val="222830"/>
                <w:sz w:val="18"/>
              </w:rPr>
              <w:t>Respuesta y tiempos de atención</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58,06 %</w:t>
            </w:r>
          </w:p>
        </w:tc>
        <w:tc>
          <w:tcPr>
            <w:tcW w:type="dxa" w:w="1587"/>
          </w:tcPr>
          <w:p>
            <w:pPr>
              <w:spacing w:before="40" w:after="40"/>
            </w:pPr>
            <w:r/>
            <w:r>
              <w:rPr>
                <w:rFonts w:ascii="Calibri" w:hAnsi="Calibri"/>
                <w:color w:val="222830"/>
                <w:sz w:val="18"/>
              </w:rPr>
              <w:t>Gestionado</w:t>
            </w:r>
          </w:p>
        </w:tc>
      </w:tr>
      <w:tr>
        <w:tc>
          <w:tcPr>
            <w:tcW w:type="dxa" w:w="907"/>
            <w:shd w:val="clear" w:fill="EDF2F8"/>
          </w:tcPr>
          <w:p>
            <w:pPr>
              <w:spacing w:before="40" w:after="40"/>
            </w:pPr>
            <w:r/>
            <w:r>
              <w:rPr>
                <w:rFonts w:ascii="Calibri" w:hAnsi="Calibri"/>
                <w:color w:val="222830"/>
                <w:sz w:val="18"/>
              </w:rPr>
              <w:t>G1</w:t>
            </w:r>
          </w:p>
        </w:tc>
        <w:tc>
          <w:tcPr>
            <w:tcW w:type="dxa" w:w="794"/>
            <w:shd w:val="clear" w:fill="EDF2F8"/>
          </w:tcPr>
          <w:p>
            <w:pPr>
              <w:spacing w:before="40" w:after="40"/>
            </w:pPr>
            <w:r/>
            <w:r>
              <w:rPr>
                <w:rFonts w:ascii="Calibri" w:hAnsi="Calibri"/>
                <w:color w:val="222830"/>
                <w:sz w:val="18"/>
              </w:rPr>
              <w:t>4</w:t>
            </w:r>
          </w:p>
        </w:tc>
        <w:tc>
          <w:tcPr>
            <w:tcW w:type="dxa" w:w="3402"/>
            <w:shd w:val="clear" w:fill="EDF2F8"/>
          </w:tcPr>
          <w:p>
            <w:pPr>
              <w:spacing w:before="40" w:after="40"/>
            </w:pPr>
            <w:r/>
            <w:r>
              <w:rPr>
                <w:rFonts w:ascii="Calibri" w:hAnsi="Calibri"/>
                <w:color w:val="222830"/>
                <w:sz w:val="18"/>
              </w:rPr>
              <w:t>Lecciones aprendidas y mejora</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49,17 %</w:t>
            </w:r>
          </w:p>
        </w:tc>
        <w:tc>
          <w:tcPr>
            <w:tcW w:type="dxa" w:w="1587"/>
            <w:shd w:val="clear" w:fill="EDF2F8"/>
          </w:tcPr>
          <w:p>
            <w:pPr>
              <w:spacing w:before="40" w:after="40"/>
            </w:pPr>
            <w:r/>
            <w:r>
              <w:rPr>
                <w:rFonts w:ascii="Calibri" w:hAnsi="Calibri"/>
                <w:color w:val="222830"/>
                <w:sz w:val="18"/>
              </w:rPr>
              <w:t>Básico</w:t>
            </w:r>
          </w:p>
        </w:tc>
      </w:tr>
      <w:tr>
        <w:tc>
          <w:tcPr>
            <w:tcW w:type="dxa" w:w="907"/>
          </w:tcPr>
          <w:p>
            <w:pPr>
              <w:spacing w:before="40" w:after="40"/>
            </w:pPr>
            <w:r/>
            <w:r>
              <w:rPr>
                <w:rFonts w:ascii="Calibri" w:hAnsi="Calibri"/>
                <w:color w:val="222830"/>
                <w:sz w:val="18"/>
              </w:rPr>
              <w:t>G2</w:t>
            </w:r>
          </w:p>
        </w:tc>
        <w:tc>
          <w:tcPr>
            <w:tcW w:type="dxa" w:w="794"/>
          </w:tcPr>
          <w:p>
            <w:pPr>
              <w:spacing w:before="40" w:after="40"/>
            </w:pPr>
            <w:r/>
            <w:r>
              <w:rPr>
                <w:rFonts w:ascii="Calibri" w:hAnsi="Calibri"/>
                <w:color w:val="222830"/>
                <w:sz w:val="18"/>
              </w:rPr>
              <w:t>5</w:t>
            </w:r>
          </w:p>
        </w:tc>
        <w:tc>
          <w:tcPr>
            <w:tcW w:type="dxa" w:w="3402"/>
          </w:tcPr>
          <w:p>
            <w:pPr>
              <w:spacing w:before="40" w:after="40"/>
            </w:pPr>
            <w:r/>
            <w:r>
              <w:rPr>
                <w:rFonts w:ascii="Calibri" w:hAnsi="Calibri"/>
                <w:color w:val="222830"/>
                <w:sz w:val="18"/>
              </w:rPr>
              <w:t>Integridad y custodia de evidencias</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57,22 %</w:t>
            </w:r>
          </w:p>
        </w:tc>
        <w:tc>
          <w:tcPr>
            <w:tcW w:type="dxa" w:w="1587"/>
          </w:tcPr>
          <w:p>
            <w:pPr>
              <w:spacing w:before="40" w:after="40"/>
            </w:pPr>
            <w:r/>
            <w:r>
              <w:rPr>
                <w:rFonts w:ascii="Calibri" w:hAnsi="Calibri"/>
                <w:color w:val="222830"/>
                <w:sz w:val="18"/>
              </w:rPr>
              <w:t>Gestionado</w:t>
            </w:r>
          </w:p>
        </w:tc>
      </w:tr>
      <w:tr>
        <w:tc>
          <w:tcPr>
            <w:tcW w:type="dxa" w:w="907"/>
            <w:shd w:val="clear" w:fill="EDF2F8"/>
          </w:tcPr>
          <w:p>
            <w:pPr>
              <w:spacing w:before="40" w:after="40"/>
            </w:pPr>
            <w:r/>
            <w:r>
              <w:rPr>
                <w:rFonts w:ascii="Calibri" w:hAnsi="Calibri"/>
                <w:color w:val="222830"/>
                <w:sz w:val="18"/>
              </w:rPr>
              <w:t>G2</w:t>
            </w:r>
          </w:p>
        </w:tc>
        <w:tc>
          <w:tcPr>
            <w:tcW w:type="dxa" w:w="794"/>
            <w:shd w:val="clear" w:fill="EDF2F8"/>
          </w:tcPr>
          <w:p>
            <w:pPr>
              <w:spacing w:before="40" w:after="40"/>
            </w:pPr>
            <w:r/>
            <w:r>
              <w:rPr>
                <w:rFonts w:ascii="Calibri" w:hAnsi="Calibri"/>
                <w:color w:val="222830"/>
                <w:sz w:val="18"/>
              </w:rPr>
              <w:t>6</w:t>
            </w:r>
          </w:p>
        </w:tc>
        <w:tc>
          <w:tcPr>
            <w:tcW w:type="dxa" w:w="3402"/>
            <w:shd w:val="clear" w:fill="EDF2F8"/>
          </w:tcPr>
          <w:p>
            <w:pPr>
              <w:spacing w:before="40" w:after="40"/>
            </w:pPr>
            <w:r/>
            <w:r>
              <w:rPr>
                <w:rFonts w:ascii="Calibri" w:hAnsi="Calibri"/>
                <w:color w:val="222830"/>
                <w:sz w:val="18"/>
              </w:rPr>
              <w:t>Respaldos y restauración de evidencias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58,33 %</w:t>
            </w:r>
          </w:p>
        </w:tc>
        <w:tc>
          <w:tcPr>
            <w:tcW w:type="dxa" w:w="1587"/>
            <w:shd w:val="clear" w:fill="EDF2F8"/>
          </w:tcPr>
          <w:p>
            <w:pPr>
              <w:spacing w:before="40" w:after="40"/>
            </w:pPr>
            <w:r/>
            <w:r>
              <w:rPr>
                <w:rFonts w:ascii="Calibri" w:hAnsi="Calibri"/>
                <w:color w:val="222830"/>
                <w:sz w:val="18"/>
              </w:rPr>
              <w:t>Gestionado</w:t>
            </w:r>
          </w:p>
        </w:tc>
      </w:tr>
      <w:tr>
        <w:tc>
          <w:tcPr>
            <w:tcW w:type="dxa" w:w="907"/>
          </w:tcPr>
          <w:p>
            <w:pPr>
              <w:spacing w:before="40" w:after="40"/>
            </w:pPr>
            <w:r/>
            <w:r>
              <w:rPr>
                <w:rFonts w:ascii="Calibri" w:hAnsi="Calibri"/>
                <w:color w:val="222830"/>
                <w:sz w:val="18"/>
              </w:rPr>
              <w:t>G2</w:t>
            </w:r>
          </w:p>
        </w:tc>
        <w:tc>
          <w:tcPr>
            <w:tcW w:type="dxa" w:w="794"/>
          </w:tcPr>
          <w:p>
            <w:pPr>
              <w:spacing w:before="40" w:after="40"/>
            </w:pPr>
            <w:r/>
            <w:r>
              <w:rPr>
                <w:rFonts w:ascii="Calibri" w:hAnsi="Calibri"/>
                <w:color w:val="222830"/>
                <w:sz w:val="18"/>
              </w:rPr>
              <w:t>7</w:t>
            </w:r>
          </w:p>
        </w:tc>
        <w:tc>
          <w:tcPr>
            <w:tcW w:type="dxa" w:w="3402"/>
          </w:tcPr>
          <w:p>
            <w:pPr>
              <w:spacing w:before="40" w:after="40"/>
            </w:pPr>
            <w:r/>
            <w:r>
              <w:rPr>
                <w:rFonts w:ascii="Calibri" w:hAnsi="Calibri"/>
                <w:color w:val="222830"/>
                <w:sz w:val="18"/>
              </w:rPr>
              <w:t>Retención y acceso a evidencias</w:t>
            </w:r>
          </w:p>
        </w:tc>
        <w:tc>
          <w:tcPr>
            <w:tcW w:type="dxa" w:w="850"/>
          </w:tcPr>
          <w:p>
            <w:pPr>
              <w:spacing w:before="40" w:after="40"/>
            </w:pPr>
            <w:r/>
            <w:r>
              <w:rPr>
                <w:rFonts w:ascii="Calibri" w:hAnsi="Calibri"/>
                <w:color w:val="222830"/>
                <w:sz w:val="18"/>
              </w:rPr>
              <w:t>2</w:t>
            </w:r>
          </w:p>
        </w:tc>
        <w:tc>
          <w:tcPr>
            <w:tcW w:type="dxa" w:w="1531"/>
          </w:tcPr>
          <w:p>
            <w:pPr>
              <w:spacing w:before="40" w:after="40"/>
            </w:pPr>
            <w:r/>
            <w:r>
              <w:rPr>
                <w:rFonts w:ascii="Calibri" w:hAnsi="Calibri"/>
                <w:color w:val="222830"/>
                <w:sz w:val="18"/>
              </w:rPr>
              <w:t>47,92 %</w:t>
            </w:r>
          </w:p>
        </w:tc>
        <w:tc>
          <w:tcPr>
            <w:tcW w:type="dxa" w:w="1587"/>
          </w:tcPr>
          <w:p>
            <w:pPr>
              <w:spacing w:before="40" w:after="40"/>
            </w:pPr>
            <w:r/>
            <w:r>
              <w:rPr>
                <w:rFonts w:ascii="Calibri" w:hAnsi="Calibri"/>
                <w:color w:val="222830"/>
                <w:sz w:val="18"/>
              </w:rPr>
              <w:t>Básico</w:t>
            </w:r>
          </w:p>
        </w:tc>
      </w:tr>
      <w:tr>
        <w:tc>
          <w:tcPr>
            <w:tcW w:type="dxa" w:w="907"/>
            <w:shd w:val="clear" w:fill="EDF2F8"/>
          </w:tcPr>
          <w:p>
            <w:pPr>
              <w:spacing w:before="40" w:after="40"/>
            </w:pPr>
            <w:r/>
            <w:r>
              <w:rPr>
                <w:rFonts w:ascii="Calibri" w:hAnsi="Calibri"/>
                <w:color w:val="222830"/>
                <w:sz w:val="18"/>
              </w:rPr>
              <w:t>G3</w:t>
            </w:r>
          </w:p>
        </w:tc>
        <w:tc>
          <w:tcPr>
            <w:tcW w:type="dxa" w:w="794"/>
            <w:shd w:val="clear" w:fill="EDF2F8"/>
          </w:tcPr>
          <w:p>
            <w:pPr>
              <w:spacing w:before="40" w:after="40"/>
            </w:pPr>
            <w:r/>
            <w:r>
              <w:rPr>
                <w:rFonts w:ascii="Calibri" w:hAnsi="Calibri"/>
                <w:color w:val="222830"/>
                <w:sz w:val="18"/>
              </w:rPr>
              <w:t>8</w:t>
            </w:r>
          </w:p>
        </w:tc>
        <w:tc>
          <w:tcPr>
            <w:tcW w:type="dxa" w:w="3402"/>
            <w:shd w:val="clear" w:fill="EDF2F8"/>
          </w:tcPr>
          <w:p>
            <w:pPr>
              <w:spacing w:before="40" w:after="40"/>
            </w:pPr>
            <w:r/>
            <w:r>
              <w:rPr>
                <w:rFonts w:ascii="Calibri" w:hAnsi="Calibri"/>
                <w:color w:val="222830"/>
                <w:sz w:val="18"/>
              </w:rPr>
              <w:t>Accesos y mínimos privilegios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49,72 %</w:t>
            </w:r>
          </w:p>
        </w:tc>
        <w:tc>
          <w:tcPr>
            <w:tcW w:type="dxa" w:w="1587"/>
            <w:shd w:val="clear" w:fill="EDF2F8"/>
          </w:tcPr>
          <w:p>
            <w:pPr>
              <w:spacing w:before="40" w:after="40"/>
            </w:pPr>
            <w:r/>
            <w:r>
              <w:rPr>
                <w:rFonts w:ascii="Calibri" w:hAnsi="Calibri"/>
                <w:color w:val="222830"/>
                <w:sz w:val="18"/>
              </w:rPr>
              <w:t>Básico</w:t>
            </w:r>
          </w:p>
        </w:tc>
      </w:tr>
      <w:tr>
        <w:tc>
          <w:tcPr>
            <w:tcW w:type="dxa" w:w="907"/>
          </w:tcPr>
          <w:p>
            <w:pPr>
              <w:spacing w:before="40" w:after="40"/>
            </w:pPr>
            <w:r/>
            <w:r>
              <w:rPr>
                <w:rFonts w:ascii="Calibri" w:hAnsi="Calibri"/>
                <w:color w:val="222830"/>
                <w:sz w:val="18"/>
              </w:rPr>
              <w:t>G3</w:t>
            </w:r>
          </w:p>
        </w:tc>
        <w:tc>
          <w:tcPr>
            <w:tcW w:type="dxa" w:w="794"/>
          </w:tcPr>
          <w:p>
            <w:pPr>
              <w:spacing w:before="40" w:after="40"/>
            </w:pPr>
            <w:r/>
            <w:r>
              <w:rPr>
                <w:rFonts w:ascii="Calibri" w:hAnsi="Calibri"/>
                <w:color w:val="222830"/>
                <w:sz w:val="18"/>
              </w:rPr>
              <w:t>9</w:t>
            </w:r>
          </w:p>
        </w:tc>
        <w:tc>
          <w:tcPr>
            <w:tcW w:type="dxa" w:w="3402"/>
          </w:tcPr>
          <w:p>
            <w:pPr>
              <w:spacing w:before="40" w:after="40"/>
            </w:pPr>
            <w:r/>
            <w:r>
              <w:rPr>
                <w:rFonts w:ascii="Calibri" w:hAnsi="Calibri"/>
                <w:color w:val="222830"/>
                <w:sz w:val="18"/>
              </w:rPr>
              <w:t>Desarrollo seguro y validaciones</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53,06 %</w:t>
            </w:r>
          </w:p>
        </w:tc>
        <w:tc>
          <w:tcPr>
            <w:tcW w:type="dxa" w:w="1587"/>
          </w:tcPr>
          <w:p>
            <w:pPr>
              <w:spacing w:before="40" w:after="40"/>
            </w:pPr>
            <w:r/>
            <w:r>
              <w:rPr>
                <w:rFonts w:ascii="Calibri" w:hAnsi="Calibri"/>
                <w:color w:val="222830"/>
                <w:sz w:val="18"/>
              </w:rPr>
              <w:t>Gestionado</w:t>
            </w:r>
          </w:p>
        </w:tc>
      </w:tr>
      <w:tr>
        <w:tc>
          <w:tcPr>
            <w:tcW w:type="dxa" w:w="907"/>
            <w:shd w:val="clear" w:fill="EDF2F8"/>
          </w:tcPr>
          <w:p>
            <w:pPr>
              <w:spacing w:before="40" w:after="40"/>
            </w:pPr>
            <w:r/>
            <w:r>
              <w:rPr>
                <w:rFonts w:ascii="Calibri" w:hAnsi="Calibri"/>
                <w:color w:val="222830"/>
                <w:sz w:val="18"/>
              </w:rPr>
              <w:t>G3</w:t>
            </w:r>
          </w:p>
        </w:tc>
        <w:tc>
          <w:tcPr>
            <w:tcW w:type="dxa" w:w="794"/>
            <w:shd w:val="clear" w:fill="EDF2F8"/>
          </w:tcPr>
          <w:p>
            <w:pPr>
              <w:spacing w:before="40" w:after="40"/>
            </w:pPr>
            <w:r/>
            <w:r>
              <w:rPr>
                <w:rFonts w:ascii="Calibri" w:hAnsi="Calibri"/>
                <w:color w:val="222830"/>
                <w:sz w:val="18"/>
              </w:rPr>
              <w:t>10</w:t>
            </w:r>
          </w:p>
        </w:tc>
        <w:tc>
          <w:tcPr>
            <w:tcW w:type="dxa" w:w="3402"/>
            <w:shd w:val="clear" w:fill="EDF2F8"/>
          </w:tcPr>
          <w:p>
            <w:pPr>
              <w:spacing w:before="40" w:after="40"/>
            </w:pPr>
            <w:r/>
            <w:r>
              <w:rPr>
                <w:rFonts w:ascii="Calibri" w:hAnsi="Calibri"/>
                <w:color w:val="222830"/>
                <w:sz w:val="18"/>
              </w:rPr>
              <w:t>Gestión de vulnerabilidades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50,56 %</w:t>
            </w:r>
          </w:p>
        </w:tc>
        <w:tc>
          <w:tcPr>
            <w:tcW w:type="dxa" w:w="1587"/>
            <w:shd w:val="clear" w:fill="EDF2F8"/>
          </w:tcPr>
          <w:p>
            <w:pPr>
              <w:spacing w:before="40" w:after="40"/>
            </w:pPr>
            <w:r/>
            <w:r>
              <w:rPr>
                <w:rFonts w:ascii="Calibri" w:hAnsi="Calibri"/>
                <w:color w:val="222830"/>
                <w:sz w:val="18"/>
              </w:rPr>
              <w:t>Básico</w:t>
            </w:r>
          </w:p>
        </w:tc>
      </w:tr>
      <w:tr>
        <w:tc>
          <w:tcPr>
            <w:tcW w:type="dxa" w:w="907"/>
          </w:tcPr>
          <w:p>
            <w:pPr>
              <w:spacing w:before="40" w:after="40"/>
            </w:pPr>
            <w:r/>
            <w:r>
              <w:rPr>
                <w:rFonts w:ascii="Calibri" w:hAnsi="Calibri"/>
                <w:color w:val="222830"/>
                <w:sz w:val="18"/>
              </w:rPr>
              <w:t>G3</w:t>
            </w:r>
          </w:p>
        </w:tc>
        <w:tc>
          <w:tcPr>
            <w:tcW w:type="dxa" w:w="794"/>
          </w:tcPr>
          <w:p>
            <w:pPr>
              <w:spacing w:before="40" w:after="40"/>
            </w:pPr>
            <w:r/>
            <w:r>
              <w:rPr>
                <w:rFonts w:ascii="Calibri" w:hAnsi="Calibri"/>
                <w:color w:val="222830"/>
                <w:sz w:val="18"/>
              </w:rPr>
              <w:t>11</w:t>
            </w:r>
          </w:p>
        </w:tc>
        <w:tc>
          <w:tcPr>
            <w:tcW w:type="dxa" w:w="3402"/>
          </w:tcPr>
          <w:p>
            <w:pPr>
              <w:spacing w:before="40" w:after="40"/>
            </w:pPr>
            <w:r/>
            <w:r>
              <w:rPr>
                <w:rFonts w:ascii="Calibri" w:hAnsi="Calibri"/>
                <w:color w:val="222830"/>
                <w:sz w:val="18"/>
              </w:rPr>
              <w:t>Integridad y trazabilidad de registros</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52,78 %</w:t>
            </w:r>
          </w:p>
        </w:tc>
        <w:tc>
          <w:tcPr>
            <w:tcW w:type="dxa" w:w="1587"/>
          </w:tcPr>
          <w:p>
            <w:pPr>
              <w:spacing w:before="40" w:after="40"/>
            </w:pPr>
            <w:r/>
            <w:r>
              <w:rPr>
                <w:rFonts w:ascii="Calibri" w:hAnsi="Calibri"/>
                <w:color w:val="222830"/>
                <w:sz w:val="18"/>
              </w:rPr>
              <w:t>Gestionado</w:t>
            </w:r>
          </w:p>
        </w:tc>
      </w:tr>
      <w:tr>
        <w:tc>
          <w:tcPr>
            <w:tcW w:type="dxa" w:w="907"/>
            <w:shd w:val="clear" w:fill="EDF2F8"/>
          </w:tcPr>
          <w:p>
            <w:pPr>
              <w:spacing w:before="40" w:after="40"/>
            </w:pPr>
            <w:r/>
            <w:r>
              <w:rPr>
                <w:rFonts w:ascii="Calibri" w:hAnsi="Calibri"/>
                <w:color w:val="222830"/>
                <w:sz w:val="18"/>
              </w:rPr>
              <w:t>G4</w:t>
            </w:r>
          </w:p>
        </w:tc>
        <w:tc>
          <w:tcPr>
            <w:tcW w:type="dxa" w:w="794"/>
            <w:shd w:val="clear" w:fill="EDF2F8"/>
          </w:tcPr>
          <w:p>
            <w:pPr>
              <w:spacing w:before="40" w:after="40"/>
            </w:pPr>
            <w:r/>
            <w:r>
              <w:rPr>
                <w:rFonts w:ascii="Calibri" w:hAnsi="Calibri"/>
                <w:color w:val="222830"/>
                <w:sz w:val="18"/>
              </w:rPr>
              <w:t>12</w:t>
            </w:r>
          </w:p>
        </w:tc>
        <w:tc>
          <w:tcPr>
            <w:tcW w:type="dxa" w:w="3402"/>
            <w:shd w:val="clear" w:fill="EDF2F8"/>
          </w:tcPr>
          <w:p>
            <w:pPr>
              <w:spacing w:before="40" w:after="40"/>
            </w:pPr>
            <w:r/>
            <w:r>
              <w:rPr>
                <w:rFonts w:ascii="Calibri" w:hAnsi="Calibri"/>
                <w:color w:val="222830"/>
                <w:sz w:val="18"/>
              </w:rPr>
              <w:t>Gestión de riesgos</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53,89 %</w:t>
            </w:r>
          </w:p>
        </w:tc>
        <w:tc>
          <w:tcPr>
            <w:tcW w:type="dxa" w:w="1587"/>
            <w:shd w:val="clear" w:fill="EDF2F8"/>
          </w:tcPr>
          <w:p>
            <w:pPr>
              <w:spacing w:before="40" w:after="40"/>
            </w:pPr>
            <w:r/>
            <w:r>
              <w:rPr>
                <w:rFonts w:ascii="Calibri" w:hAnsi="Calibri"/>
                <w:color w:val="222830"/>
                <w:sz w:val="18"/>
              </w:rPr>
              <w:t>Gestionado</w:t>
            </w:r>
          </w:p>
        </w:tc>
      </w:tr>
      <w:tr>
        <w:tc>
          <w:tcPr>
            <w:tcW w:type="dxa" w:w="907"/>
          </w:tcPr>
          <w:p>
            <w:pPr>
              <w:spacing w:before="40" w:after="40"/>
            </w:pPr>
            <w:r/>
            <w:r>
              <w:rPr>
                <w:rFonts w:ascii="Calibri" w:hAnsi="Calibri"/>
                <w:color w:val="222830"/>
                <w:sz w:val="18"/>
              </w:rPr>
              <w:t>G4</w:t>
            </w:r>
          </w:p>
        </w:tc>
        <w:tc>
          <w:tcPr>
            <w:tcW w:type="dxa" w:w="794"/>
          </w:tcPr>
          <w:p>
            <w:pPr>
              <w:spacing w:before="40" w:after="40"/>
            </w:pPr>
            <w:r/>
            <w:r>
              <w:rPr>
                <w:rFonts w:ascii="Calibri" w:hAnsi="Calibri"/>
                <w:color w:val="222830"/>
                <w:sz w:val="18"/>
              </w:rPr>
              <w:t>13</w:t>
            </w:r>
          </w:p>
        </w:tc>
        <w:tc>
          <w:tcPr>
            <w:tcW w:type="dxa" w:w="3402"/>
          </w:tcPr>
          <w:p>
            <w:pPr>
              <w:spacing w:before="40" w:after="40"/>
            </w:pPr>
            <w:r/>
            <w:r>
              <w:rPr>
                <w:rFonts w:ascii="Calibri" w:hAnsi="Calibri"/>
                <w:color w:val="222830"/>
                <w:sz w:val="18"/>
              </w:rPr>
              <w:t>Capacitación y cobertura</w:t>
            </w:r>
          </w:p>
        </w:tc>
        <w:tc>
          <w:tcPr>
            <w:tcW w:type="dxa" w:w="850"/>
          </w:tcPr>
          <w:p>
            <w:pPr>
              <w:spacing w:before="40" w:after="40"/>
            </w:pPr>
            <w:r/>
            <w:r>
              <w:rPr>
                <w:rFonts w:ascii="Calibri" w:hAnsi="Calibri"/>
                <w:color w:val="222830"/>
                <w:sz w:val="18"/>
              </w:rPr>
              <w:t>3</w:t>
            </w:r>
          </w:p>
        </w:tc>
        <w:tc>
          <w:tcPr>
            <w:tcW w:type="dxa" w:w="1531"/>
          </w:tcPr>
          <w:p>
            <w:pPr>
              <w:spacing w:before="40" w:after="40"/>
            </w:pPr>
            <w:r/>
            <w:r>
              <w:rPr>
                <w:rFonts w:ascii="Calibri" w:hAnsi="Calibri"/>
                <w:color w:val="222830"/>
                <w:sz w:val="18"/>
              </w:rPr>
              <w:t>47,78 %</w:t>
            </w:r>
          </w:p>
        </w:tc>
        <w:tc>
          <w:tcPr>
            <w:tcW w:type="dxa" w:w="1587"/>
          </w:tcPr>
          <w:p>
            <w:pPr>
              <w:spacing w:before="40" w:after="40"/>
            </w:pPr>
            <w:r/>
            <w:r>
              <w:rPr>
                <w:rFonts w:ascii="Calibri" w:hAnsi="Calibri"/>
                <w:color w:val="222830"/>
                <w:sz w:val="18"/>
              </w:rPr>
              <w:t>Básico</w:t>
            </w:r>
          </w:p>
        </w:tc>
      </w:tr>
      <w:tr>
        <w:tc>
          <w:tcPr>
            <w:tcW w:type="dxa" w:w="907"/>
            <w:shd w:val="clear" w:fill="EDF2F8"/>
          </w:tcPr>
          <w:p>
            <w:pPr>
              <w:spacing w:before="40" w:after="40"/>
            </w:pPr>
            <w:r/>
            <w:r>
              <w:rPr>
                <w:rFonts w:ascii="Calibri" w:hAnsi="Calibri"/>
                <w:color w:val="222830"/>
                <w:sz w:val="18"/>
              </w:rPr>
              <w:t>G4</w:t>
            </w:r>
          </w:p>
        </w:tc>
        <w:tc>
          <w:tcPr>
            <w:tcW w:type="dxa" w:w="794"/>
            <w:shd w:val="clear" w:fill="EDF2F8"/>
          </w:tcPr>
          <w:p>
            <w:pPr>
              <w:spacing w:before="40" w:after="40"/>
            </w:pPr>
            <w:r/>
            <w:r>
              <w:rPr>
                <w:rFonts w:ascii="Calibri" w:hAnsi="Calibri"/>
                <w:color w:val="222830"/>
                <w:sz w:val="18"/>
              </w:rPr>
              <w:t>14</w:t>
            </w:r>
          </w:p>
        </w:tc>
        <w:tc>
          <w:tcPr>
            <w:tcW w:type="dxa" w:w="3402"/>
            <w:shd w:val="clear" w:fill="EDF2F8"/>
          </w:tcPr>
          <w:p>
            <w:pPr>
              <w:spacing w:before="40" w:after="40"/>
            </w:pPr>
            <w:r/>
            <w:r>
              <w:rPr>
                <w:rFonts w:ascii="Calibri" w:hAnsi="Calibri"/>
                <w:color w:val="222830"/>
                <w:sz w:val="18"/>
              </w:rPr>
              <w:t>Métricas y mejora continua</w:t>
            </w:r>
          </w:p>
        </w:tc>
        <w:tc>
          <w:tcPr>
            <w:tcW w:type="dxa" w:w="850"/>
            <w:shd w:val="clear" w:fill="EDF2F8"/>
          </w:tcPr>
          <w:p>
            <w:pPr>
              <w:spacing w:before="40" w:after="40"/>
            </w:pPr>
            <w:r/>
            <w:r>
              <w:rPr>
                <w:rFonts w:ascii="Calibri" w:hAnsi="Calibri"/>
                <w:color w:val="222830"/>
                <w:sz w:val="18"/>
              </w:rPr>
              <w:t>3</w:t>
            </w:r>
          </w:p>
        </w:tc>
        <w:tc>
          <w:tcPr>
            <w:tcW w:type="dxa" w:w="1531"/>
            <w:shd w:val="clear" w:fill="EDF2F8"/>
          </w:tcPr>
          <w:p>
            <w:pPr>
              <w:spacing w:before="40" w:after="40"/>
            </w:pPr>
            <w:r/>
            <w:r>
              <w:rPr>
                <w:rFonts w:ascii="Calibri" w:hAnsi="Calibri"/>
                <w:color w:val="222830"/>
                <w:sz w:val="18"/>
              </w:rPr>
              <w:t>53,89 %</w:t>
            </w:r>
          </w:p>
        </w:tc>
        <w:tc>
          <w:tcPr>
            <w:tcW w:type="dxa" w:w="1587"/>
            <w:shd w:val="clear" w:fill="EDF2F8"/>
          </w:tcPr>
          <w:p>
            <w:pPr>
              <w:spacing w:before="40" w:after="40"/>
            </w:pPr>
            <w:r/>
            <w:r>
              <w:rPr>
                <w:rFonts w:ascii="Calibri" w:hAnsi="Calibri"/>
                <w:color w:val="222830"/>
                <w:sz w:val="18"/>
              </w:rPr>
              <w:t>Gestionado</w:t>
            </w:r>
          </w:p>
        </w:tc>
      </w:tr>
    </w:tbl>
    <w:p>
      <w:pPr>
        <w:spacing w:after="120"/>
      </w:pPr>
    </w:p>
    <w:p>
      <w:pPr>
        <w:spacing w:before="200" w:after="80"/>
        <w:jc w:val="center"/>
      </w:pPr>
      <w:r>
        <w:drawing>
          <wp:inline xmlns:a="http://schemas.openxmlformats.org/drawingml/2006/main" xmlns:pic="http://schemas.openxmlformats.org/drawingml/2006/picture">
            <wp:extent cx="5760000" cy="2328000"/>
            <wp:docPr id="2" name="Picture 2"/>
            <wp:cNvGraphicFramePr>
              <a:graphicFrameLocks noChangeAspect="1"/>
            </wp:cNvGraphicFramePr>
            <a:graphic>
              <a:graphicData uri="http://schemas.openxmlformats.org/drawingml/2006/picture">
                <pic:pic>
                  <pic:nvPicPr>
                    <pic:cNvPr id="0" name="grupos.png"/>
                    <pic:cNvPicPr/>
                  </pic:nvPicPr>
                  <pic:blipFill>
                    <a:blip r:embed="rId10"/>
                    <a:stretch>
                      <a:fillRect/>
                    </a:stretch>
                  </pic:blipFill>
                  <pic:spPr>
                    <a:xfrm>
                      <a:off x="0" y="0"/>
                      <a:ext cx="5760000" cy="2328000"/>
                    </a:xfrm>
                    <a:prstGeom prst="rect"/>
                  </pic:spPr>
                </pic:pic>
              </a:graphicData>
            </a:graphic>
          </wp:inline>
        </w:drawing>
      </w:r>
    </w:p>
    <w:p>
      <w:pPr>
        <w:spacing w:before="40" w:after="40"/>
        <w:jc w:val="center"/>
      </w:pPr>
      <w:r>
        <w:rPr>
          <w:rFonts w:ascii="Times New Roman" w:hAnsi="Times New Roman"/>
          <w:color w:val="222830"/>
          <w:sz w:val="20"/>
        </w:rPr>
        <w:t xml:space="preserve">Figura 2. </w:t>
      </w:r>
      <w:r>
        <w:rPr>
          <w:rFonts w:ascii="Times New Roman" w:hAnsi="Times New Roman"/>
          <w:i/>
          <w:color w:val="222830"/>
          <w:sz w:val="20"/>
        </w:rPr>
        <w:t>Porcentaje de cumplimiento por grupo temático.</w:t>
      </w:r>
    </w:p>
    <w:p>
      <w:pPr>
        <w:spacing w:before="0" w:after="240"/>
        <w:ind w:left="283"/>
        <w:jc w:val="both"/>
      </w:pPr>
      <w:r>
        <w:rPr>
          <w:rFonts w:ascii="Times New Roman" w:hAnsi="Times New Roman"/>
          <w:color w:val="5A6878"/>
          <w:sz w:val="18"/>
        </w:rPr>
        <w:t>Nota. Los cuatro grupos dentro de una franja de 2,96 puntos porcentuales. Fuente: instrumento de madurez, agregación por grupo.</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4195"/>
        <w:gridCol w:w="1927"/>
        <w:gridCol w:w="1927"/>
      </w:tblGrid>
      <w:tr>
        <w:trPr>
          <w:tblHeader w:val="true"/>
        </w:trPr>
        <w:tc>
          <w:tcPr>
            <w:tcW w:type="dxa" w:w="4195"/>
            <w:shd w:val="clear" w:fill="1F3864"/>
          </w:tcPr>
          <w:p>
            <w:pPr>
              <w:spacing w:before="40" w:after="40"/>
            </w:pPr>
            <w:r/>
            <w:r>
              <w:rPr>
                <w:rFonts w:ascii="Calibri" w:hAnsi="Calibri"/>
                <w:b/>
                <w:color w:val="FFFFFF"/>
                <w:sz w:val="18"/>
              </w:rPr>
              <w:t>Grupo</w:t>
            </w:r>
          </w:p>
        </w:tc>
        <w:tc>
          <w:tcPr>
            <w:tcW w:type="dxa" w:w="1928"/>
            <w:shd w:val="clear" w:fill="1F3864"/>
          </w:tcPr>
          <w:p>
            <w:pPr>
              <w:spacing w:before="40" w:after="40"/>
            </w:pPr>
            <w:r/>
            <w:r>
              <w:rPr>
                <w:rFonts w:ascii="Calibri" w:hAnsi="Calibri"/>
                <w:b/>
                <w:color w:val="FFFFFF"/>
                <w:sz w:val="18"/>
              </w:rPr>
              <w:t>Cumplimiento</w:t>
            </w:r>
          </w:p>
        </w:tc>
        <w:tc>
          <w:tcPr>
            <w:tcW w:type="dxa" w:w="1928"/>
            <w:shd w:val="clear" w:fill="1F3864"/>
          </w:tcPr>
          <w:p>
            <w:pPr>
              <w:spacing w:before="40" w:after="40"/>
            </w:pPr>
            <w:r/>
            <w:r>
              <w:rPr>
                <w:rFonts w:ascii="Calibri" w:hAnsi="Calibri"/>
                <w:b/>
                <w:color w:val="FFFFFF"/>
                <w:sz w:val="18"/>
              </w:rPr>
              <w:t>Nivel</w:t>
            </w:r>
          </w:p>
        </w:tc>
      </w:tr>
      <w:tr>
        <w:tc>
          <w:tcPr>
            <w:tcW w:type="dxa" w:w="4195"/>
          </w:tcPr>
          <w:p>
            <w:pPr>
              <w:spacing w:before="40" w:after="40"/>
            </w:pPr>
            <w:r/>
            <w:r>
              <w:rPr>
                <w:rFonts w:ascii="Calibri" w:hAnsi="Calibri"/>
                <w:color w:val="222830"/>
                <w:sz w:val="18"/>
              </w:rPr>
              <w:t>G1 · Gestión de incidentes</w:t>
            </w:r>
          </w:p>
        </w:tc>
        <w:tc>
          <w:tcPr>
            <w:tcW w:type="dxa" w:w="1928"/>
          </w:tcPr>
          <w:p>
            <w:pPr>
              <w:spacing w:before="40" w:after="40"/>
            </w:pPr>
            <w:r/>
            <w:r>
              <w:rPr>
                <w:rFonts w:ascii="Calibri" w:hAnsi="Calibri"/>
                <w:color w:val="222830"/>
                <w:sz w:val="18"/>
              </w:rPr>
              <w:t>53,18 %</w:t>
            </w:r>
          </w:p>
        </w:tc>
        <w:tc>
          <w:tcPr>
            <w:tcW w:type="dxa" w:w="1928"/>
          </w:tcPr>
          <w:p>
            <w:pPr>
              <w:spacing w:before="40" w:after="40"/>
            </w:pPr>
            <w:r/>
            <w:r>
              <w:rPr>
                <w:rFonts w:ascii="Calibri" w:hAnsi="Calibri"/>
                <w:color w:val="222830"/>
                <w:sz w:val="18"/>
              </w:rPr>
              <w:t>Gestionado</w:t>
            </w:r>
          </w:p>
        </w:tc>
      </w:tr>
      <w:tr>
        <w:tc>
          <w:tcPr>
            <w:tcW w:type="dxa" w:w="4195"/>
            <w:shd w:val="clear" w:fill="EDF2F8"/>
          </w:tcPr>
          <w:p>
            <w:pPr>
              <w:spacing w:before="40" w:after="40"/>
            </w:pPr>
            <w:r/>
            <w:r>
              <w:rPr>
                <w:rFonts w:ascii="Calibri" w:hAnsi="Calibri"/>
                <w:color w:val="222830"/>
                <w:sz w:val="18"/>
              </w:rPr>
              <w:t>G2 · Evidencias y respaldo</w:t>
            </w:r>
          </w:p>
        </w:tc>
        <w:tc>
          <w:tcPr>
            <w:tcW w:type="dxa" w:w="1928"/>
            <w:shd w:val="clear" w:fill="EDF2F8"/>
          </w:tcPr>
          <w:p>
            <w:pPr>
              <w:spacing w:before="40" w:after="40"/>
            </w:pPr>
            <w:r/>
            <w:r>
              <w:rPr>
                <w:rFonts w:ascii="Calibri" w:hAnsi="Calibri"/>
                <w:color w:val="222830"/>
                <w:sz w:val="18"/>
              </w:rPr>
              <w:t>54,49 %</w:t>
            </w:r>
          </w:p>
        </w:tc>
        <w:tc>
          <w:tcPr>
            <w:tcW w:type="dxa" w:w="1928"/>
            <w:shd w:val="clear" w:fill="EDF2F8"/>
          </w:tcPr>
          <w:p>
            <w:pPr>
              <w:spacing w:before="40" w:after="40"/>
            </w:pPr>
            <w:r/>
            <w:r>
              <w:rPr>
                <w:rFonts w:ascii="Calibri" w:hAnsi="Calibri"/>
                <w:color w:val="222830"/>
                <w:sz w:val="18"/>
              </w:rPr>
              <w:t>Gestionado</w:t>
            </w:r>
          </w:p>
        </w:tc>
      </w:tr>
      <w:tr>
        <w:tc>
          <w:tcPr>
            <w:tcW w:type="dxa" w:w="4195"/>
          </w:tcPr>
          <w:p>
            <w:pPr>
              <w:spacing w:before="40" w:after="40"/>
            </w:pPr>
            <w:r/>
            <w:r>
              <w:rPr>
                <w:rFonts w:ascii="Calibri" w:hAnsi="Calibri"/>
                <w:color w:val="222830"/>
                <w:sz w:val="18"/>
              </w:rPr>
              <w:t>G3 · Seguridad y controles técnicos</w:t>
            </w:r>
          </w:p>
        </w:tc>
        <w:tc>
          <w:tcPr>
            <w:tcW w:type="dxa" w:w="1928"/>
          </w:tcPr>
          <w:p>
            <w:pPr>
              <w:spacing w:before="40" w:after="40"/>
            </w:pPr>
            <w:r/>
            <w:r>
              <w:rPr>
                <w:rFonts w:ascii="Calibri" w:hAnsi="Calibri"/>
                <w:color w:val="222830"/>
                <w:sz w:val="18"/>
              </w:rPr>
              <w:t>51,53 %</w:t>
            </w:r>
          </w:p>
        </w:tc>
        <w:tc>
          <w:tcPr>
            <w:tcW w:type="dxa" w:w="1928"/>
          </w:tcPr>
          <w:p>
            <w:pPr>
              <w:spacing w:before="40" w:after="40"/>
            </w:pPr>
            <w:r/>
            <w:r>
              <w:rPr>
                <w:rFonts w:ascii="Calibri" w:hAnsi="Calibri"/>
                <w:color w:val="222830"/>
                <w:sz w:val="18"/>
              </w:rPr>
              <w:t>Gestionado</w:t>
            </w:r>
          </w:p>
        </w:tc>
      </w:tr>
      <w:tr>
        <w:tc>
          <w:tcPr>
            <w:tcW w:type="dxa" w:w="4195"/>
            <w:shd w:val="clear" w:fill="EDF2F8"/>
          </w:tcPr>
          <w:p>
            <w:pPr>
              <w:spacing w:before="40" w:after="40"/>
            </w:pPr>
            <w:r/>
            <w:r>
              <w:rPr>
                <w:rFonts w:ascii="Calibri" w:hAnsi="Calibri"/>
                <w:color w:val="222830"/>
                <w:sz w:val="18"/>
              </w:rPr>
              <w:t>G4 · Gestión organizacional y mejora</w:t>
            </w:r>
          </w:p>
        </w:tc>
        <w:tc>
          <w:tcPr>
            <w:tcW w:type="dxa" w:w="1928"/>
            <w:shd w:val="clear" w:fill="EDF2F8"/>
          </w:tcPr>
          <w:p>
            <w:pPr>
              <w:spacing w:before="40" w:after="40"/>
            </w:pPr>
            <w:r/>
            <w:r>
              <w:rPr>
                <w:rFonts w:ascii="Calibri" w:hAnsi="Calibri"/>
                <w:color w:val="222830"/>
                <w:sz w:val="18"/>
              </w:rPr>
              <w:t>51,85 %</w:t>
            </w:r>
          </w:p>
        </w:tc>
        <w:tc>
          <w:tcPr>
            <w:tcW w:type="dxa" w:w="1928"/>
            <w:shd w:val="clear" w:fill="EDF2F8"/>
          </w:tcPr>
          <w:p>
            <w:pPr>
              <w:spacing w:before="40" w:after="40"/>
            </w:pPr>
            <w:r/>
            <w:r>
              <w:rPr>
                <w:rFonts w:ascii="Calibri" w:hAnsi="Calibri"/>
                <w:color w:val="222830"/>
                <w:sz w:val="18"/>
              </w:rPr>
              <w:t>Gestionado</w:t>
            </w:r>
          </w:p>
        </w:tc>
      </w:tr>
    </w:tbl>
    <w:p>
      <w:pPr>
        <w:spacing w:after="120"/>
      </w:pPr>
    </w:p>
    <w:p>
      <w:pPr>
        <w:spacing w:before="200" w:after="80"/>
        <w:jc w:val="center"/>
      </w:pPr>
      <w:r>
        <w:drawing>
          <wp:inline xmlns:a="http://schemas.openxmlformats.org/drawingml/2006/main" xmlns:pic="http://schemas.openxmlformats.org/drawingml/2006/picture">
            <wp:extent cx="5760000" cy="2349600"/>
            <wp:docPr id="3" name="Picture 3"/>
            <wp:cNvGraphicFramePr>
              <a:graphicFrameLocks noChangeAspect="1"/>
            </wp:cNvGraphicFramePr>
            <a:graphic>
              <a:graphicData uri="http://schemas.openxmlformats.org/drawingml/2006/picture">
                <pic:pic>
                  <pic:nvPicPr>
                    <pic:cNvPr id="0" name="global.png"/>
                    <pic:cNvPicPr/>
                  </pic:nvPicPr>
                  <pic:blipFill>
                    <a:blip r:embed="rId11"/>
                    <a:stretch>
                      <a:fillRect/>
                    </a:stretch>
                  </pic:blipFill>
                  <pic:spPr>
                    <a:xfrm>
                      <a:off x="0" y="0"/>
                      <a:ext cx="5760000" cy="2349600"/>
                    </a:xfrm>
                    <a:prstGeom prst="rect"/>
                  </pic:spPr>
                </pic:pic>
              </a:graphicData>
            </a:graphic>
          </wp:inline>
        </w:drawing>
      </w:r>
    </w:p>
    <w:p>
      <w:pPr>
        <w:spacing w:before="40" w:after="40"/>
        <w:jc w:val="center"/>
      </w:pPr>
      <w:r>
        <w:rPr>
          <w:rFonts w:ascii="Times New Roman" w:hAnsi="Times New Roman"/>
          <w:color w:val="222830"/>
          <w:sz w:val="20"/>
        </w:rPr>
        <w:t xml:space="preserve">Figura 3. </w:t>
      </w:r>
      <w:r>
        <w:rPr>
          <w:rFonts w:ascii="Times New Roman" w:hAnsi="Times New Roman"/>
          <w:i/>
          <w:color w:val="222830"/>
          <w:sz w:val="20"/>
        </w:rPr>
        <w:t>Posición de la madurez global del proceso institucional.</w:t>
      </w:r>
    </w:p>
    <w:p>
      <w:pPr>
        <w:spacing w:before="0" w:after="240"/>
        <w:ind w:left="283"/>
        <w:jc w:val="both"/>
      </w:pPr>
      <w:r>
        <w:rPr>
          <w:rFonts w:ascii="Times New Roman" w:hAnsi="Times New Roman"/>
          <w:color w:val="5A6878"/>
          <w:sz w:val="18"/>
        </w:rPr>
        <w:t>Nota. El 52,70 % se ubica 1,70 puntos por encima del corte que separa el nivel Gestionado del nivel Básico. Fuente: instrumento de madurez, resultado global.</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 caracterización del diagnóstico es precisa. El sistema gestionaba los incidentes que detectaba y conservaba la evidencia que capturaba, pero perdía eventos en la entrada, perdía evidencia en el archivo y perdía aprendizaje en el cierre. Estas seis brechas son el punto exacto sobre el que actúa la metodología.</w:t>
            </w:r>
          </w:p>
        </w:tc>
      </w:tr>
    </w:tbl>
    <w:p>
      <w:pPr>
        <w:spacing w:after="80"/>
      </w:pPr>
    </w:p>
    <w:p>
      <w:pPr>
        <w:keepNext/>
        <w:spacing w:before="280" w:after="160"/>
        <w:outlineLvl w:val="1"/>
      </w:pPr>
      <w:r>
        <w:rPr>
          <w:rFonts w:ascii="Times New Roman" w:hAnsi="Times New Roman"/>
          <w:b/>
          <w:color w:val="1F3864"/>
          <w:sz w:val="27"/>
        </w:rPr>
        <w:t>B. Las seis brechas que la metodología atiende</w:t>
      </w:r>
    </w:p>
    <w:p>
      <w:pPr>
        <w:spacing w:after="160" w:line="360" w:lineRule="auto"/>
        <w:jc w:val="both"/>
      </w:pPr>
      <w:r>
        <w:rPr>
          <w:rFonts w:ascii="Times New Roman" w:hAnsi="Times New Roman"/>
          <w:color w:val="222830"/>
          <w:sz w:val="24"/>
        </w:rPr>
        <w:t>Cada brecha del diagnóstico se enlaza con la fase de la metodología que la responde y con el indicador verificado que la evidencia del laboratorio demuestra. La columna de indicador posterior recoge una medición de archivo, no una estimación.</w:t>
      </w:r>
    </w:p>
    <w:p>
      <w:pPr>
        <w:spacing w:before="200" w:after="80"/>
        <w:jc w:val="center"/>
      </w:pPr>
      <w:r>
        <w:drawing>
          <wp:inline xmlns:a="http://schemas.openxmlformats.org/drawingml/2006/main" xmlns:pic="http://schemas.openxmlformats.org/drawingml/2006/picture">
            <wp:extent cx="5760000" cy="2272800"/>
            <wp:docPr id="4" name="Picture 4"/>
            <wp:cNvGraphicFramePr>
              <a:graphicFrameLocks noChangeAspect="1"/>
            </wp:cNvGraphicFramePr>
            <a:graphic>
              <a:graphicData uri="http://schemas.openxmlformats.org/drawingml/2006/picture">
                <pic:pic>
                  <pic:nvPicPr>
                    <pic:cNvPr id="0" name="puente.png"/>
                    <pic:cNvPicPr/>
                  </pic:nvPicPr>
                  <pic:blipFill>
                    <a:blip r:embed="rId12"/>
                    <a:stretch>
                      <a:fillRect/>
                    </a:stretch>
                  </pic:blipFill>
                  <pic:spPr>
                    <a:xfrm>
                      <a:off x="0" y="0"/>
                      <a:ext cx="5760000" cy="2272800"/>
                    </a:xfrm>
                    <a:prstGeom prst="rect"/>
                  </pic:spPr>
                </pic:pic>
              </a:graphicData>
            </a:graphic>
          </wp:inline>
        </w:drawing>
      </w:r>
    </w:p>
    <w:p>
      <w:pPr>
        <w:spacing w:before="40" w:after="40"/>
        <w:jc w:val="center"/>
      </w:pPr>
      <w:r>
        <w:rPr>
          <w:rFonts w:ascii="Times New Roman" w:hAnsi="Times New Roman"/>
          <w:color w:val="222830"/>
          <w:sz w:val="20"/>
        </w:rPr>
        <w:t xml:space="preserve">Figura 4. </w:t>
      </w:r>
      <w:r>
        <w:rPr>
          <w:rFonts w:ascii="Times New Roman" w:hAnsi="Times New Roman"/>
          <w:i/>
          <w:color w:val="222830"/>
          <w:sz w:val="20"/>
        </w:rPr>
        <w:t>Puente entre el diagnóstico y la evidencia del laboratorio.</w:t>
      </w:r>
    </w:p>
    <w:p>
      <w:pPr>
        <w:spacing w:before="0" w:after="240"/>
        <w:ind w:left="283"/>
        <w:jc w:val="both"/>
      </w:pPr>
      <w:r>
        <w:rPr>
          <w:rFonts w:ascii="Times New Roman" w:hAnsi="Times New Roman"/>
          <w:color w:val="5A6878"/>
          <w:sz w:val="18"/>
        </w:rPr>
        <w:t>Nota. Cada fila enfrenta el valor del diagnóstico al valor verificado por la metodología. Los tres últimos indicadores no se mueven porque constituyen la base de partida y no de resultado. Fuente: apartado 4.1 del marco práctico y reportes de indicadores de las dos vueltas.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737"/>
        <w:gridCol w:w="2948"/>
        <w:gridCol w:w="907"/>
        <w:gridCol w:w="1247"/>
        <w:gridCol w:w="2324"/>
        <w:gridCol w:w="907"/>
      </w:tblGrid>
      <w:tr>
        <w:trPr>
          <w:tblHeader w:val="true"/>
        </w:trPr>
        <w:tc>
          <w:tcPr>
            <w:tcW w:type="dxa" w:w="737"/>
            <w:shd w:val="clear" w:fill="1F3864"/>
          </w:tcPr>
          <w:p>
            <w:pPr>
              <w:spacing w:before="40" w:after="40"/>
            </w:pPr>
            <w:r/>
            <w:r>
              <w:rPr>
                <w:rFonts w:ascii="Calibri" w:hAnsi="Calibri"/>
                <w:b/>
                <w:color w:val="FFFFFF"/>
                <w:sz w:val="18"/>
              </w:rPr>
              <w:t>Instr.</w:t>
            </w:r>
          </w:p>
        </w:tc>
        <w:tc>
          <w:tcPr>
            <w:tcW w:type="dxa" w:w="2948"/>
            <w:shd w:val="clear" w:fill="1F3864"/>
          </w:tcPr>
          <w:p>
            <w:pPr>
              <w:spacing w:before="40" w:after="40"/>
            </w:pPr>
            <w:r/>
            <w:r>
              <w:rPr>
                <w:rFonts w:ascii="Calibri" w:hAnsi="Calibri"/>
                <w:b/>
                <w:color w:val="FFFFFF"/>
                <w:sz w:val="18"/>
              </w:rPr>
              <w:t>Brecha diagnosticada</w:t>
            </w:r>
          </w:p>
        </w:tc>
        <w:tc>
          <w:tcPr>
            <w:tcW w:type="dxa" w:w="907"/>
            <w:shd w:val="clear" w:fill="1F3864"/>
          </w:tcPr>
          <w:p>
            <w:pPr>
              <w:spacing w:before="40" w:after="40"/>
            </w:pPr>
            <w:r/>
            <w:r>
              <w:rPr>
                <w:rFonts w:ascii="Calibri" w:hAnsi="Calibri"/>
                <w:b/>
                <w:color w:val="FFFFFF"/>
                <w:sz w:val="18"/>
              </w:rPr>
              <w:t>Antes</w:t>
            </w:r>
          </w:p>
        </w:tc>
        <w:tc>
          <w:tcPr>
            <w:tcW w:type="dxa" w:w="1247"/>
            <w:shd w:val="clear" w:fill="1F3864"/>
          </w:tcPr>
          <w:p>
            <w:pPr>
              <w:spacing w:before="40" w:after="40"/>
            </w:pPr>
            <w:r/>
            <w:r>
              <w:rPr>
                <w:rFonts w:ascii="Calibri" w:hAnsi="Calibri"/>
                <w:b/>
                <w:color w:val="FFFFFF"/>
                <w:sz w:val="18"/>
              </w:rPr>
              <w:t>Fase que la responde</w:t>
            </w:r>
          </w:p>
        </w:tc>
        <w:tc>
          <w:tcPr>
            <w:tcW w:type="dxa" w:w="2324"/>
            <w:shd w:val="clear" w:fill="1F3864"/>
          </w:tcPr>
          <w:p>
            <w:pPr>
              <w:spacing w:before="40" w:after="40"/>
            </w:pPr>
            <w:r/>
            <w:r>
              <w:rPr>
                <w:rFonts w:ascii="Calibri" w:hAnsi="Calibri"/>
                <w:b/>
                <w:color w:val="FFFFFF"/>
                <w:sz w:val="18"/>
              </w:rPr>
              <w:t>Indicador verificado</w:t>
            </w:r>
          </w:p>
        </w:tc>
        <w:tc>
          <w:tcPr>
            <w:tcW w:type="dxa" w:w="907"/>
            <w:shd w:val="clear" w:fill="1F3864"/>
          </w:tcPr>
          <w:p>
            <w:pPr>
              <w:spacing w:before="40" w:after="40"/>
            </w:pPr>
            <w:r/>
            <w:r>
              <w:rPr>
                <w:rFonts w:ascii="Calibri" w:hAnsi="Calibri"/>
                <w:b/>
                <w:color w:val="FFFFFF"/>
                <w:sz w:val="18"/>
              </w:rPr>
              <w:t>Después</w:t>
            </w:r>
          </w:p>
        </w:tc>
      </w:tr>
      <w:tr>
        <w:tc>
          <w:tcPr>
            <w:tcW w:type="dxa" w:w="737"/>
          </w:tcPr>
          <w:p>
            <w:pPr>
              <w:spacing w:before="40" w:after="40"/>
            </w:pPr>
            <w:r/>
            <w:r>
              <w:rPr>
                <w:rFonts w:ascii="Calibri" w:hAnsi="Calibri"/>
                <w:color w:val="222830"/>
                <w:sz w:val="18"/>
              </w:rPr>
              <w:t>1</w:t>
            </w:r>
          </w:p>
        </w:tc>
        <w:tc>
          <w:tcPr>
            <w:tcW w:type="dxa" w:w="2948"/>
          </w:tcPr>
          <w:p>
            <w:pPr>
              <w:spacing w:before="40" w:after="40"/>
            </w:pPr>
            <w:r/>
            <w:r>
              <w:rPr>
                <w:rFonts w:ascii="Calibri" w:hAnsi="Calibri"/>
                <w:color w:val="222830"/>
                <w:sz w:val="18"/>
              </w:rPr>
              <w:t>Eventos sin registro completo, demoras de registro central y disponibilidad del monitoreo bajo el acuerdo de servicio</w:t>
            </w:r>
          </w:p>
        </w:tc>
        <w:tc>
          <w:tcPr>
            <w:tcW w:type="dxa" w:w="907"/>
          </w:tcPr>
          <w:p>
            <w:pPr>
              <w:spacing w:before="40" w:after="40"/>
            </w:pPr>
            <w:r/>
            <w:r>
              <w:rPr>
                <w:rFonts w:ascii="Calibri" w:hAnsi="Calibri"/>
                <w:color w:val="222830"/>
                <w:sz w:val="18"/>
              </w:rPr>
              <w:t>48,54 %</w:t>
            </w:r>
          </w:p>
        </w:tc>
        <w:tc>
          <w:tcPr>
            <w:tcW w:type="dxa" w:w="1247"/>
          </w:tcPr>
          <w:p>
            <w:pPr>
              <w:spacing w:before="40" w:after="40"/>
            </w:pPr>
            <w:r/>
            <w:r>
              <w:rPr>
                <w:rFonts w:ascii="Calibri" w:hAnsi="Calibri"/>
                <w:color w:val="222830"/>
                <w:sz w:val="18"/>
              </w:rPr>
              <w:t>Fase 3 · Captura</w:t>
            </w:r>
          </w:p>
        </w:tc>
        <w:tc>
          <w:tcPr>
            <w:tcW w:type="dxa" w:w="2324"/>
          </w:tcPr>
          <w:p>
            <w:pPr>
              <w:spacing w:before="40" w:after="40"/>
            </w:pPr>
            <w:r/>
            <w:r>
              <w:rPr>
                <w:rFonts w:ascii="Calibri" w:hAnsi="Calibri"/>
                <w:color w:val="222830"/>
                <w:sz w:val="18"/>
              </w:rPr>
              <w:t>Escenarios con fuente de detección identificada</w:t>
            </w:r>
          </w:p>
        </w:tc>
        <w:tc>
          <w:tcPr>
            <w:tcW w:type="dxa" w:w="907"/>
          </w:tcPr>
          <w:p>
            <w:pPr>
              <w:spacing w:before="40" w:after="40"/>
            </w:pPr>
            <w:r/>
            <w:r>
              <w:rPr>
                <w:rFonts w:ascii="Calibri" w:hAnsi="Calibri"/>
                <w:color w:val="222830"/>
                <w:sz w:val="18"/>
              </w:rPr>
              <w:t>10 de 10</w:t>
            </w:r>
          </w:p>
        </w:tc>
      </w:tr>
      <w:tr>
        <w:tc>
          <w:tcPr>
            <w:tcW w:type="dxa" w:w="737"/>
            <w:shd w:val="clear" w:fill="EDF2F8"/>
          </w:tcPr>
          <w:p>
            <w:pPr>
              <w:spacing w:before="40" w:after="40"/>
            </w:pPr>
            <w:r/>
            <w:r>
              <w:rPr>
                <w:rFonts w:ascii="Calibri" w:hAnsi="Calibri"/>
                <w:color w:val="222830"/>
                <w:sz w:val="18"/>
              </w:rPr>
              <w:t>4</w:t>
            </w:r>
          </w:p>
        </w:tc>
        <w:tc>
          <w:tcPr>
            <w:tcW w:type="dxa" w:w="2948"/>
            <w:shd w:val="clear" w:fill="EDF2F8"/>
          </w:tcPr>
          <w:p>
            <w:pPr>
              <w:spacing w:before="40" w:after="40"/>
            </w:pPr>
            <w:r/>
            <w:r>
              <w:rPr>
                <w:rFonts w:ascii="Calibri" w:hAnsi="Calibri"/>
                <w:color w:val="222830"/>
                <w:sz w:val="18"/>
              </w:rPr>
              <w:t>Revisiones posteriores al incidente no sistemáticas y lecciones sin incorporación documentada al proceso</w:t>
            </w:r>
          </w:p>
        </w:tc>
        <w:tc>
          <w:tcPr>
            <w:tcW w:type="dxa" w:w="907"/>
            <w:shd w:val="clear" w:fill="EDF2F8"/>
          </w:tcPr>
          <w:p>
            <w:pPr>
              <w:spacing w:before="40" w:after="40"/>
            </w:pPr>
            <w:r/>
            <w:r>
              <w:rPr>
                <w:rFonts w:ascii="Calibri" w:hAnsi="Calibri"/>
                <w:color w:val="222830"/>
                <w:sz w:val="18"/>
              </w:rPr>
              <w:t>49,17 %</w:t>
            </w:r>
          </w:p>
        </w:tc>
        <w:tc>
          <w:tcPr>
            <w:tcW w:type="dxa" w:w="1247"/>
            <w:shd w:val="clear" w:fill="EDF2F8"/>
          </w:tcPr>
          <w:p>
            <w:pPr>
              <w:spacing w:before="40" w:after="40"/>
            </w:pPr>
            <w:r/>
            <w:r>
              <w:rPr>
                <w:rFonts w:ascii="Calibri" w:hAnsi="Calibri"/>
                <w:color w:val="222830"/>
                <w:sz w:val="18"/>
              </w:rPr>
              <w:t>Fase 5 · Medición</w:t>
            </w:r>
          </w:p>
        </w:tc>
        <w:tc>
          <w:tcPr>
            <w:tcW w:type="dxa" w:w="2324"/>
            <w:shd w:val="clear" w:fill="EDF2F8"/>
          </w:tcPr>
          <w:p>
            <w:pPr>
              <w:spacing w:before="40" w:after="40"/>
            </w:pPr>
            <w:r/>
            <w:r>
              <w:rPr>
                <w:rFonts w:ascii="Calibri" w:hAnsi="Calibri"/>
                <w:color w:val="222830"/>
                <w:sz w:val="18"/>
              </w:rPr>
              <w:t>Lecciones con causa raíz, cambio aplicado y cierre verificado</w:t>
            </w:r>
          </w:p>
        </w:tc>
        <w:tc>
          <w:tcPr>
            <w:tcW w:type="dxa" w:w="907"/>
            <w:shd w:val="clear" w:fill="EDF2F8"/>
          </w:tcPr>
          <w:p>
            <w:pPr>
              <w:spacing w:before="40" w:after="40"/>
            </w:pPr>
            <w:r/>
            <w:r>
              <w:rPr>
                <w:rFonts w:ascii="Calibri" w:hAnsi="Calibri"/>
                <w:color w:val="222830"/>
                <w:sz w:val="18"/>
              </w:rPr>
              <w:t>14 de 14</w:t>
            </w:r>
          </w:p>
        </w:tc>
      </w:tr>
      <w:tr>
        <w:tc>
          <w:tcPr>
            <w:tcW w:type="dxa" w:w="737"/>
          </w:tcPr>
          <w:p>
            <w:pPr>
              <w:spacing w:before="40" w:after="40"/>
            </w:pPr>
            <w:r/>
            <w:r>
              <w:rPr>
                <w:rFonts w:ascii="Calibri" w:hAnsi="Calibri"/>
                <w:color w:val="222830"/>
                <w:sz w:val="18"/>
              </w:rPr>
              <w:t>7</w:t>
            </w:r>
          </w:p>
        </w:tc>
        <w:tc>
          <w:tcPr>
            <w:tcW w:type="dxa" w:w="2948"/>
          </w:tcPr>
          <w:p>
            <w:pPr>
              <w:spacing w:before="40" w:after="40"/>
            </w:pPr>
            <w:r/>
            <w:r>
              <w:rPr>
                <w:rFonts w:ascii="Calibri" w:hAnsi="Calibri"/>
                <w:color w:val="222830"/>
                <w:sz w:val="18"/>
              </w:rPr>
              <w:t>Retención efectiva bajo la política y acceso a evidencia histórica sin trazabilidad</w:t>
            </w:r>
          </w:p>
        </w:tc>
        <w:tc>
          <w:tcPr>
            <w:tcW w:type="dxa" w:w="907"/>
          </w:tcPr>
          <w:p>
            <w:pPr>
              <w:spacing w:before="40" w:after="40"/>
            </w:pPr>
            <w:r/>
            <w:r>
              <w:rPr>
                <w:rFonts w:ascii="Calibri" w:hAnsi="Calibri"/>
                <w:color w:val="222830"/>
                <w:sz w:val="18"/>
              </w:rPr>
              <w:t>47,92 %</w:t>
            </w:r>
          </w:p>
        </w:tc>
        <w:tc>
          <w:tcPr>
            <w:tcW w:type="dxa" w:w="1247"/>
          </w:tcPr>
          <w:p>
            <w:pPr>
              <w:spacing w:before="40" w:after="40"/>
            </w:pPr>
            <w:r/>
            <w:r>
              <w:rPr>
                <w:rFonts w:ascii="Calibri" w:hAnsi="Calibri"/>
                <w:color w:val="222830"/>
                <w:sz w:val="18"/>
              </w:rPr>
              <w:t>Fase 3 · Custodia</w:t>
            </w:r>
          </w:p>
        </w:tc>
        <w:tc>
          <w:tcPr>
            <w:tcW w:type="dxa" w:w="2324"/>
          </w:tcPr>
          <w:p>
            <w:pPr>
              <w:spacing w:before="40" w:after="40"/>
            </w:pPr>
            <w:r/>
            <w:r>
              <w:rPr>
                <w:rFonts w:ascii="Calibri" w:hAnsi="Calibri"/>
                <w:color w:val="222830"/>
                <w:sz w:val="18"/>
              </w:rPr>
              <w:t>Archivos de evidencia con huella criptográfica verificada</w:t>
            </w:r>
          </w:p>
        </w:tc>
        <w:tc>
          <w:tcPr>
            <w:tcW w:type="dxa" w:w="907"/>
          </w:tcPr>
          <w:p>
            <w:pPr>
              <w:spacing w:before="40" w:after="40"/>
            </w:pPr>
            <w:r/>
            <w:r>
              <w:rPr>
                <w:rFonts w:ascii="Calibri" w:hAnsi="Calibri"/>
                <w:color w:val="222830"/>
                <w:sz w:val="18"/>
              </w:rPr>
              <w:t>91 de 91</w:t>
            </w:r>
          </w:p>
        </w:tc>
      </w:tr>
      <w:tr>
        <w:tc>
          <w:tcPr>
            <w:tcW w:type="dxa" w:w="737"/>
            <w:shd w:val="clear" w:fill="EDF2F8"/>
          </w:tcPr>
          <w:p>
            <w:pPr>
              <w:spacing w:before="40" w:after="40"/>
            </w:pPr>
            <w:r/>
            <w:r>
              <w:rPr>
                <w:rFonts w:ascii="Calibri" w:hAnsi="Calibri"/>
                <w:color w:val="222830"/>
                <w:sz w:val="18"/>
              </w:rPr>
              <w:t>8</w:t>
            </w:r>
          </w:p>
        </w:tc>
        <w:tc>
          <w:tcPr>
            <w:tcW w:type="dxa" w:w="2948"/>
            <w:shd w:val="clear" w:fill="EDF2F8"/>
          </w:tcPr>
          <w:p>
            <w:pPr>
              <w:spacing w:before="40" w:after="40"/>
            </w:pPr>
            <w:r/>
            <w:r>
              <w:rPr>
                <w:rFonts w:ascii="Calibri" w:hAnsi="Calibri"/>
                <w:color w:val="222830"/>
                <w:sz w:val="18"/>
              </w:rPr>
              <w:t>Asignación, revisión y revocación de credenciales sin la sistematicidad exigible</w:t>
            </w:r>
          </w:p>
        </w:tc>
        <w:tc>
          <w:tcPr>
            <w:tcW w:type="dxa" w:w="907"/>
            <w:shd w:val="clear" w:fill="EDF2F8"/>
          </w:tcPr>
          <w:p>
            <w:pPr>
              <w:spacing w:before="40" w:after="40"/>
            </w:pPr>
            <w:r/>
            <w:r>
              <w:rPr>
                <w:rFonts w:ascii="Calibri" w:hAnsi="Calibri"/>
                <w:color w:val="222830"/>
                <w:sz w:val="18"/>
              </w:rPr>
              <w:t>49,72 %</w:t>
            </w:r>
          </w:p>
        </w:tc>
        <w:tc>
          <w:tcPr>
            <w:tcW w:type="dxa" w:w="1247"/>
            <w:shd w:val="clear" w:fill="EDF2F8"/>
          </w:tcPr>
          <w:p>
            <w:pPr>
              <w:spacing w:before="40" w:after="40"/>
            </w:pPr>
            <w:r/>
            <w:r>
              <w:rPr>
                <w:rFonts w:ascii="Calibri" w:hAnsi="Calibri"/>
                <w:color w:val="222830"/>
                <w:sz w:val="18"/>
              </w:rPr>
              <w:t>Fase 2 · Despliegue</w:t>
            </w:r>
          </w:p>
        </w:tc>
        <w:tc>
          <w:tcPr>
            <w:tcW w:type="dxa" w:w="2324"/>
            <w:shd w:val="clear" w:fill="EDF2F8"/>
          </w:tcPr>
          <w:p>
            <w:pPr>
              <w:spacing w:before="40" w:after="40"/>
            </w:pPr>
            <w:r/>
            <w:r>
              <w:rPr>
                <w:rFonts w:ascii="Calibri" w:hAnsi="Calibri"/>
                <w:color w:val="222830"/>
                <w:sz w:val="18"/>
              </w:rPr>
              <w:t>Objetivos alcanzables desde la posición del atacante</w:t>
            </w:r>
          </w:p>
        </w:tc>
        <w:tc>
          <w:tcPr>
            <w:tcW w:type="dxa" w:w="907"/>
            <w:shd w:val="clear" w:fill="EDF2F8"/>
          </w:tcPr>
          <w:p>
            <w:pPr>
              <w:spacing w:before="40" w:after="40"/>
            </w:pPr>
            <w:r/>
            <w:r>
              <w:rPr>
                <w:rFonts w:ascii="Calibri" w:hAnsi="Calibri"/>
                <w:color w:val="222830"/>
                <w:sz w:val="18"/>
              </w:rPr>
              <w:t>2 de 6</w:t>
            </w:r>
          </w:p>
        </w:tc>
      </w:tr>
      <w:tr>
        <w:tc>
          <w:tcPr>
            <w:tcW w:type="dxa" w:w="737"/>
          </w:tcPr>
          <w:p>
            <w:pPr>
              <w:spacing w:before="40" w:after="40"/>
            </w:pPr>
            <w:r/>
            <w:r>
              <w:rPr>
                <w:rFonts w:ascii="Calibri" w:hAnsi="Calibri"/>
                <w:color w:val="222830"/>
                <w:sz w:val="18"/>
              </w:rPr>
              <w:t>10</w:t>
            </w:r>
          </w:p>
        </w:tc>
        <w:tc>
          <w:tcPr>
            <w:tcW w:type="dxa" w:w="2948"/>
          </w:tcPr>
          <w:p>
            <w:pPr>
              <w:spacing w:before="40" w:after="40"/>
            </w:pPr>
            <w:r/>
            <w:r>
              <w:rPr>
                <w:rFonts w:ascii="Calibri" w:hAnsi="Calibri"/>
                <w:color w:val="222830"/>
                <w:sz w:val="18"/>
              </w:rPr>
              <w:t>Periodicidad de escaneos, velocidad de remediación y cobertura de activos por debajo del estándar</w:t>
            </w:r>
          </w:p>
        </w:tc>
        <w:tc>
          <w:tcPr>
            <w:tcW w:type="dxa" w:w="907"/>
          </w:tcPr>
          <w:p>
            <w:pPr>
              <w:spacing w:before="40" w:after="40"/>
            </w:pPr>
            <w:r/>
            <w:r>
              <w:rPr>
                <w:rFonts w:ascii="Calibri" w:hAnsi="Calibri"/>
                <w:color w:val="222830"/>
                <w:sz w:val="18"/>
              </w:rPr>
              <w:t>50,56 %</w:t>
            </w:r>
          </w:p>
        </w:tc>
        <w:tc>
          <w:tcPr>
            <w:tcW w:type="dxa" w:w="1247"/>
          </w:tcPr>
          <w:p>
            <w:pPr>
              <w:spacing w:before="40" w:after="40"/>
            </w:pPr>
            <w:r/>
            <w:r>
              <w:rPr>
                <w:rFonts w:ascii="Calibri" w:hAnsi="Calibri"/>
                <w:color w:val="222830"/>
                <w:sz w:val="18"/>
              </w:rPr>
              <w:t>Fases 3 y 4</w:t>
            </w:r>
          </w:p>
        </w:tc>
        <w:tc>
          <w:tcPr>
            <w:tcW w:type="dxa" w:w="2324"/>
          </w:tcPr>
          <w:p>
            <w:pPr>
              <w:spacing w:before="40" w:after="40"/>
            </w:pPr>
            <w:r/>
            <w:r>
              <w:rPr>
                <w:rFonts w:ascii="Calibri" w:hAnsi="Calibri"/>
                <w:color w:val="222830"/>
                <w:sz w:val="18"/>
              </w:rPr>
              <w:t>Técnicas del marco de comportamiento adversario con fuente de detección</w:t>
            </w:r>
          </w:p>
        </w:tc>
        <w:tc>
          <w:tcPr>
            <w:tcW w:type="dxa" w:w="907"/>
          </w:tcPr>
          <w:p>
            <w:pPr>
              <w:spacing w:before="40" w:after="40"/>
            </w:pPr>
            <w:r/>
            <w:r>
              <w:rPr>
                <w:rFonts w:ascii="Calibri" w:hAnsi="Calibri"/>
                <w:color w:val="222830"/>
                <w:sz w:val="18"/>
              </w:rPr>
              <w:t>10 de 10</w:t>
            </w:r>
          </w:p>
        </w:tc>
      </w:tr>
      <w:tr>
        <w:tc>
          <w:tcPr>
            <w:tcW w:type="dxa" w:w="737"/>
            <w:shd w:val="clear" w:fill="EDF2F8"/>
          </w:tcPr>
          <w:p>
            <w:pPr>
              <w:spacing w:before="40" w:after="40"/>
            </w:pPr>
            <w:r/>
            <w:r>
              <w:rPr>
                <w:rFonts w:ascii="Calibri" w:hAnsi="Calibri"/>
                <w:color w:val="222830"/>
                <w:sz w:val="18"/>
              </w:rPr>
              <w:t>13</w:t>
            </w:r>
          </w:p>
        </w:tc>
        <w:tc>
          <w:tcPr>
            <w:tcW w:type="dxa" w:w="2948"/>
            <w:shd w:val="clear" w:fill="EDF2F8"/>
          </w:tcPr>
          <w:p>
            <w:pPr>
              <w:spacing w:before="40" w:after="40"/>
            </w:pPr>
            <w:r/>
            <w:r>
              <w:rPr>
                <w:rFonts w:ascii="Calibri" w:hAnsi="Calibri"/>
                <w:color w:val="222830"/>
                <w:sz w:val="18"/>
              </w:rPr>
              <w:t>Cobertura, periodicidad y trazabilidad de capacitación insuficientes en el personal operativo</w:t>
            </w:r>
          </w:p>
        </w:tc>
        <w:tc>
          <w:tcPr>
            <w:tcW w:type="dxa" w:w="907"/>
            <w:shd w:val="clear" w:fill="EDF2F8"/>
          </w:tcPr>
          <w:p>
            <w:pPr>
              <w:spacing w:before="40" w:after="40"/>
            </w:pPr>
            <w:r/>
            <w:r>
              <w:rPr>
                <w:rFonts w:ascii="Calibri" w:hAnsi="Calibri"/>
                <w:color w:val="222830"/>
                <w:sz w:val="18"/>
              </w:rPr>
              <w:t>47,78 %</w:t>
            </w:r>
          </w:p>
        </w:tc>
        <w:tc>
          <w:tcPr>
            <w:tcW w:type="dxa" w:w="1247"/>
            <w:shd w:val="clear" w:fill="EDF2F8"/>
          </w:tcPr>
          <w:p>
            <w:pPr>
              <w:spacing w:before="40" w:after="40"/>
            </w:pPr>
            <w:r/>
            <w:r>
              <w:rPr>
                <w:rFonts w:ascii="Calibri" w:hAnsi="Calibri"/>
                <w:color w:val="222830"/>
                <w:sz w:val="18"/>
              </w:rPr>
              <w:t>Fase 5 · Medición</w:t>
            </w:r>
          </w:p>
        </w:tc>
        <w:tc>
          <w:tcPr>
            <w:tcW w:type="dxa" w:w="2324"/>
            <w:shd w:val="clear" w:fill="EDF2F8"/>
          </w:tcPr>
          <w:p>
            <w:pPr>
              <w:spacing w:before="40" w:after="40"/>
            </w:pPr>
            <w:r/>
            <w:r>
              <w:rPr>
                <w:rFonts w:ascii="Calibri" w:hAnsi="Calibri"/>
                <w:color w:val="222830"/>
                <w:sz w:val="18"/>
              </w:rPr>
              <w:t>Procedimientos documentados y repetibles que sustituyen al conocimiento no registrado</w:t>
            </w:r>
          </w:p>
        </w:tc>
        <w:tc>
          <w:tcPr>
            <w:tcW w:type="dxa" w:w="907"/>
            <w:shd w:val="clear" w:fill="EDF2F8"/>
          </w:tcPr>
          <w:p>
            <w:pPr>
              <w:spacing w:before="40" w:after="40"/>
            </w:pPr>
            <w:r/>
            <w:r>
              <w:rPr>
                <w:rFonts w:ascii="Calibri" w:hAnsi="Calibri"/>
                <w:color w:val="222830"/>
                <w:sz w:val="18"/>
              </w:rPr>
              <w:t>10 criterios de verificación</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Las dos columnas de este tablero se midieron con instrumentos distintos y por eso el tablero no las superpone en un mismo eje. La columna del antes procede del autoinforme de los treinta respondentes del área, que mide madurez declarada. La columna del después procede de instrumentalización del laboratorio, que mide ejecución verificada sobre archivos de evidencia. Unir ambas en una sola escala produciría un contraste engañoso. Lo que las enlaza es la trazabilidad: cada brecha del diagnóstico tiene una fase de la metodología que la responde y un indicador de archivo que la confirma.</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apartado N incorpora la tercera fuente de resultado, que es la que comunica la institución tras la intervención. Las tres fuentes quedan separadas porque cada una mide con su propio instrumento y en su propia escala.</w:t>
            </w:r>
          </w:p>
        </w:tc>
      </w:tr>
    </w:tbl>
    <w:p>
      <w:pPr>
        <w:spacing w:after="80"/>
      </w:pPr>
    </w:p>
    <w:p>
      <w:pPr>
        <w:keepNext/>
        <w:spacing w:before="280" w:after="160"/>
        <w:outlineLvl w:val="1"/>
      </w:pPr>
      <w:r>
        <w:rPr>
          <w:rFonts w:ascii="Times New Roman" w:hAnsi="Times New Roman"/>
          <w:b/>
          <w:color w:val="1F3864"/>
          <w:sz w:val="27"/>
        </w:rPr>
        <w:t>C. Indicadores principales del laboratorio</w:t>
      </w:r>
    </w:p>
    <w:p>
      <w:pPr>
        <w:spacing w:after="160" w:line="360" w:lineRule="auto"/>
        <w:jc w:val="both"/>
      </w:pPr>
      <w:r>
        <w:rPr>
          <w:rFonts w:ascii="Times New Roman" w:hAnsi="Times New Roman"/>
          <w:color w:val="222830"/>
          <w:sz w:val="24"/>
        </w:rPr>
        <w:t>Ocho cifras resumen el resultado de la metodología. Las cuatro destacadas en verde son las que cambian entre la línea base y la medición posterior; las demás se conservan y sirven de contraste.</w:t>
      </w:r>
    </w:p>
    <w:p>
      <w:pPr>
        <w:spacing w:before="200" w:after="80"/>
        <w:jc w:val="center"/>
      </w:pPr>
      <w:r>
        <w:drawing>
          <wp:inline xmlns:a="http://schemas.openxmlformats.org/drawingml/2006/main" xmlns:pic="http://schemas.openxmlformats.org/drawingml/2006/picture">
            <wp:extent cx="5760000" cy="1325121"/>
            <wp:docPr id="5" name="Picture 5"/>
            <wp:cNvGraphicFramePr>
              <a:graphicFrameLocks noChangeAspect="1"/>
            </wp:cNvGraphicFramePr>
            <a:graphic>
              <a:graphicData uri="http://schemas.openxmlformats.org/drawingml/2006/picture">
                <pic:pic>
                  <pic:nvPicPr>
                    <pic:cNvPr id="0" name="kpi.png"/>
                    <pic:cNvPicPr/>
                  </pic:nvPicPr>
                  <pic:blipFill>
                    <a:blip r:embed="rId13"/>
                    <a:stretch>
                      <a:fillRect/>
                    </a:stretch>
                  </pic:blipFill>
                  <pic:spPr>
                    <a:xfrm>
                      <a:off x="0" y="0"/>
                      <a:ext cx="5760000" cy="1325121"/>
                    </a:xfrm>
                    <a:prstGeom prst="rect"/>
                  </pic:spPr>
                </pic:pic>
              </a:graphicData>
            </a:graphic>
          </wp:inline>
        </w:drawing>
      </w:r>
    </w:p>
    <w:p>
      <w:pPr>
        <w:spacing w:before="40" w:after="40"/>
        <w:jc w:val="center"/>
      </w:pPr>
      <w:r>
        <w:rPr>
          <w:rFonts w:ascii="Times New Roman" w:hAnsi="Times New Roman"/>
          <w:color w:val="222830"/>
          <w:sz w:val="20"/>
        </w:rPr>
        <w:t xml:space="preserve">Figura 5. </w:t>
      </w:r>
      <w:r>
        <w:rPr>
          <w:rFonts w:ascii="Times New Roman" w:hAnsi="Times New Roman"/>
          <w:i/>
          <w:color w:val="222830"/>
          <w:sz w:val="20"/>
        </w:rPr>
        <w:t>Panel de indicadores principales del ciclo de corrección.</w:t>
      </w:r>
    </w:p>
    <w:p>
      <w:pPr>
        <w:spacing w:before="0" w:after="240"/>
        <w:ind w:left="283"/>
        <w:jc w:val="both"/>
      </w:pPr>
      <w:r>
        <w:rPr>
          <w:rFonts w:ascii="Times New Roman" w:hAnsi="Times New Roman"/>
          <w:color w:val="5A6878"/>
          <w:sz w:val="18"/>
        </w:rPr>
        <w:t>Nota. Los cuatro indicadores destacados cambian entre la línea base y la medición final. Los cuatro restantes se conservan. Fuente: reportes de indicadores de la vuelta 1 y de la vuelta 2.</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tiempo medio de las dos vueltas no se compara entre sí, porque la línea base se midió sobre cuatro escenarios y la medición posterior sobre los diez. La comparación válida es escenario por escenario y se presenta en el apartado siguiente.</w:t>
            </w:r>
          </w:p>
        </w:tc>
      </w:tr>
    </w:tbl>
    <w:p>
      <w:pPr>
        <w:spacing w:after="80"/>
      </w:pPr>
    </w:p>
    <w:p>
      <w:pPr>
        <w:keepNext/>
        <w:spacing w:before="280" w:after="160"/>
        <w:outlineLvl w:val="1"/>
      </w:pPr>
      <w:r>
        <w:rPr>
          <w:rFonts w:ascii="Times New Roman" w:hAnsi="Times New Roman"/>
          <w:b/>
          <w:color w:val="1F3864"/>
          <w:sz w:val="27"/>
        </w:rPr>
        <w:t>D. Antes y después de la medición</w:t>
      </w:r>
    </w:p>
    <w:p>
      <w:pPr>
        <w:spacing w:after="160" w:line="360" w:lineRule="auto"/>
        <w:jc w:val="both"/>
      </w:pPr>
      <w:r>
        <w:rPr>
          <w:rFonts w:ascii="Times New Roman" w:hAnsi="Times New Roman"/>
          <w:color w:val="222830"/>
          <w:sz w:val="24"/>
        </w:rPr>
        <w:t>La metodología transformó el instrumental de medición, no el señuelo. El señuelo ejecutó los mismos diez escenarios en las dos vueltas con las mismas técnicas, de modo que la diferencia entre las columnas corresponde al trabajo de la metodología.</w:t>
      </w:r>
    </w:p>
    <w:p>
      <w:pPr>
        <w:spacing w:before="200" w:after="80"/>
        <w:jc w:val="center"/>
      </w:pPr>
      <w:r>
        <w:drawing>
          <wp:inline xmlns:a="http://schemas.openxmlformats.org/drawingml/2006/main" xmlns:pic="http://schemas.openxmlformats.org/drawingml/2006/picture">
            <wp:extent cx="5760000" cy="3703200"/>
            <wp:docPr id="6" name="Picture 6"/>
            <wp:cNvGraphicFramePr>
              <a:graphicFrameLocks noChangeAspect="1"/>
            </wp:cNvGraphicFramePr>
            <a:graphic>
              <a:graphicData uri="http://schemas.openxmlformats.org/drawingml/2006/picture">
                <pic:pic>
                  <pic:nvPicPr>
                    <pic:cNvPr id="0" name="antes.png"/>
                    <pic:cNvPicPr/>
                  </pic:nvPicPr>
                  <pic:blipFill>
                    <a:blip r:embed="rId14"/>
                    <a:stretch>
                      <a:fillRect/>
                    </a:stretch>
                  </pic:blipFill>
                  <pic:spPr>
                    <a:xfrm>
                      <a:off x="0" y="0"/>
                      <a:ext cx="5760000" cy="3703200"/>
                    </a:xfrm>
                    <a:prstGeom prst="rect"/>
                  </pic:spPr>
                </pic:pic>
              </a:graphicData>
            </a:graphic>
          </wp:inline>
        </w:drawing>
      </w:r>
    </w:p>
    <w:p>
      <w:pPr>
        <w:spacing w:before="40" w:after="40"/>
        <w:jc w:val="center"/>
      </w:pPr>
      <w:r>
        <w:rPr>
          <w:rFonts w:ascii="Times New Roman" w:hAnsi="Times New Roman"/>
          <w:color w:val="222830"/>
          <w:sz w:val="20"/>
        </w:rPr>
        <w:t xml:space="preserve">Figura 6. </w:t>
      </w:r>
      <w:r>
        <w:rPr>
          <w:rFonts w:ascii="Times New Roman" w:hAnsi="Times New Roman"/>
          <w:i/>
          <w:color w:val="222830"/>
          <w:sz w:val="20"/>
        </w:rPr>
        <w:t>Cobertura de la medición, en valores absolutos.</w:t>
      </w:r>
    </w:p>
    <w:p>
      <w:pPr>
        <w:spacing w:before="0" w:after="240"/>
        <w:ind w:left="283"/>
        <w:jc w:val="both"/>
      </w:pPr>
      <w:r>
        <w:rPr>
          <w:rFonts w:ascii="Times New Roman" w:hAnsi="Times New Roman"/>
          <w:color w:val="5A6878"/>
          <w:sz w:val="18"/>
        </w:rPr>
        <w:t>Nota. Las cuatro primeras filas crecen porque el instrumental registra más. Las cuatro últimas no se mueven. Fuente: reportes de indicadores de las dos vueltas.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3628"/>
        <w:gridCol w:w="1814"/>
        <w:gridCol w:w="1814"/>
        <w:gridCol w:w="1814"/>
      </w:tblGrid>
      <w:tr>
        <w:trPr>
          <w:tblHeader w:val="true"/>
        </w:trPr>
        <w:tc>
          <w:tcPr>
            <w:tcW w:type="dxa" w:w="3628"/>
            <w:shd w:val="clear" w:fill="1F3864"/>
          </w:tcPr>
          <w:p>
            <w:pPr>
              <w:spacing w:before="40" w:after="40"/>
            </w:pPr>
            <w:r/>
            <w:r>
              <w:rPr>
                <w:rFonts w:ascii="Calibri" w:hAnsi="Calibri"/>
                <w:b/>
                <w:color w:val="FFFFFF"/>
                <w:sz w:val="18"/>
              </w:rPr>
              <w:t>Indicador</w:t>
            </w:r>
          </w:p>
        </w:tc>
        <w:tc>
          <w:tcPr>
            <w:tcW w:type="dxa" w:w="1814"/>
            <w:shd w:val="clear" w:fill="1F3864"/>
          </w:tcPr>
          <w:p>
            <w:pPr>
              <w:spacing w:before="40" w:after="40"/>
            </w:pPr>
            <w:r/>
            <w:r>
              <w:rPr>
                <w:rFonts w:ascii="Calibri" w:hAnsi="Calibri"/>
                <w:b/>
                <w:color w:val="FFFFFF"/>
                <w:sz w:val="18"/>
              </w:rPr>
              <w:t>Línea base</w:t>
            </w:r>
          </w:p>
        </w:tc>
        <w:tc>
          <w:tcPr>
            <w:tcW w:type="dxa" w:w="1814"/>
            <w:shd w:val="clear" w:fill="1F3864"/>
          </w:tcPr>
          <w:p>
            <w:pPr>
              <w:spacing w:before="40" w:after="40"/>
            </w:pPr>
            <w:r/>
            <w:r>
              <w:rPr>
                <w:rFonts w:ascii="Calibri" w:hAnsi="Calibri"/>
                <w:b/>
                <w:color w:val="FFFFFF"/>
                <w:sz w:val="18"/>
              </w:rPr>
              <w:t>Final</w:t>
            </w:r>
          </w:p>
        </w:tc>
        <w:tc>
          <w:tcPr>
            <w:tcW w:type="dxa" w:w="1814"/>
            <w:shd w:val="clear" w:fill="1F3864"/>
          </w:tcPr>
          <w:p>
            <w:pPr>
              <w:spacing w:before="40" w:after="40"/>
            </w:pPr>
            <w:r/>
            <w:r>
              <w:rPr>
                <w:rFonts w:ascii="Calibri" w:hAnsi="Calibri"/>
                <w:b/>
                <w:color w:val="FFFFFF"/>
                <w:sz w:val="18"/>
              </w:rPr>
              <w:t>Δ</w:t>
            </w:r>
          </w:p>
        </w:tc>
      </w:tr>
      <w:tr>
        <w:tc>
          <w:tcPr>
            <w:tcW w:type="dxa" w:w="3628"/>
          </w:tcPr>
          <w:p>
            <w:pPr>
              <w:spacing w:before="40" w:after="40"/>
            </w:pPr>
            <w:r/>
            <w:r>
              <w:rPr>
                <w:rFonts w:ascii="Calibri" w:hAnsi="Calibri"/>
                <w:color w:val="222830"/>
                <w:sz w:val="18"/>
              </w:rPr>
              <w:t>Escenarios con tiempo medido</w:t>
            </w:r>
          </w:p>
        </w:tc>
        <w:tc>
          <w:tcPr>
            <w:tcW w:type="dxa" w:w="1814"/>
          </w:tcPr>
          <w:p>
            <w:pPr>
              <w:spacing w:before="40" w:after="40"/>
            </w:pPr>
            <w:r/>
            <w:r>
              <w:rPr>
                <w:rFonts w:ascii="Calibri" w:hAnsi="Calibri"/>
                <w:color w:val="222830"/>
                <w:sz w:val="18"/>
              </w:rPr>
              <w:t>4</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+6</w:t>
            </w:r>
          </w:p>
        </w:tc>
      </w:tr>
      <w:tr>
        <w:tc>
          <w:tcPr>
            <w:tcW w:type="dxa" w:w="3628"/>
            <w:shd w:val="clear" w:fill="EDF2F8"/>
          </w:tcPr>
          <w:p>
            <w:pPr>
              <w:spacing w:before="40" w:after="40"/>
            </w:pPr>
            <w:r/>
            <w:r>
              <w:rPr>
                <w:rFonts w:ascii="Calibri" w:hAnsi="Calibri"/>
                <w:color w:val="222830"/>
                <w:sz w:val="18"/>
              </w:rPr>
              <w:t>Fuentes de registro</w:t>
            </w:r>
          </w:p>
        </w:tc>
        <w:tc>
          <w:tcPr>
            <w:tcW w:type="dxa" w:w="1814"/>
            <w:shd w:val="clear" w:fill="EDF2F8"/>
          </w:tcPr>
          <w:p>
            <w:pPr>
              <w:spacing w:before="40" w:after="40"/>
            </w:pPr>
            <w:r/>
            <w:r>
              <w:rPr>
                <w:rFonts w:ascii="Calibri" w:hAnsi="Calibri"/>
                <w:color w:val="222830"/>
                <w:sz w:val="18"/>
              </w:rPr>
              <w:t>3</w:t>
            </w:r>
          </w:p>
        </w:tc>
        <w:tc>
          <w:tcPr>
            <w:tcW w:type="dxa" w:w="1814"/>
            <w:shd w:val="clear" w:fill="EDF2F8"/>
          </w:tcPr>
          <w:p>
            <w:pPr>
              <w:spacing w:before="40" w:after="40"/>
            </w:pPr>
            <w:r/>
            <w:r>
              <w:rPr>
                <w:rFonts w:ascii="Calibri" w:hAnsi="Calibri"/>
                <w:color w:val="222830"/>
                <w:sz w:val="18"/>
              </w:rPr>
              <w:t>6</w:t>
            </w:r>
          </w:p>
        </w:tc>
        <w:tc>
          <w:tcPr>
            <w:tcW w:type="dxa" w:w="1814"/>
            <w:shd w:val="clear" w:fill="EDF2F8"/>
          </w:tcPr>
          <w:p>
            <w:pPr>
              <w:spacing w:before="40" w:after="40"/>
            </w:pPr>
            <w:r/>
            <w:r>
              <w:rPr>
                <w:rFonts w:ascii="Calibri" w:hAnsi="Calibri"/>
                <w:color w:val="222830"/>
                <w:sz w:val="18"/>
              </w:rPr>
              <w:t>+3</w:t>
            </w:r>
          </w:p>
        </w:tc>
      </w:tr>
      <w:tr>
        <w:tc>
          <w:tcPr>
            <w:tcW w:type="dxa" w:w="3628"/>
          </w:tcPr>
          <w:p>
            <w:pPr>
              <w:spacing w:before="40" w:after="40"/>
            </w:pPr>
            <w:r/>
            <w:r>
              <w:rPr>
                <w:rFonts w:ascii="Calibri" w:hAnsi="Calibri"/>
                <w:color w:val="222830"/>
                <w:sz w:val="18"/>
              </w:rPr>
              <w:t>Técnicas con fuente</w:t>
            </w:r>
          </w:p>
        </w:tc>
        <w:tc>
          <w:tcPr>
            <w:tcW w:type="dxa" w:w="1814"/>
          </w:tcPr>
          <w:p>
            <w:pPr>
              <w:spacing w:before="40" w:after="40"/>
            </w:pPr>
            <w:r/>
            <w:r>
              <w:rPr>
                <w:rFonts w:ascii="Calibri" w:hAnsi="Calibri"/>
                <w:color w:val="222830"/>
                <w:sz w:val="18"/>
              </w:rPr>
              <w:t>4</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+6</w:t>
            </w:r>
          </w:p>
        </w:tc>
      </w:tr>
      <w:tr>
        <w:tc>
          <w:tcPr>
            <w:tcW w:type="dxa" w:w="3628"/>
            <w:shd w:val="clear" w:fill="EDF2F8"/>
          </w:tcPr>
          <w:p>
            <w:pPr>
              <w:spacing w:before="40" w:after="40"/>
            </w:pPr>
            <w:r/>
            <w:r>
              <w:rPr>
                <w:rFonts w:ascii="Calibri" w:hAnsi="Calibri"/>
                <w:color w:val="222830"/>
                <w:sz w:val="18"/>
              </w:rPr>
              <w:t>Tácticas con fuente</w:t>
            </w:r>
          </w:p>
        </w:tc>
        <w:tc>
          <w:tcPr>
            <w:tcW w:type="dxa" w:w="1814"/>
            <w:shd w:val="clear" w:fill="EDF2F8"/>
          </w:tcPr>
          <w:p>
            <w:pPr>
              <w:spacing w:before="40" w:after="40"/>
            </w:pPr>
            <w:r/>
            <w:r>
              <w:rPr>
                <w:rFonts w:ascii="Calibri" w:hAnsi="Calibri"/>
                <w:color w:val="222830"/>
                <w:sz w:val="18"/>
              </w:rPr>
              <w:t>3</w:t>
            </w:r>
          </w:p>
        </w:tc>
        <w:tc>
          <w:tcPr>
            <w:tcW w:type="dxa" w:w="1814"/>
            <w:shd w:val="clear" w:fill="EDF2F8"/>
          </w:tcPr>
          <w:p>
            <w:pPr>
              <w:spacing w:before="40" w:after="40"/>
            </w:pPr>
            <w:r/>
            <w:r>
              <w:rPr>
                <w:rFonts w:ascii="Calibri" w:hAnsi="Calibri"/>
                <w:color w:val="222830"/>
                <w:sz w:val="18"/>
              </w:rPr>
              <w:t>6</w:t>
            </w:r>
          </w:p>
        </w:tc>
        <w:tc>
          <w:tcPr>
            <w:tcW w:type="dxa" w:w="1814"/>
            <w:shd w:val="clear" w:fill="EDF2F8"/>
          </w:tcPr>
          <w:p>
            <w:pPr>
              <w:spacing w:before="40" w:after="40"/>
            </w:pPr>
            <w:r/>
            <w:r>
              <w:rPr>
                <w:rFonts w:ascii="Calibri" w:hAnsi="Calibri"/>
                <w:color w:val="222830"/>
                <w:sz w:val="18"/>
              </w:rPr>
              <w:t>+3</w:t>
            </w:r>
          </w:p>
        </w:tc>
      </w:tr>
      <w:tr>
        <w:tc>
          <w:tcPr>
            <w:tcW w:type="dxa" w:w="3628"/>
          </w:tcPr>
          <w:p>
            <w:pPr>
              <w:spacing w:before="40" w:after="40"/>
            </w:pPr>
            <w:r/>
            <w:r>
              <w:rPr>
                <w:rFonts w:ascii="Calibri" w:hAnsi="Calibri"/>
                <w:color w:val="222830"/>
                <w:sz w:val="18"/>
              </w:rPr>
              <w:t>Escenarios ejecutados</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10</w:t>
            </w:r>
          </w:p>
        </w:tc>
        <w:tc>
          <w:tcPr>
            <w:tcW w:type="dxa" w:w="1814"/>
          </w:tcPr>
          <w:p>
            <w:pPr>
              <w:spacing w:before="40" w:after="40"/>
            </w:pPr>
            <w:r/>
            <w:r>
              <w:rPr>
                <w:rFonts w:ascii="Calibri" w:hAnsi="Calibri"/>
                <w:color w:val="222830"/>
                <w:sz w:val="18"/>
              </w:rPr>
              <w:t>=</w:t>
            </w:r>
          </w:p>
        </w:tc>
      </w:tr>
      <w:tr>
        <w:tc>
          <w:tcPr>
            <w:tcW w:type="dxa" w:w="3628"/>
            <w:shd w:val="clear" w:fill="EDF2F8"/>
          </w:tcPr>
          <w:p>
            <w:pPr>
              <w:spacing w:before="40" w:after="40"/>
            </w:pPr>
            <w:r/>
            <w:r>
              <w:rPr>
                <w:rFonts w:ascii="Calibri" w:hAnsi="Calibri"/>
                <w:color w:val="222830"/>
                <w:sz w:val="18"/>
              </w:rPr>
              <w:t>Técnicas del inventario</w:t>
            </w:r>
          </w:p>
        </w:tc>
        <w:tc>
          <w:tcPr>
            <w:tcW w:type="dxa" w:w="1814"/>
            <w:shd w:val="clear" w:fill="EDF2F8"/>
          </w:tcPr>
          <w:p>
            <w:pPr>
              <w:spacing w:before="40" w:after="40"/>
            </w:pPr>
            <w:r/>
            <w:r>
              <w:rPr>
                <w:rFonts w:ascii="Calibri" w:hAnsi="Calibri"/>
                <w:color w:val="222830"/>
                <w:sz w:val="18"/>
              </w:rPr>
              <w:t>17</w:t>
            </w:r>
          </w:p>
        </w:tc>
        <w:tc>
          <w:tcPr>
            <w:tcW w:type="dxa" w:w="1814"/>
            <w:shd w:val="clear" w:fill="EDF2F8"/>
          </w:tcPr>
          <w:p>
            <w:pPr>
              <w:spacing w:before="40" w:after="40"/>
            </w:pPr>
            <w:r/>
            <w:r>
              <w:rPr>
                <w:rFonts w:ascii="Calibri" w:hAnsi="Calibri"/>
                <w:color w:val="222830"/>
                <w:sz w:val="18"/>
              </w:rPr>
              <w:t>17</w:t>
            </w:r>
          </w:p>
        </w:tc>
        <w:tc>
          <w:tcPr>
            <w:tcW w:type="dxa" w:w="1814"/>
            <w:shd w:val="clear" w:fill="EDF2F8"/>
          </w:tcPr>
          <w:p>
            <w:pPr>
              <w:spacing w:before="40" w:after="40"/>
            </w:pPr>
            <w:r/>
            <w:r>
              <w:rPr>
                <w:rFonts w:ascii="Calibri" w:hAnsi="Calibri"/>
                <w:color w:val="222830"/>
                <w:sz w:val="18"/>
              </w:rPr>
              <w:t>=</w:t>
            </w:r>
          </w:p>
        </w:tc>
      </w:tr>
      <w:tr>
        <w:tc>
          <w:tcPr>
            <w:tcW w:type="dxa" w:w="3628"/>
          </w:tcPr>
          <w:p>
            <w:pPr>
              <w:spacing w:before="40" w:after="40"/>
            </w:pPr>
            <w:r/>
            <w:r>
              <w:rPr>
                <w:rFonts w:ascii="Calibri" w:hAnsi="Calibri"/>
                <w:color w:val="222830"/>
                <w:sz w:val="18"/>
              </w:rPr>
              <w:t>Archivos de evidencia</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w:t>
            </w:r>
          </w:p>
        </w:tc>
      </w:tr>
      <w:tr>
        <w:tc>
          <w:tcPr>
            <w:tcW w:type="dxa" w:w="3628"/>
            <w:shd w:val="clear" w:fill="EDF2F8"/>
          </w:tcPr>
          <w:p>
            <w:pPr>
              <w:spacing w:before="40" w:after="40"/>
            </w:pPr>
            <w:r/>
            <w:r>
              <w:rPr>
                <w:rFonts w:ascii="Calibri" w:hAnsi="Calibri"/>
                <w:color w:val="222830"/>
                <w:sz w:val="18"/>
              </w:rPr>
              <w:t>Calidad de la evidencia</w:t>
            </w:r>
          </w:p>
        </w:tc>
        <w:tc>
          <w:tcPr>
            <w:tcW w:type="dxa" w:w="1814"/>
            <w:shd w:val="clear" w:fill="EDF2F8"/>
          </w:tcPr>
          <w:p>
            <w:pPr>
              <w:spacing w:before="40" w:after="40"/>
            </w:pPr>
            <w:r/>
            <w:r>
              <w:rPr>
                <w:rFonts w:ascii="Calibri" w:hAnsi="Calibri"/>
                <w:color w:val="222830"/>
                <w:sz w:val="18"/>
              </w:rPr>
              <w:t>100</w:t>
            </w:r>
          </w:p>
        </w:tc>
        <w:tc>
          <w:tcPr>
            <w:tcW w:type="dxa" w:w="1814"/>
            <w:shd w:val="clear" w:fill="EDF2F8"/>
          </w:tcPr>
          <w:p>
            <w:pPr>
              <w:spacing w:before="40" w:after="40"/>
            </w:pPr>
            <w:r/>
            <w:r>
              <w:rPr>
                <w:rFonts w:ascii="Calibri" w:hAnsi="Calibri"/>
                <w:color w:val="222830"/>
                <w:sz w:val="18"/>
              </w:rPr>
              <w:t>100</w:t>
            </w:r>
          </w:p>
        </w:tc>
        <w:tc>
          <w:tcPr>
            <w:tcW w:type="dxa" w:w="1814"/>
            <w:shd w:val="clear" w:fill="EDF2F8"/>
          </w:tcPr>
          <w:p>
            <w:pPr>
              <w:spacing w:before="40" w:after="40"/>
            </w:pPr>
            <w:r/>
            <w:r>
              <w:rPr>
                <w:rFonts w:ascii="Calibri" w:hAnsi="Calibri"/>
                <w:color w:val="222830"/>
                <w:sz w:val="18"/>
              </w:rPr>
              <w:t>=</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Las cuatro primeras filas crecen porque el instrumental registra más. Las cuatro últimas no se mueven, y esa es precisamente la prueba de que la diferencia procede de la corrección del instrumental y no de un cambio en el volumen de evidencia ni en el catálogo de amenazas.</w:t>
            </w:r>
          </w:p>
        </w:tc>
      </w:tr>
    </w:tbl>
    <w:p>
      <w:pPr>
        <w:spacing w:after="80"/>
      </w:pPr>
    </w:p>
    <w:p>
      <w:pPr>
        <w:keepNext/>
        <w:spacing w:before="280" w:after="160"/>
        <w:outlineLvl w:val="1"/>
      </w:pPr>
      <w:r>
        <w:rPr>
          <w:rFonts w:ascii="Times New Roman" w:hAnsi="Times New Roman"/>
          <w:b/>
          <w:color w:val="1F3864"/>
          <w:sz w:val="27"/>
        </w:rPr>
        <w:t>E. Tiempo de detección de los cuatro escenarios comparables</w:t>
      </w:r>
    </w:p>
    <w:p>
      <w:pPr>
        <w:spacing w:after="160" w:line="360" w:lineRule="auto"/>
        <w:jc w:val="both"/>
      </w:pPr>
      <w:r>
        <w:rPr>
          <w:rFonts w:ascii="Times New Roman" w:hAnsi="Times New Roman"/>
          <w:color w:val="222830"/>
          <w:sz w:val="24"/>
        </w:rPr>
        <w:t>Son los cuatro escenarios que produjeron medición en las dos vueltas, de modo que conservan el mismo número de muestras y el mismo criterio de cálculo. Los cuatro muestran reducción.</w:t>
      </w:r>
    </w:p>
    <w:p>
      <w:pPr>
        <w:spacing w:before="200" w:after="80"/>
        <w:jc w:val="center"/>
      </w:pPr>
      <w:r>
        <w:drawing>
          <wp:inline xmlns:a="http://schemas.openxmlformats.org/drawingml/2006/main" xmlns:pic="http://schemas.openxmlformats.org/drawingml/2006/picture">
            <wp:extent cx="5760000" cy="1298400"/>
            <wp:docPr id="7" name="Picture 7"/>
            <wp:cNvGraphicFramePr>
              <a:graphicFrameLocks noChangeAspect="1"/>
            </wp:cNvGraphicFramePr>
            <a:graphic>
              <a:graphicData uri="http://schemas.openxmlformats.org/drawingml/2006/picture">
                <pic:pic>
                  <pic:nvPicPr>
                    <pic:cNvPr id="0" name="tiempo.png"/>
                    <pic:cNvPicPr/>
                  </pic:nvPicPr>
                  <pic:blipFill>
                    <a:blip r:embed="rId15"/>
                    <a:stretch>
                      <a:fillRect/>
                    </a:stretch>
                  </pic:blipFill>
                  <pic:spPr>
                    <a:xfrm>
                      <a:off x="0" y="0"/>
                      <a:ext cx="5760000" cy="1298400"/>
                    </a:xfrm>
                    <a:prstGeom prst="rect"/>
                  </pic:spPr>
                </pic:pic>
              </a:graphicData>
            </a:graphic>
          </wp:inline>
        </w:drawing>
      </w:r>
    </w:p>
    <w:p>
      <w:pPr>
        <w:spacing w:before="40" w:after="40"/>
        <w:jc w:val="center"/>
      </w:pPr>
      <w:r>
        <w:rPr>
          <w:rFonts w:ascii="Times New Roman" w:hAnsi="Times New Roman"/>
          <w:color w:val="222830"/>
          <w:sz w:val="20"/>
        </w:rPr>
        <w:t xml:space="preserve">Figura 7. </w:t>
      </w:r>
      <w:r>
        <w:rPr>
          <w:rFonts w:ascii="Times New Roman" w:hAnsi="Times New Roman"/>
          <w:i/>
          <w:color w:val="222830"/>
          <w:sz w:val="20"/>
        </w:rPr>
        <w:t>Tiempo de detección de los cuatro escenarios comparables.</w:t>
      </w:r>
    </w:p>
    <w:p>
      <w:pPr>
        <w:spacing w:before="0" w:after="240"/>
        <w:ind w:left="283"/>
        <w:jc w:val="both"/>
      </w:pPr>
      <w:r>
        <w:rPr>
          <w:rFonts w:ascii="Times New Roman" w:hAnsi="Times New Roman"/>
          <w:color w:val="5A6878"/>
          <w:sz w:val="18"/>
        </w:rPr>
        <w:t>Nota. La reducción se calcula sobre los valores de origen con tres decimales, no sobre los valores redondeados de la tabla. Fuente: reportes de indicadores de las dos vueltas.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2494"/>
        <w:gridCol w:w="1134"/>
        <w:gridCol w:w="1304"/>
        <w:gridCol w:w="1304"/>
        <w:gridCol w:w="1134"/>
        <w:gridCol w:w="1701"/>
      </w:tblGrid>
      <w:tr>
        <w:trPr>
          <w:tblHeader w:val="true"/>
        </w:trPr>
        <w:tc>
          <w:tcPr>
            <w:tcW w:type="dxa" w:w="2494"/>
            <w:shd w:val="clear" w:fill="1F3864"/>
          </w:tcPr>
          <w:p>
            <w:pPr>
              <w:spacing w:before="40" w:after="40"/>
            </w:pPr>
            <w:r/>
            <w:r>
              <w:rPr>
                <w:rFonts w:ascii="Calibri" w:hAnsi="Calibri"/>
                <w:b/>
                <w:color w:val="FFFFFF"/>
                <w:sz w:val="18"/>
              </w:rPr>
              <w:t>Escenario</w:t>
            </w:r>
          </w:p>
        </w:tc>
        <w:tc>
          <w:tcPr>
            <w:tcW w:type="dxa" w:w="1134"/>
            <w:shd w:val="clear" w:fill="1F3864"/>
          </w:tcPr>
          <w:p>
            <w:pPr>
              <w:spacing w:before="40" w:after="40"/>
            </w:pPr>
            <w:r/>
            <w:r>
              <w:rPr>
                <w:rFonts w:ascii="Calibri" w:hAnsi="Calibri"/>
                <w:b/>
                <w:color w:val="FFFFFF"/>
                <w:sz w:val="18"/>
              </w:rPr>
              <w:t>Técnica</w:t>
            </w:r>
          </w:p>
        </w:tc>
        <w:tc>
          <w:tcPr>
            <w:tcW w:type="dxa" w:w="1304"/>
            <w:shd w:val="clear" w:fill="1F3864"/>
          </w:tcPr>
          <w:p>
            <w:pPr>
              <w:spacing w:before="40" w:after="40"/>
            </w:pPr>
            <w:r/>
            <w:r>
              <w:rPr>
                <w:rFonts w:ascii="Calibri" w:hAnsi="Calibri"/>
                <w:b/>
                <w:color w:val="FFFFFF"/>
                <w:sz w:val="18"/>
              </w:rPr>
              <w:t>Línea base</w:t>
            </w:r>
          </w:p>
        </w:tc>
        <w:tc>
          <w:tcPr>
            <w:tcW w:type="dxa" w:w="1304"/>
            <w:shd w:val="clear" w:fill="1F3864"/>
          </w:tcPr>
          <w:p>
            <w:pPr>
              <w:spacing w:before="40" w:after="40"/>
            </w:pPr>
            <w:r/>
            <w:r>
              <w:rPr>
                <w:rFonts w:ascii="Calibri" w:hAnsi="Calibri"/>
                <w:b/>
                <w:color w:val="FFFFFF"/>
                <w:sz w:val="18"/>
              </w:rPr>
              <w:t>Medición final</w:t>
            </w:r>
          </w:p>
        </w:tc>
        <w:tc>
          <w:tcPr>
            <w:tcW w:type="dxa" w:w="1134"/>
            <w:shd w:val="clear" w:fill="1F3864"/>
          </w:tcPr>
          <w:p>
            <w:pPr>
              <w:spacing w:before="40" w:after="40"/>
            </w:pPr>
            <w:r/>
            <w:r>
              <w:rPr>
                <w:rFonts w:ascii="Calibri" w:hAnsi="Calibri"/>
                <w:b/>
                <w:color w:val="FFFFFF"/>
                <w:sz w:val="18"/>
              </w:rPr>
              <w:t>Reducción</w:t>
            </w:r>
          </w:p>
        </w:tc>
        <w:tc>
          <w:tcPr>
            <w:tcW w:type="dxa" w:w="1701"/>
            <w:shd w:val="clear" w:fill="1F3864"/>
          </w:tcPr>
          <w:p>
            <w:pPr>
              <w:spacing w:before="40" w:after="40"/>
            </w:pPr>
            <w:r/>
            <w:r>
              <w:rPr>
                <w:rFonts w:ascii="Calibri" w:hAnsi="Calibri"/>
                <w:b/>
                <w:color w:val="FFFFFF"/>
                <w:sz w:val="18"/>
              </w:rPr>
              <w:t>Origen del dato</w:t>
            </w:r>
          </w:p>
        </w:tc>
      </w:tr>
      <w:tr>
        <w:tc>
          <w:tcPr>
            <w:tcW w:type="dxa" w:w="2494"/>
          </w:tcPr>
          <w:p>
            <w:pPr>
              <w:spacing w:before="40" w:after="40"/>
            </w:pPr>
            <w:r/>
            <w:r>
              <w:rPr>
                <w:rFonts w:ascii="Calibri" w:hAnsi="Calibri"/>
                <w:color w:val="222830"/>
                <w:sz w:val="18"/>
              </w:rPr>
              <w:t>S01 · Reconocimiento activo</w:t>
            </w:r>
          </w:p>
        </w:tc>
        <w:tc>
          <w:tcPr>
            <w:tcW w:type="dxa" w:w="1134"/>
          </w:tcPr>
          <w:p>
            <w:pPr>
              <w:spacing w:before="40" w:after="40"/>
            </w:pPr>
            <w:r/>
            <w:r>
              <w:rPr>
                <w:rFonts w:ascii="Calibri" w:hAnsi="Calibri"/>
                <w:color w:val="222830"/>
                <w:sz w:val="18"/>
              </w:rPr>
              <w:t>T1595</w:t>
            </w:r>
          </w:p>
        </w:tc>
        <w:tc>
          <w:tcPr>
            <w:tcW w:type="dxa" w:w="1304"/>
          </w:tcPr>
          <w:p>
            <w:pPr>
              <w:spacing w:before="40" w:after="40"/>
            </w:pPr>
            <w:r/>
            <w:r>
              <w:rPr>
                <w:rFonts w:ascii="Calibri" w:hAnsi="Calibri"/>
                <w:color w:val="222830"/>
                <w:sz w:val="18"/>
              </w:rPr>
              <w:t>16,851 s</w:t>
            </w:r>
          </w:p>
        </w:tc>
        <w:tc>
          <w:tcPr>
            <w:tcW w:type="dxa" w:w="1304"/>
          </w:tcPr>
          <w:p>
            <w:pPr>
              <w:spacing w:before="40" w:after="40"/>
            </w:pPr>
            <w:r/>
            <w:r>
              <w:rPr>
                <w:rFonts w:ascii="Calibri" w:hAnsi="Calibri"/>
                <w:color w:val="222830"/>
                <w:sz w:val="18"/>
              </w:rPr>
              <w:t>15,91 s</w:t>
            </w:r>
          </w:p>
        </w:tc>
        <w:tc>
          <w:tcPr>
            <w:tcW w:type="dxa" w:w="1134"/>
          </w:tcPr>
          <w:p>
            <w:pPr>
              <w:spacing w:before="40" w:after="40"/>
            </w:pPr>
            <w:r/>
            <w:r>
              <w:rPr>
                <w:rFonts w:ascii="Calibri" w:hAnsi="Calibri"/>
                <w:color w:val="222830"/>
                <w:sz w:val="18"/>
              </w:rPr>
              <w:t>5,6 %</w:t>
            </w:r>
          </w:p>
        </w:tc>
        <w:tc>
          <w:tcPr>
            <w:tcW w:type="dxa" w:w="1701"/>
          </w:tcPr>
          <w:p>
            <w:pPr>
              <w:spacing w:before="40" w:after="40"/>
            </w:pPr>
            <w:r/>
            <w:r>
              <w:rPr>
                <w:rFonts w:ascii="Calibri" w:hAnsi="Calibri"/>
                <w:color w:val="222830"/>
                <w:sz w:val="18"/>
              </w:rPr>
              <w:t>Interfaz de servicios del atacante</w:t>
            </w:r>
          </w:p>
        </w:tc>
      </w:tr>
      <w:tr>
        <w:tc>
          <w:tcPr>
            <w:tcW w:type="dxa" w:w="2494"/>
            <w:shd w:val="clear" w:fill="EDF2F8"/>
          </w:tcPr>
          <w:p>
            <w:pPr>
              <w:spacing w:before="40" w:after="40"/>
            </w:pPr>
            <w:r/>
            <w:r>
              <w:rPr>
                <w:rFonts w:ascii="Calibri" w:hAnsi="Calibri"/>
                <w:color w:val="222830"/>
                <w:sz w:val="18"/>
              </w:rPr>
              <w:t>S02 · Escaneo web</w:t>
            </w:r>
          </w:p>
        </w:tc>
        <w:tc>
          <w:tcPr>
            <w:tcW w:type="dxa" w:w="1134"/>
            <w:shd w:val="clear" w:fill="EDF2F8"/>
          </w:tcPr>
          <w:p>
            <w:pPr>
              <w:spacing w:before="40" w:after="40"/>
            </w:pPr>
            <w:r/>
            <w:r>
              <w:rPr>
                <w:rFonts w:ascii="Calibri" w:hAnsi="Calibri"/>
                <w:color w:val="222830"/>
                <w:sz w:val="18"/>
              </w:rPr>
              <w:t>T1595.002</w:t>
            </w:r>
          </w:p>
        </w:tc>
        <w:tc>
          <w:tcPr>
            <w:tcW w:type="dxa" w:w="1304"/>
            <w:shd w:val="clear" w:fill="EDF2F8"/>
          </w:tcPr>
          <w:p>
            <w:pPr>
              <w:spacing w:before="40" w:after="40"/>
            </w:pPr>
            <w:r/>
            <w:r>
              <w:rPr>
                <w:rFonts w:ascii="Calibri" w:hAnsi="Calibri"/>
                <w:color w:val="222830"/>
                <w:sz w:val="18"/>
              </w:rPr>
              <w:t>1,214 s</w:t>
            </w:r>
          </w:p>
        </w:tc>
        <w:tc>
          <w:tcPr>
            <w:tcW w:type="dxa" w:w="1304"/>
            <w:shd w:val="clear" w:fill="EDF2F8"/>
          </w:tcPr>
          <w:p>
            <w:pPr>
              <w:spacing w:before="40" w:after="40"/>
            </w:pPr>
            <w:r/>
            <w:r>
              <w:rPr>
                <w:rFonts w:ascii="Calibri" w:hAnsi="Calibri"/>
                <w:color w:val="222830"/>
                <w:sz w:val="18"/>
              </w:rPr>
              <w:t>1,095 s</w:t>
            </w:r>
          </w:p>
        </w:tc>
        <w:tc>
          <w:tcPr>
            <w:tcW w:type="dxa" w:w="1134"/>
            <w:shd w:val="clear" w:fill="EDF2F8"/>
          </w:tcPr>
          <w:p>
            <w:pPr>
              <w:spacing w:before="40" w:after="40"/>
            </w:pPr>
            <w:r/>
            <w:r>
              <w:rPr>
                <w:rFonts w:ascii="Calibri" w:hAnsi="Calibri"/>
                <w:color w:val="222830"/>
                <w:sz w:val="18"/>
              </w:rPr>
              <w:t>9,8 %</w:t>
            </w:r>
          </w:p>
        </w:tc>
        <w:tc>
          <w:tcPr>
            <w:tcW w:type="dxa" w:w="1701"/>
            <w:shd w:val="clear" w:fill="EDF2F8"/>
          </w:tcPr>
          <w:p>
            <w:pPr>
              <w:spacing w:before="40" w:after="40"/>
            </w:pPr>
            <w:r/>
            <w:r>
              <w:rPr>
                <w:rFonts w:ascii="Calibri" w:hAnsi="Calibri"/>
                <w:color w:val="222830"/>
                <w:sz w:val="18"/>
              </w:rPr>
              <w:t>Portal del señuelo</w:t>
            </w:r>
          </w:p>
        </w:tc>
      </w:tr>
      <w:tr>
        <w:tc>
          <w:tcPr>
            <w:tcW w:type="dxa" w:w="2494"/>
          </w:tcPr>
          <w:p>
            <w:pPr>
              <w:spacing w:before="40" w:after="40"/>
            </w:pPr>
            <w:r/>
            <w:r>
              <w:rPr>
                <w:rFonts w:ascii="Calibri" w:hAnsi="Calibri"/>
                <w:color w:val="222830"/>
                <w:sz w:val="18"/>
              </w:rPr>
              <w:t>S05 · Suplantación de credenciales</w:t>
            </w:r>
          </w:p>
        </w:tc>
        <w:tc>
          <w:tcPr>
            <w:tcW w:type="dxa" w:w="1134"/>
          </w:tcPr>
          <w:p>
            <w:pPr>
              <w:spacing w:before="40" w:after="40"/>
            </w:pPr>
            <w:r/>
            <w:r>
              <w:rPr>
                <w:rFonts w:ascii="Calibri" w:hAnsi="Calibri"/>
                <w:color w:val="222830"/>
                <w:sz w:val="18"/>
              </w:rPr>
              <w:t>T1110.004</w:t>
            </w:r>
          </w:p>
        </w:tc>
        <w:tc>
          <w:tcPr>
            <w:tcW w:type="dxa" w:w="1304"/>
          </w:tcPr>
          <w:p>
            <w:pPr>
              <w:spacing w:before="40" w:after="40"/>
            </w:pPr>
            <w:r/>
            <w:r>
              <w:rPr>
                <w:rFonts w:ascii="Calibri" w:hAnsi="Calibri"/>
                <w:color w:val="222830"/>
                <w:sz w:val="18"/>
              </w:rPr>
              <w:t>1,734 s</w:t>
            </w:r>
          </w:p>
        </w:tc>
        <w:tc>
          <w:tcPr>
            <w:tcW w:type="dxa" w:w="1304"/>
          </w:tcPr>
          <w:p>
            <w:pPr>
              <w:spacing w:before="40" w:after="40"/>
            </w:pPr>
            <w:r/>
            <w:r>
              <w:rPr>
                <w:rFonts w:ascii="Calibri" w:hAnsi="Calibri"/>
                <w:color w:val="222830"/>
                <w:sz w:val="18"/>
              </w:rPr>
              <w:t>1,145 s</w:t>
            </w:r>
          </w:p>
        </w:tc>
        <w:tc>
          <w:tcPr>
            <w:tcW w:type="dxa" w:w="1134"/>
          </w:tcPr>
          <w:p>
            <w:pPr>
              <w:spacing w:before="40" w:after="40"/>
            </w:pPr>
            <w:r/>
            <w:r>
              <w:rPr>
                <w:rFonts w:ascii="Calibri" w:hAnsi="Calibri"/>
                <w:color w:val="222830"/>
                <w:sz w:val="18"/>
              </w:rPr>
              <w:t>34,0 %</w:t>
            </w:r>
          </w:p>
        </w:tc>
        <w:tc>
          <w:tcPr>
            <w:tcW w:type="dxa" w:w="1701"/>
          </w:tcPr>
          <w:p>
            <w:pPr>
              <w:spacing w:before="40" w:after="40"/>
            </w:pPr>
            <w:r/>
            <w:r>
              <w:rPr>
                <w:rFonts w:ascii="Calibri" w:hAnsi="Calibri"/>
                <w:color w:val="222830"/>
                <w:sz w:val="18"/>
              </w:rPr>
              <w:t>Interfaz de servicios del señuelo</w:t>
            </w:r>
          </w:p>
        </w:tc>
      </w:tr>
      <w:tr>
        <w:tc>
          <w:tcPr>
            <w:tcW w:type="dxa" w:w="2494"/>
            <w:shd w:val="clear" w:fill="EDF2F8"/>
          </w:tcPr>
          <w:p>
            <w:pPr>
              <w:spacing w:before="40" w:after="40"/>
            </w:pPr>
            <w:r/>
            <w:r>
              <w:rPr>
                <w:rFonts w:ascii="Calibri" w:hAnsi="Calibri"/>
                <w:color w:val="222830"/>
                <w:sz w:val="18"/>
              </w:rPr>
              <w:t>S07 · Abuso de la interfaz</w:t>
            </w:r>
          </w:p>
        </w:tc>
        <w:tc>
          <w:tcPr>
            <w:tcW w:type="dxa" w:w="1134"/>
            <w:shd w:val="clear" w:fill="EDF2F8"/>
          </w:tcPr>
          <w:p>
            <w:pPr>
              <w:spacing w:before="40" w:after="40"/>
            </w:pPr>
            <w:r/>
            <w:r>
              <w:rPr>
                <w:rFonts w:ascii="Calibri" w:hAnsi="Calibri"/>
                <w:color w:val="222830"/>
                <w:sz w:val="18"/>
              </w:rPr>
              <w:t>T1078</w:t>
            </w:r>
          </w:p>
        </w:tc>
        <w:tc>
          <w:tcPr>
            <w:tcW w:type="dxa" w:w="1304"/>
            <w:shd w:val="clear" w:fill="EDF2F8"/>
          </w:tcPr>
          <w:p>
            <w:pPr>
              <w:spacing w:before="40" w:after="40"/>
            </w:pPr>
            <w:r/>
            <w:r>
              <w:rPr>
                <w:rFonts w:ascii="Calibri" w:hAnsi="Calibri"/>
                <w:color w:val="222830"/>
                <w:sz w:val="18"/>
              </w:rPr>
              <w:t>1,063 s</w:t>
            </w:r>
          </w:p>
        </w:tc>
        <w:tc>
          <w:tcPr>
            <w:tcW w:type="dxa" w:w="1304"/>
            <w:shd w:val="clear" w:fill="EDF2F8"/>
          </w:tcPr>
          <w:p>
            <w:pPr>
              <w:spacing w:before="40" w:after="40"/>
            </w:pPr>
            <w:r/>
            <w:r>
              <w:rPr>
                <w:rFonts w:ascii="Calibri" w:hAnsi="Calibri"/>
                <w:color w:val="222830"/>
                <w:sz w:val="18"/>
              </w:rPr>
              <w:t>0,264 s</w:t>
            </w:r>
          </w:p>
        </w:tc>
        <w:tc>
          <w:tcPr>
            <w:tcW w:type="dxa" w:w="1134"/>
            <w:shd w:val="clear" w:fill="EDF2F8"/>
          </w:tcPr>
          <w:p>
            <w:pPr>
              <w:spacing w:before="40" w:after="40"/>
            </w:pPr>
            <w:r/>
            <w:r>
              <w:rPr>
                <w:rFonts w:ascii="Calibri" w:hAnsi="Calibri"/>
                <w:color w:val="222830"/>
                <w:sz w:val="18"/>
              </w:rPr>
              <w:t>75,2 %</w:t>
            </w:r>
          </w:p>
        </w:tc>
        <w:tc>
          <w:tcPr>
            <w:tcW w:type="dxa" w:w="1701"/>
            <w:shd w:val="clear" w:fill="EDF2F8"/>
          </w:tcPr>
          <w:p>
            <w:pPr>
              <w:spacing w:before="40" w:after="40"/>
            </w:pPr>
            <w:r/>
            <w:r>
              <w:rPr>
                <w:rFonts w:ascii="Calibri" w:hAnsi="Calibri"/>
                <w:color w:val="222830"/>
                <w:sz w:val="18"/>
              </w:rPr>
              <w:t>Interfaz de servicios del señuelo</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 reducción se calcula sobre los valores de origen con tres decimales, no sobre los valores redondeados de la tabla. La media del percentil 95 baja de 14,58 s a 9,27 s, lo que confirma que la mejora se sostiene en la cola de la distribución y no solo en el promedio.</w:t>
            </w:r>
          </w:p>
        </w:tc>
      </w:tr>
    </w:tbl>
    <w:p>
      <w:pPr>
        <w:spacing w:after="80"/>
      </w:pPr>
    </w:p>
    <w:p>
      <w:pPr>
        <w:keepNext/>
        <w:spacing w:before="280" w:after="160"/>
        <w:outlineLvl w:val="1"/>
      </w:pPr>
      <w:r>
        <w:rPr>
          <w:rFonts w:ascii="Times New Roman" w:hAnsi="Times New Roman"/>
          <w:b/>
          <w:color w:val="1F3864"/>
          <w:sz w:val="27"/>
        </w:rPr>
        <w:t>F. Distribución del tiempo de detección en la medición final</w:t>
      </w:r>
    </w:p>
    <w:p>
      <w:pPr>
        <w:spacing w:after="160" w:line="360" w:lineRule="auto"/>
        <w:jc w:val="both"/>
      </w:pPr>
      <w:r>
        <w:rPr>
          <w:rFonts w:ascii="Times New Roman" w:hAnsi="Times New Roman"/>
          <w:color w:val="222830"/>
          <w:sz w:val="24"/>
        </w:rPr>
        <w:t>Los diez escenarios de la medición posterior. Cada barra indica cuántos escenarios caen en cada tramo de tiempo.</w:t>
      </w:r>
    </w:p>
    <w:p>
      <w:pPr>
        <w:spacing w:before="200" w:after="80"/>
        <w:jc w:val="center"/>
      </w:pPr>
      <w:r>
        <w:drawing>
          <wp:inline xmlns:a="http://schemas.openxmlformats.org/drawingml/2006/main" xmlns:pic="http://schemas.openxmlformats.org/drawingml/2006/picture">
            <wp:extent cx="5760000" cy="1276800"/>
            <wp:docPr id="8" name="Picture 8"/>
            <wp:cNvGraphicFramePr>
              <a:graphicFrameLocks noChangeAspect="1"/>
            </wp:cNvGraphicFramePr>
            <a:graphic>
              <a:graphicData uri="http://schemas.openxmlformats.org/drawingml/2006/picture">
                <pic:pic>
                  <pic:nvPicPr>
                    <pic:cNvPr id="0" name="dist.png"/>
                    <pic:cNvPicPr/>
                  </pic:nvPicPr>
                  <pic:blipFill>
                    <a:blip r:embed="rId16"/>
                    <a:stretch>
                      <a:fillRect/>
                    </a:stretch>
                  </pic:blipFill>
                  <pic:spPr>
                    <a:xfrm>
                      <a:off x="0" y="0"/>
                      <a:ext cx="5760000" cy="1276800"/>
                    </a:xfrm>
                    <a:prstGeom prst="rect"/>
                  </pic:spPr>
                </pic:pic>
              </a:graphicData>
            </a:graphic>
          </wp:inline>
        </w:drawing>
      </w:r>
    </w:p>
    <w:p>
      <w:pPr>
        <w:spacing w:before="40" w:after="40"/>
        <w:jc w:val="center"/>
      </w:pPr>
      <w:r>
        <w:rPr>
          <w:rFonts w:ascii="Times New Roman" w:hAnsi="Times New Roman"/>
          <w:color w:val="222830"/>
          <w:sz w:val="20"/>
        </w:rPr>
        <w:t xml:space="preserve">Figura 8. </w:t>
      </w:r>
      <w:r>
        <w:rPr>
          <w:rFonts w:ascii="Times New Roman" w:hAnsi="Times New Roman"/>
          <w:i/>
          <w:color w:val="222830"/>
          <w:sz w:val="20"/>
        </w:rPr>
        <w:t>Distribución del tiempo de detección en la medición final.</w:t>
      </w:r>
    </w:p>
    <w:p>
      <w:pPr>
        <w:spacing w:before="0" w:after="240"/>
        <w:ind w:left="283"/>
        <w:jc w:val="both"/>
      </w:pPr>
      <w:r>
        <w:rPr>
          <w:rFonts w:ascii="Times New Roman" w:hAnsi="Times New Roman"/>
          <w:color w:val="5A6878"/>
          <w:sz w:val="18"/>
        </w:rPr>
        <w:t>Nota. Ocho de los diez escenarios se detectan por debajo de un segundo. Fuente: reporte de indicadores de la vuelta 2.</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Ocho de los diez escenarios se detectan por debajo de un segundo. Los dos más lentos, S01 y S02, son los de reconocimiento activo, donde el primer evento del atacante tarda en llegar al señuelo porque la actividad se ejecuta por red.</w:t>
            </w:r>
          </w:p>
        </w:tc>
      </w:tr>
    </w:tbl>
    <w:p>
      <w:pPr>
        <w:spacing w:after="80"/>
      </w:pPr>
    </w:p>
    <w:p>
      <w:pPr>
        <w:keepNext/>
        <w:spacing w:before="280" w:after="160"/>
        <w:outlineLvl w:val="1"/>
      </w:pPr>
      <w:r>
        <w:rPr>
          <w:rFonts w:ascii="Times New Roman" w:hAnsi="Times New Roman"/>
          <w:b/>
          <w:color w:val="1F3864"/>
          <w:sz w:val="27"/>
        </w:rPr>
        <w:t>G. Fuentes que registran la detección</w:t>
      </w:r>
    </w:p>
    <w:p>
      <w:pPr>
        <w:spacing w:after="160" w:line="360" w:lineRule="auto"/>
        <w:jc w:val="both"/>
      </w:pPr>
      <w:r>
        <w:rPr>
          <w:rFonts w:ascii="Times New Roman" w:hAnsi="Times New Roman"/>
          <w:color w:val="222830"/>
          <w:sz w:val="24"/>
        </w:rPr>
        <w:t>Cada escenario es detectado por un componente distinto. La línea base tenía tres componentes y la medición final seis, y esa ampliación es la que devuelve la medición a los seis escenarios que la primera vuelta no tenía.</w:t>
      </w:r>
    </w:p>
    <w:p>
      <w:pPr>
        <w:spacing w:before="200" w:after="80"/>
        <w:jc w:val="center"/>
      </w:pPr>
      <w:r>
        <w:drawing>
          <wp:inline xmlns:a="http://schemas.openxmlformats.org/drawingml/2006/main" xmlns:pic="http://schemas.openxmlformats.org/drawingml/2006/picture">
            <wp:extent cx="5760000" cy="1653600"/>
            <wp:docPr id="9" name="Picture 9"/>
            <wp:cNvGraphicFramePr>
              <a:graphicFrameLocks noChangeAspect="1"/>
            </wp:cNvGraphicFramePr>
            <a:graphic>
              <a:graphicData uri="http://schemas.openxmlformats.org/drawingml/2006/picture">
                <pic:pic>
                  <pic:nvPicPr>
                    <pic:cNvPr id="0" name="fuentes.png"/>
                    <pic:cNvPicPr/>
                  </pic:nvPicPr>
                  <pic:blipFill>
                    <a:blip r:embed="rId17"/>
                    <a:stretch>
                      <a:fillRect/>
                    </a:stretch>
                  </pic:blipFill>
                  <pic:spPr>
                    <a:xfrm>
                      <a:off x="0" y="0"/>
                      <a:ext cx="5760000" cy="1653600"/>
                    </a:xfrm>
                    <a:prstGeom prst="rect"/>
                  </pic:spPr>
                </pic:pic>
              </a:graphicData>
            </a:graphic>
          </wp:inline>
        </w:drawing>
      </w:r>
    </w:p>
    <w:p>
      <w:pPr>
        <w:spacing w:before="40" w:after="40"/>
        <w:jc w:val="center"/>
      </w:pPr>
      <w:r>
        <w:rPr>
          <w:rFonts w:ascii="Times New Roman" w:hAnsi="Times New Roman"/>
          <w:color w:val="222830"/>
          <w:sz w:val="20"/>
        </w:rPr>
        <w:t xml:space="preserve">Figura 9. </w:t>
      </w:r>
      <w:r>
        <w:rPr>
          <w:rFonts w:ascii="Times New Roman" w:hAnsi="Times New Roman"/>
          <w:i/>
          <w:color w:val="222830"/>
          <w:sz w:val="20"/>
        </w:rPr>
        <w:t>Fuentes que registran la detección.</w:t>
      </w:r>
    </w:p>
    <w:p>
      <w:pPr>
        <w:spacing w:before="0" w:after="240"/>
        <w:ind w:left="283"/>
        <w:jc w:val="both"/>
      </w:pPr>
      <w:r>
        <w:rPr>
          <w:rFonts w:ascii="Times New Roman" w:hAnsi="Times New Roman"/>
          <w:color w:val="5A6878"/>
          <w:sz w:val="18"/>
        </w:rPr>
        <w:t>Nota. Los tres componentes añadidos durante el ciclo son el emulador de acceso remoto, el archivo señuelo y el sensor de red. Fuente: reportes de indicadores de las dos vueltas.</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Los tres componentes añadidos durante el ciclo son el emulador de acceso remoto, el archivo señuelo y el sensor de red. Cada uno responde a una lección concreta: L13, L14 y L14 respectivamente.</w:t>
            </w:r>
          </w:p>
        </w:tc>
      </w:tr>
    </w:tbl>
    <w:p>
      <w:pPr>
        <w:spacing w:after="80"/>
      </w:pPr>
    </w:p>
    <w:p>
      <w:pPr>
        <w:keepNext/>
        <w:spacing w:before="280" w:after="160"/>
        <w:outlineLvl w:val="1"/>
      </w:pPr>
      <w:r>
        <w:rPr>
          <w:rFonts w:ascii="Times New Roman" w:hAnsi="Times New Roman"/>
          <w:b/>
          <w:color w:val="1F3864"/>
          <w:sz w:val="27"/>
        </w:rPr>
        <w:t>H. Cobertura de MITRE ATT&amp;CK</w:t>
      </w:r>
    </w:p>
    <w:p>
      <w:pPr>
        <w:spacing w:after="160" w:line="360" w:lineRule="auto"/>
        <w:jc w:val="both"/>
      </w:pPr>
      <w:r>
        <w:rPr>
          <w:rFonts w:ascii="Times New Roman" w:hAnsi="Times New Roman"/>
          <w:color w:val="222830"/>
          <w:sz w:val="24"/>
        </w:rPr>
        <w:t>El inventario del señuelo comprende diecisiete técnicas distribuidas en ocho tácticas. Diez las activa algún escenario de la campaña y todas diez reciben fuente de detección en la medición final.</w:t>
      </w:r>
    </w:p>
    <w:p>
      <w:pPr>
        <w:spacing w:before="200" w:after="80"/>
        <w:jc w:val="center"/>
      </w:pPr>
      <w:r>
        <w:drawing>
          <wp:inline xmlns:a="http://schemas.openxmlformats.org/drawingml/2006/main" xmlns:pic="http://schemas.openxmlformats.org/drawingml/2006/picture">
            <wp:extent cx="5760000" cy="3326400"/>
            <wp:docPr id="10" name="Picture 10"/>
            <wp:cNvGraphicFramePr>
              <a:graphicFrameLocks noChangeAspect="1"/>
            </wp:cNvGraphicFramePr>
            <a:graphic>
              <a:graphicData uri="http://schemas.openxmlformats.org/drawingml/2006/picture">
                <pic:pic>
                  <pic:nvPicPr>
                    <pic:cNvPr id="0" name="attack.png"/>
                    <pic:cNvPicPr/>
                  </pic:nvPicPr>
                  <pic:blipFill>
                    <a:blip r:embed="rId18"/>
                    <a:stretch>
                      <a:fillRect/>
                    </a:stretch>
                  </pic:blipFill>
                  <pic:spPr>
                    <a:xfrm>
                      <a:off x="0" y="0"/>
                      <a:ext cx="5760000" cy="3326400"/>
                    </a:xfrm>
                    <a:prstGeom prst="rect"/>
                  </pic:spPr>
                </pic:pic>
              </a:graphicData>
            </a:graphic>
          </wp:inline>
        </w:drawing>
      </w:r>
    </w:p>
    <w:p>
      <w:pPr>
        <w:spacing w:before="40" w:after="40"/>
        <w:jc w:val="center"/>
      </w:pPr>
      <w:r>
        <w:rPr>
          <w:rFonts w:ascii="Times New Roman" w:hAnsi="Times New Roman"/>
          <w:color w:val="222830"/>
          <w:sz w:val="20"/>
        </w:rPr>
        <w:t xml:space="preserve">Figura 10. </w:t>
      </w:r>
      <w:r>
        <w:rPr>
          <w:rFonts w:ascii="Times New Roman" w:hAnsi="Times New Roman"/>
          <w:i/>
          <w:color w:val="222830"/>
          <w:sz w:val="20"/>
        </w:rPr>
        <w:t>Inventario y detección de técnicas del marco de comportamiento adversario.</w:t>
      </w:r>
    </w:p>
    <w:p>
      <w:pPr>
        <w:spacing w:before="0" w:after="240"/>
        <w:ind w:left="283"/>
        <w:jc w:val="both"/>
      </w:pPr>
      <w:r>
        <w:rPr>
          <w:rFonts w:ascii="Times New Roman" w:hAnsi="Times New Roman"/>
          <w:color w:val="5A6878"/>
          <w:sz w:val="18"/>
        </w:rPr>
        <w:t>Nota. El inventario permanece en diecisiete técnicas y ocho tácticas. Lo que cambia es la atribución de detección. Fuente: mitre_coverage.json y reporte de la vuelta 2.</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1360"/>
        <w:gridCol w:w="2041"/>
        <w:gridCol w:w="1020"/>
        <w:gridCol w:w="4649"/>
      </w:tblGrid>
      <w:tr>
        <w:trPr>
          <w:tblHeader w:val="true"/>
        </w:trPr>
        <w:tc>
          <w:tcPr>
            <w:tcW w:type="dxa" w:w="1361"/>
            <w:shd w:val="clear" w:fill="1F3864"/>
          </w:tcPr>
          <w:p>
            <w:pPr>
              <w:spacing w:before="40" w:after="40"/>
            </w:pPr>
            <w:r/>
            <w:r>
              <w:rPr>
                <w:rFonts w:ascii="Calibri" w:hAnsi="Calibri"/>
                <w:b/>
                <w:color w:val="FFFFFF"/>
                <w:sz w:val="18"/>
              </w:rPr>
              <w:t>Técnica</w:t>
            </w:r>
          </w:p>
        </w:tc>
        <w:tc>
          <w:tcPr>
            <w:tcW w:type="dxa" w:w="2041"/>
            <w:shd w:val="clear" w:fill="1F3864"/>
          </w:tcPr>
          <w:p>
            <w:pPr>
              <w:spacing w:before="40" w:after="40"/>
            </w:pPr>
            <w:r/>
            <w:r>
              <w:rPr>
                <w:rFonts w:ascii="Calibri" w:hAnsi="Calibri"/>
                <w:b/>
                <w:color w:val="FFFFFF"/>
                <w:sz w:val="18"/>
              </w:rPr>
              <w:t>Táctica</w:t>
            </w:r>
          </w:p>
        </w:tc>
        <w:tc>
          <w:tcPr>
            <w:tcW w:type="dxa" w:w="1020"/>
            <w:shd w:val="clear" w:fill="1F3864"/>
          </w:tcPr>
          <w:p>
            <w:pPr>
              <w:spacing w:before="40" w:after="40"/>
            </w:pPr>
            <w:r/>
            <w:r>
              <w:rPr>
                <w:rFonts w:ascii="Calibri" w:hAnsi="Calibri"/>
                <w:b/>
                <w:color w:val="FFFFFF"/>
                <w:sz w:val="18"/>
              </w:rPr>
              <w:t>Escenario</w:t>
            </w:r>
          </w:p>
        </w:tc>
        <w:tc>
          <w:tcPr>
            <w:tcW w:type="dxa" w:w="4649"/>
            <w:shd w:val="clear" w:fill="1F3864"/>
          </w:tcPr>
          <w:p>
            <w:pPr>
              <w:spacing w:before="40" w:after="40"/>
            </w:pPr>
            <w:r/>
            <w:r>
              <w:rPr>
                <w:rFonts w:ascii="Calibri" w:hAnsi="Calibri"/>
                <w:b/>
                <w:color w:val="FFFFFF"/>
                <w:sz w:val="18"/>
              </w:rPr>
              <w:t>Fuente en la medición final</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Las siete técnicas que ningún escenario activa permanecen en el inventario del señuelo porque forman parte de su superficie de ataque. Su presencia en el inventario y su ausencia en la medición son dos hechos distintos y el tablero los separa.</w:t>
            </w:r>
          </w:p>
        </w:tc>
      </w:tr>
    </w:tbl>
    <w:p>
      <w:pPr>
        <w:spacing w:after="80"/>
      </w:pPr>
    </w:p>
    <w:p>
      <w:pPr>
        <w:keepNext/>
        <w:spacing w:before="280" w:after="160"/>
        <w:outlineLvl w:val="1"/>
      </w:pPr>
      <w:r>
        <w:rPr>
          <w:rFonts w:ascii="Times New Roman" w:hAnsi="Times New Roman"/>
          <w:b/>
          <w:color w:val="1F3864"/>
          <w:sz w:val="27"/>
        </w:rPr>
        <w:t>I. Ciclo de iteraciones</w:t>
      </w:r>
    </w:p>
    <w:p>
      <w:pPr>
        <w:spacing w:after="160" w:line="360" w:lineRule="auto"/>
        <w:jc w:val="both"/>
      </w:pPr>
      <w:r>
        <w:rPr>
          <w:rFonts w:ascii="Times New Roman" w:hAnsi="Times New Roman"/>
          <w:color w:val="222830"/>
          <w:sz w:val="24"/>
        </w:rPr>
        <w:t>La metodología se aplicó dos veces sobre el mismo señuelo. La primera medición produjo el conjunto de lecciones que originó las correcciones, y la segunda midió el efecto de esas correcciones.</w:t>
      </w:r>
    </w:p>
    <w:p>
      <w:pPr>
        <w:spacing w:before="200" w:after="80"/>
        <w:jc w:val="center"/>
      </w:pPr>
      <w:r>
        <w:drawing>
          <wp:inline xmlns:a="http://schemas.openxmlformats.org/drawingml/2006/main" xmlns:pic="http://schemas.openxmlformats.org/drawingml/2006/picture">
            <wp:extent cx="5760000" cy="1053600"/>
            <wp:docPr id="11" name="Picture 11"/>
            <wp:cNvGraphicFramePr>
              <a:graphicFrameLocks noChangeAspect="1"/>
            </wp:cNvGraphicFramePr>
            <a:graphic>
              <a:graphicData uri="http://schemas.openxmlformats.org/drawingml/2006/picture">
                <pic:pic>
                  <pic:nvPicPr>
                    <pic:cNvPr id="0" name="ciclo.png"/>
                    <pic:cNvPicPr/>
                  </pic:nvPicPr>
                  <pic:blipFill>
                    <a:blip r:embed="rId19"/>
                    <a:stretch>
                      <a:fillRect/>
                    </a:stretch>
                  </pic:blipFill>
                  <pic:spPr>
                    <a:xfrm>
                      <a:off x="0" y="0"/>
                      <a:ext cx="5760000" cy="1053600"/>
                    </a:xfrm>
                    <a:prstGeom prst="rect"/>
                  </pic:spPr>
                </pic:pic>
              </a:graphicData>
            </a:graphic>
          </wp:inline>
        </w:drawing>
      </w:r>
    </w:p>
    <w:p>
      <w:pPr>
        <w:spacing w:before="40" w:after="40"/>
        <w:jc w:val="center"/>
      </w:pPr>
      <w:r>
        <w:rPr>
          <w:rFonts w:ascii="Times New Roman" w:hAnsi="Times New Roman"/>
          <w:color w:val="222830"/>
          <w:sz w:val="20"/>
        </w:rPr>
        <w:t xml:space="preserve">Figura 11. </w:t>
      </w:r>
      <w:r>
        <w:rPr>
          <w:rFonts w:ascii="Times New Roman" w:hAnsi="Times New Roman"/>
          <w:i/>
          <w:color w:val="222830"/>
          <w:sz w:val="20"/>
        </w:rPr>
        <w:t>Ciclo de iteraciones de la metodología sobre el mismo señuelo.</w:t>
      </w:r>
    </w:p>
    <w:p>
      <w:pPr>
        <w:spacing w:before="0" w:after="240"/>
        <w:ind w:left="283"/>
        <w:jc w:val="both"/>
      </w:pPr>
      <w:r>
        <w:rPr>
          <w:rFonts w:ascii="Times New Roman" w:hAnsi="Times New Roman"/>
          <w:color w:val="5A6878"/>
          <w:sz w:val="18"/>
        </w:rPr>
        <w:t>Nota. La metodología se aplicó dos veces sobre el mismo señuelo. La primera medición produjo las catorce lecciones que originaron las correcciones de la segunda. Fuente: marcas de tiempo de ambos reportes.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2608"/>
        <w:gridCol w:w="1927"/>
        <w:gridCol w:w="2608"/>
        <w:gridCol w:w="1927"/>
      </w:tblGrid>
      <w:tr>
        <w:trPr>
          <w:tblHeader w:val="true"/>
        </w:trPr>
        <w:tc>
          <w:tcPr>
            <w:tcW w:type="dxa" w:w="2608"/>
            <w:shd w:val="clear" w:fill="1F3864"/>
          </w:tcPr>
          <w:p>
            <w:pPr>
              <w:spacing w:before="40" w:after="40"/>
            </w:pPr>
            <w:r/>
            <w:r>
              <w:rPr>
                <w:rFonts w:ascii="Calibri" w:hAnsi="Calibri"/>
                <w:b/>
                <w:color w:val="FFFFFF"/>
                <w:sz w:val="18"/>
              </w:rPr>
              <w:t>Hito</w:t>
            </w:r>
          </w:p>
        </w:tc>
        <w:tc>
          <w:tcPr>
            <w:tcW w:type="dxa" w:w="1928"/>
            <w:shd w:val="clear" w:fill="1F3864"/>
          </w:tcPr>
          <w:p>
            <w:pPr>
              <w:spacing w:before="40" w:after="40"/>
            </w:pPr>
            <w:r/>
            <w:r>
              <w:rPr>
                <w:rFonts w:ascii="Calibri" w:hAnsi="Calibri"/>
                <w:b/>
                <w:color w:val="FFFFFF"/>
                <w:sz w:val="18"/>
              </w:rPr>
              <w:t>Momento</w:t>
            </w:r>
          </w:p>
        </w:tc>
        <w:tc>
          <w:tcPr>
            <w:tcW w:type="dxa" w:w="2608"/>
            <w:shd w:val="clear" w:fill="1F3864"/>
          </w:tcPr>
          <w:p>
            <w:pPr>
              <w:spacing w:before="40" w:after="40"/>
            </w:pPr>
            <w:r/>
            <w:r>
              <w:rPr>
                <w:rFonts w:ascii="Calibri" w:hAnsi="Calibri"/>
                <w:b/>
                <w:color w:val="FFFFFF"/>
                <w:sz w:val="18"/>
              </w:rPr>
              <w:t>Qué ocurrió</w:t>
            </w:r>
          </w:p>
        </w:tc>
        <w:tc>
          <w:tcPr>
            <w:tcW w:type="dxa" w:w="1928"/>
            <w:shd w:val="clear" w:fill="1F3864"/>
          </w:tcPr>
          <w:p>
            <w:pPr>
              <w:spacing w:before="40" w:after="40"/>
            </w:pPr>
            <w:r/>
            <w:r>
              <w:rPr>
                <w:rFonts w:ascii="Calibri" w:hAnsi="Calibri"/>
                <w:b/>
                <w:color w:val="FFFFFF"/>
                <w:sz w:val="18"/>
              </w:rPr>
              <w:t>Evidencia</w:t>
            </w:r>
          </w:p>
        </w:tc>
      </w:tr>
      <w:tr>
        <w:tc>
          <w:tcPr>
            <w:tcW w:type="dxa" w:w="2608"/>
          </w:tcPr>
          <w:p>
            <w:pPr>
              <w:spacing w:before="40" w:after="40"/>
            </w:pPr>
            <w:r/>
            <w:r>
              <w:rPr>
                <w:rFonts w:ascii="Calibri" w:hAnsi="Calibri"/>
                <w:color w:val="222830"/>
                <w:sz w:val="18"/>
              </w:rPr>
              <w:t>Medición de la línea base</w:t>
            </w:r>
          </w:p>
        </w:tc>
        <w:tc>
          <w:tcPr>
            <w:tcW w:type="dxa" w:w="1928"/>
          </w:tcPr>
          <w:p>
            <w:pPr>
              <w:spacing w:before="40" w:after="40"/>
            </w:pPr>
            <w:r/>
            <w:r>
              <w:rPr>
                <w:rFonts w:ascii="Calibri" w:hAnsi="Calibri"/>
                <w:color w:val="222830"/>
                <w:sz w:val="18"/>
              </w:rPr>
              <w:t>4 oct 2026 · 16:07 UTC</w:t>
            </w:r>
          </w:p>
        </w:tc>
        <w:tc>
          <w:tcPr>
            <w:tcW w:type="dxa" w:w="2608"/>
          </w:tcPr>
          <w:p>
            <w:pPr>
              <w:spacing w:before="40" w:after="40"/>
            </w:pPr>
            <w:r/>
            <w:r>
              <w:rPr>
                <w:rFonts w:ascii="Calibri" w:hAnsi="Calibri"/>
                <w:color w:val="222830"/>
                <w:sz w:val="18"/>
              </w:rPr>
              <w:t>Diez escenarios ejecutados, medición en cuatro de ellos</w:t>
            </w:r>
          </w:p>
        </w:tc>
        <w:tc>
          <w:tcPr>
            <w:tcW w:type="dxa" w:w="1928"/>
          </w:tcPr>
          <w:p>
            <w:pPr>
              <w:spacing w:before="40" w:after="40"/>
            </w:pPr>
            <w:r/>
            <w:r>
              <w:rPr>
                <w:rFonts w:ascii="Calibri" w:hAnsi="Calibri"/>
                <w:color w:val="222830"/>
                <w:sz w:val="18"/>
              </w:rPr>
              <w:t>Reporte de indicadores de la vuelta 1</w:t>
            </w:r>
          </w:p>
        </w:tc>
      </w:tr>
      <w:tr>
        <w:tc>
          <w:tcPr>
            <w:tcW w:type="dxa" w:w="2608"/>
            <w:shd w:val="clear" w:fill="EDF2F8"/>
          </w:tcPr>
          <w:p>
            <w:pPr>
              <w:spacing w:before="40" w:after="40"/>
            </w:pPr>
            <w:r/>
            <w:r>
              <w:rPr>
                <w:rFonts w:ascii="Calibri" w:hAnsi="Calibri"/>
                <w:color w:val="222830"/>
                <w:sz w:val="18"/>
              </w:rPr>
              <w:t>Cadena de alertas y indexación</w:t>
            </w:r>
          </w:p>
        </w:tc>
        <w:tc>
          <w:tcPr>
            <w:tcW w:type="dxa" w:w="1928"/>
            <w:shd w:val="clear" w:fill="EDF2F8"/>
          </w:tcPr>
          <w:p>
            <w:pPr>
              <w:spacing w:before="40" w:after="40"/>
            </w:pPr>
            <w:r/>
            <w:r>
              <w:rPr>
                <w:rFonts w:ascii="Calibri" w:hAnsi="Calibri"/>
                <w:color w:val="222830"/>
                <w:sz w:val="18"/>
              </w:rPr>
              <w:t>4 oct 2026 · 16:08 UTC</w:t>
            </w:r>
          </w:p>
        </w:tc>
        <w:tc>
          <w:tcPr>
            <w:tcW w:type="dxa" w:w="2608"/>
            <w:shd w:val="clear" w:fill="EDF2F8"/>
          </w:tcPr>
          <w:p>
            <w:pPr>
              <w:spacing w:before="40" w:after="40"/>
            </w:pPr>
            <w:r/>
            <w:r>
              <w:rPr>
                <w:rFonts w:ascii="Calibri" w:hAnsi="Calibri"/>
                <w:color w:val="222830"/>
                <w:sz w:val="18"/>
              </w:rPr>
              <w:t>Publicador propio operativo, tablero con datos reales</w:t>
            </w:r>
          </w:p>
        </w:tc>
        <w:tc>
          <w:tcPr>
            <w:tcW w:type="dxa" w:w="1928"/>
            <w:shd w:val="clear" w:fill="EDF2F8"/>
          </w:tcPr>
          <w:p>
            <w:pPr>
              <w:spacing w:before="40" w:after="40"/>
            </w:pPr>
            <w:r/>
            <w:r>
              <w:rPr>
                <w:rFonts w:ascii="Calibri" w:hAnsi="Calibri"/>
                <w:color w:val="222830"/>
                <w:sz w:val="18"/>
              </w:rPr>
              <w:t>Commits 20ee788 y 2d13573</w:t>
            </w:r>
          </w:p>
        </w:tc>
      </w:tr>
      <w:tr>
        <w:tc>
          <w:tcPr>
            <w:tcW w:type="dxa" w:w="2608"/>
          </w:tcPr>
          <w:p>
            <w:pPr>
              <w:spacing w:before="40" w:after="40"/>
            </w:pPr>
            <w:r/>
            <w:r>
              <w:rPr>
                <w:rFonts w:ascii="Calibri" w:hAnsi="Calibri"/>
                <w:color w:val="222830"/>
                <w:sz w:val="18"/>
              </w:rPr>
              <w:t>Registro de lecciones cerrado</w:t>
            </w:r>
          </w:p>
        </w:tc>
        <w:tc>
          <w:tcPr>
            <w:tcW w:type="dxa" w:w="1928"/>
          </w:tcPr>
          <w:p>
            <w:pPr>
              <w:spacing w:before="40" w:after="40"/>
            </w:pPr>
            <w:r/>
            <w:r>
              <w:rPr>
                <w:rFonts w:ascii="Calibri" w:hAnsi="Calibri"/>
                <w:color w:val="222830"/>
                <w:sz w:val="18"/>
              </w:rPr>
              <w:t>4 oct 2026 · 18:32 UTC</w:t>
            </w:r>
          </w:p>
        </w:tc>
        <w:tc>
          <w:tcPr>
            <w:tcW w:type="dxa" w:w="2608"/>
          </w:tcPr>
          <w:p>
            <w:pPr>
              <w:spacing w:before="40" w:after="40"/>
            </w:pPr>
            <w:r/>
            <w:r>
              <w:rPr>
                <w:rFonts w:ascii="Calibri" w:hAnsi="Calibri"/>
                <w:color w:val="222830"/>
                <w:sz w:val="18"/>
              </w:rPr>
              <w:t>Catorce lecciones con hallazgo, causa raíz y mejora aplicada</w:t>
            </w:r>
          </w:p>
        </w:tc>
        <w:tc>
          <w:tcPr>
            <w:tcW w:type="dxa" w:w="1928"/>
          </w:tcPr>
          <w:p>
            <w:pPr>
              <w:spacing w:before="40" w:after="40"/>
            </w:pPr>
            <w:r/>
            <w:r>
              <w:rPr>
                <w:rFonts w:ascii="Calibri" w:hAnsi="Calibri"/>
                <w:color w:val="222830"/>
                <w:sz w:val="18"/>
              </w:rPr>
              <w:t>Registro de lecciones aprendidas</w:t>
            </w:r>
          </w:p>
        </w:tc>
      </w:tr>
      <w:tr>
        <w:tc>
          <w:tcPr>
            <w:tcW w:type="dxa" w:w="2608"/>
            <w:shd w:val="clear" w:fill="EDF2F8"/>
          </w:tcPr>
          <w:p>
            <w:pPr>
              <w:spacing w:before="40" w:after="40"/>
            </w:pPr>
            <w:r/>
            <w:r>
              <w:rPr>
                <w:rFonts w:ascii="Calibri" w:hAnsi="Calibri"/>
                <w:color w:val="222830"/>
                <w:sz w:val="18"/>
              </w:rPr>
              <w:t>Medición posterior</w:t>
            </w:r>
          </w:p>
        </w:tc>
        <w:tc>
          <w:tcPr>
            <w:tcW w:type="dxa" w:w="1928"/>
            <w:shd w:val="clear" w:fill="EDF2F8"/>
          </w:tcPr>
          <w:p>
            <w:pPr>
              <w:spacing w:before="40" w:after="40"/>
            </w:pPr>
            <w:r/>
            <w:r>
              <w:rPr>
                <w:rFonts w:ascii="Calibri" w:hAnsi="Calibri"/>
                <w:color w:val="222830"/>
                <w:sz w:val="18"/>
              </w:rPr>
              <w:t>4 oct 2026 · 20:33 UTC</w:t>
            </w:r>
          </w:p>
        </w:tc>
        <w:tc>
          <w:tcPr>
            <w:tcW w:type="dxa" w:w="2608"/>
            <w:shd w:val="clear" w:fill="EDF2F8"/>
          </w:tcPr>
          <w:p>
            <w:pPr>
              <w:spacing w:before="40" w:after="40"/>
            </w:pPr>
            <w:r/>
            <w:r>
              <w:rPr>
                <w:rFonts w:ascii="Calibri" w:hAnsi="Calibri"/>
                <w:color w:val="222830"/>
                <w:sz w:val="18"/>
              </w:rPr>
              <w:t>Diez escenarios ejecutados, medición en los diez</w:t>
            </w:r>
          </w:p>
        </w:tc>
        <w:tc>
          <w:tcPr>
            <w:tcW w:type="dxa" w:w="1928"/>
            <w:shd w:val="clear" w:fill="EDF2F8"/>
          </w:tcPr>
          <w:p>
            <w:pPr>
              <w:spacing w:before="40" w:after="40"/>
            </w:pPr>
            <w:r/>
            <w:r>
              <w:rPr>
                <w:rFonts w:ascii="Calibri" w:hAnsi="Calibri"/>
                <w:color w:val="222830"/>
                <w:sz w:val="18"/>
              </w:rPr>
              <w:t>Reporte de indicadores de la vuelta 2</w:t>
            </w:r>
          </w:p>
        </w:tc>
      </w:tr>
      <w:tr>
        <w:tc>
          <w:tcPr>
            <w:tcW w:type="dxa" w:w="2608"/>
          </w:tcPr>
          <w:p>
            <w:pPr>
              <w:spacing w:before="40" w:after="40"/>
            </w:pPr>
            <w:r/>
            <w:r>
              <w:rPr>
                <w:rFonts w:ascii="Calibri" w:hAnsi="Calibri"/>
                <w:color w:val="222830"/>
                <w:sz w:val="18"/>
              </w:rPr>
              <w:t>Duración total del ciclo</w:t>
            </w:r>
          </w:p>
        </w:tc>
        <w:tc>
          <w:tcPr>
            <w:tcW w:type="dxa" w:w="1928"/>
          </w:tcPr>
          <w:p>
            <w:pPr>
              <w:spacing w:before="40" w:after="40"/>
            </w:pPr>
            <w:r/>
            <w:r>
              <w:rPr>
                <w:rFonts w:ascii="Calibri" w:hAnsi="Calibri"/>
                <w:color w:val="222830"/>
                <w:sz w:val="18"/>
              </w:rPr>
              <w:t>4 h 26 min</w:t>
            </w:r>
          </w:p>
        </w:tc>
        <w:tc>
          <w:tcPr>
            <w:tcW w:type="dxa" w:w="2608"/>
          </w:tcPr>
          <w:p>
            <w:pPr>
              <w:spacing w:before="40" w:after="40"/>
            </w:pPr>
            <w:r/>
            <w:r>
              <w:rPr>
                <w:rFonts w:ascii="Calibri" w:hAnsi="Calibri"/>
                <w:color w:val="222830"/>
                <w:sz w:val="18"/>
              </w:rPr>
              <w:t>De la línea base a la medición final</w:t>
            </w:r>
          </w:p>
        </w:tc>
        <w:tc>
          <w:tcPr>
            <w:tcW w:type="dxa" w:w="1928"/>
          </w:tcPr>
          <w:p>
            <w:pPr>
              <w:spacing w:before="40" w:after="40"/>
            </w:pPr>
            <w:r/>
            <w:r>
              <w:rPr>
                <w:rFonts w:ascii="Calibri" w:hAnsi="Calibri"/>
                <w:color w:val="222830"/>
                <w:sz w:val="18"/>
              </w:rPr>
              <w:t>Marcas de ambos reportes</w:t>
            </w:r>
          </w:p>
        </w:tc>
      </w:tr>
    </w:tbl>
    <w:p>
      <w:pPr>
        <w:spacing w:after="80"/>
      </w:pPr>
    </w:p>
    <w:p>
      <w:pPr>
        <w:keepNext/>
        <w:spacing w:before="280" w:after="160"/>
        <w:outlineLvl w:val="1"/>
      </w:pPr>
      <w:r>
        <w:rPr>
          <w:rFonts w:ascii="Times New Roman" w:hAnsi="Times New Roman"/>
          <w:b/>
          <w:color w:val="1F3864"/>
          <w:sz w:val="27"/>
        </w:rPr>
        <w:t>J. Aportación de cada fase de la metodología</w:t>
      </w:r>
    </w:p>
    <w:p>
      <w:pPr>
        <w:spacing w:after="160" w:line="360" w:lineRule="auto"/>
        <w:jc w:val="both"/>
      </w:pPr>
      <w:r>
        <w:rPr>
          <w:rFonts w:ascii="Times New Roman" w:hAnsi="Times New Roman"/>
          <w:color w:val="222830"/>
          <w:sz w:val="24"/>
        </w:rPr>
        <w:t>Cada fase produce un cambio comprobable. La columna de indicador recoge el valor que la fase entrega al resultado final.</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1814"/>
        <w:gridCol w:w="3061"/>
        <w:gridCol w:w="1814"/>
        <w:gridCol w:w="1190"/>
        <w:gridCol w:w="1190"/>
      </w:tblGrid>
      <w:tr>
        <w:trPr>
          <w:tblHeader w:val="true"/>
        </w:trPr>
        <w:tc>
          <w:tcPr>
            <w:tcW w:type="dxa" w:w="1814"/>
            <w:shd w:val="clear" w:fill="1F3864"/>
          </w:tcPr>
          <w:p>
            <w:pPr>
              <w:spacing w:before="40" w:after="40"/>
            </w:pPr>
            <w:r/>
            <w:r>
              <w:rPr>
                <w:rFonts w:ascii="Calibri" w:hAnsi="Calibri"/>
                <w:b/>
                <w:color w:val="FFFFFF"/>
                <w:sz w:val="18"/>
              </w:rPr>
              <w:t>Fase</w:t>
            </w:r>
          </w:p>
        </w:tc>
        <w:tc>
          <w:tcPr>
            <w:tcW w:type="dxa" w:w="3061"/>
            <w:shd w:val="clear" w:fill="1F3864"/>
          </w:tcPr>
          <w:p>
            <w:pPr>
              <w:spacing w:before="40" w:after="40"/>
            </w:pPr>
            <w:r/>
            <w:r>
              <w:rPr>
                <w:rFonts w:ascii="Calibri" w:hAnsi="Calibri"/>
                <w:b/>
                <w:color w:val="FFFFFF"/>
                <w:sz w:val="18"/>
              </w:rPr>
              <w:t>Qué aporta</w:t>
            </w:r>
          </w:p>
        </w:tc>
        <w:tc>
          <w:tcPr>
            <w:tcW w:type="dxa" w:w="1814"/>
            <w:shd w:val="clear" w:fill="1F3864"/>
          </w:tcPr>
          <w:p>
            <w:pPr>
              <w:spacing w:before="40" w:after="40"/>
            </w:pPr>
            <w:r/>
            <w:r>
              <w:rPr>
                <w:rFonts w:ascii="Calibri" w:hAnsi="Calibri"/>
                <w:b/>
                <w:color w:val="FFFFFF"/>
                <w:sz w:val="18"/>
              </w:rPr>
              <w:t>Indicador</w:t>
            </w:r>
          </w:p>
        </w:tc>
        <w:tc>
          <w:tcPr>
            <w:tcW w:type="dxa" w:w="1191"/>
            <w:shd w:val="clear" w:fill="1F3864"/>
          </w:tcPr>
          <w:p>
            <w:pPr>
              <w:spacing w:before="40" w:after="40"/>
            </w:pPr>
            <w:r/>
            <w:r>
              <w:rPr>
                <w:rFonts w:ascii="Calibri" w:hAnsi="Calibri"/>
                <w:b/>
                <w:color w:val="FFFFFF"/>
                <w:sz w:val="18"/>
              </w:rPr>
              <w:t>Línea base</w:t>
            </w:r>
          </w:p>
        </w:tc>
        <w:tc>
          <w:tcPr>
            <w:tcW w:type="dxa" w:w="1191"/>
            <w:shd w:val="clear" w:fill="1F3864"/>
          </w:tcPr>
          <w:p>
            <w:pPr>
              <w:spacing w:before="40" w:after="40"/>
            </w:pPr>
            <w:r/>
            <w:r>
              <w:rPr>
                <w:rFonts w:ascii="Calibri" w:hAnsi="Calibri"/>
                <w:b/>
                <w:color w:val="FFFFFF"/>
                <w:sz w:val="18"/>
              </w:rPr>
              <w:t>Final</w:t>
            </w:r>
          </w:p>
        </w:tc>
      </w:tr>
      <w:tr>
        <w:tc>
          <w:tcPr>
            <w:tcW w:type="dxa" w:w="1814"/>
          </w:tcPr>
          <w:p>
            <w:pPr>
              <w:spacing w:before="40" w:after="40"/>
            </w:pPr>
            <w:r/>
            <w:r>
              <w:rPr>
                <w:rFonts w:ascii="Calibri" w:hAnsi="Calibri"/>
                <w:color w:val="222830"/>
                <w:sz w:val="18"/>
              </w:rPr>
              <w:t>1 · Diseño del señuelo</w:t>
            </w:r>
          </w:p>
        </w:tc>
        <w:tc>
          <w:tcPr>
            <w:tcW w:type="dxa" w:w="3061"/>
          </w:tcPr>
          <w:p>
            <w:pPr>
              <w:spacing w:before="40" w:after="40"/>
            </w:pPr>
            <w:r/>
            <w:r>
              <w:rPr>
                <w:rFonts w:ascii="Calibri" w:hAnsi="Calibri"/>
                <w:color w:val="222830"/>
                <w:sz w:val="18"/>
              </w:rPr>
              <w:t>Portal tributario con acceso en dos pasos y un escenario por técnica del marco de comportamiento adversario</w:t>
            </w:r>
          </w:p>
        </w:tc>
        <w:tc>
          <w:tcPr>
            <w:tcW w:type="dxa" w:w="1814"/>
          </w:tcPr>
          <w:p>
            <w:pPr>
              <w:spacing w:before="40" w:after="40"/>
            </w:pPr>
            <w:r/>
            <w:r>
              <w:rPr>
                <w:rFonts w:ascii="Calibri" w:hAnsi="Calibri"/>
                <w:color w:val="222830"/>
                <w:sz w:val="18"/>
              </w:rPr>
              <w:t>Escenarios ejecutados</w:t>
            </w:r>
          </w:p>
        </w:tc>
        <w:tc>
          <w:tcPr>
            <w:tcW w:type="dxa" w:w="1191"/>
          </w:tcPr>
          <w:p>
            <w:pPr>
              <w:spacing w:before="40" w:after="40"/>
            </w:pPr>
            <w:r/>
            <w:r>
              <w:rPr>
                <w:rFonts w:ascii="Calibri" w:hAnsi="Calibri"/>
                <w:color w:val="222830"/>
                <w:sz w:val="18"/>
              </w:rPr>
              <w:t>10 de 10</w:t>
            </w:r>
          </w:p>
        </w:tc>
        <w:tc>
          <w:tcPr>
            <w:tcW w:type="dxa" w:w="1191"/>
          </w:tcPr>
          <w:p>
            <w:pPr>
              <w:spacing w:before="40" w:after="40"/>
            </w:pPr>
            <w:r/>
            <w:r>
              <w:rPr>
                <w:rFonts w:ascii="Calibri" w:hAnsi="Calibri"/>
                <w:color w:val="222830"/>
                <w:sz w:val="18"/>
              </w:rPr>
              <w:t>10 de 10</w:t>
            </w:r>
          </w:p>
        </w:tc>
      </w:tr>
      <w:tr>
        <w:tc>
          <w:tcPr>
            <w:tcW w:type="dxa" w:w="1814"/>
            <w:shd w:val="clear" w:fill="EDF2F8"/>
          </w:tcPr>
          <w:p>
            <w:pPr>
              <w:spacing w:before="40" w:after="40"/>
            </w:pPr>
            <w:r/>
            <w:r>
              <w:rPr>
                <w:rFonts w:ascii="Calibri" w:hAnsi="Calibri"/>
                <w:color w:val="222830"/>
                <w:sz w:val="18"/>
              </w:rPr>
              <w:t>2 · Despliegue aislado</w:t>
            </w:r>
          </w:p>
        </w:tc>
        <w:tc>
          <w:tcPr>
            <w:tcW w:type="dxa" w:w="3061"/>
            <w:shd w:val="clear" w:fill="EDF2F8"/>
          </w:tcPr>
          <w:p>
            <w:pPr>
              <w:spacing w:before="40" w:after="40"/>
            </w:pPr>
            <w:r/>
            <w:r>
              <w:rPr>
                <w:rFonts w:ascii="Calibri" w:hAnsi="Calibri"/>
                <w:color w:val="222830"/>
                <w:sz w:val="18"/>
              </w:rPr>
              <w:t>Tres segmentos de red y verificación del aislamiento ejecutada desde el contenedor atacante</w:t>
            </w:r>
          </w:p>
        </w:tc>
        <w:tc>
          <w:tcPr>
            <w:tcW w:type="dxa" w:w="1814"/>
            <w:shd w:val="clear" w:fill="EDF2F8"/>
          </w:tcPr>
          <w:p>
            <w:pPr>
              <w:spacing w:before="40" w:after="40"/>
            </w:pPr>
            <w:r/>
            <w:r>
              <w:rPr>
                <w:rFonts w:ascii="Calibri" w:hAnsi="Calibri"/>
                <w:color w:val="222830"/>
                <w:sz w:val="18"/>
              </w:rPr>
              <w:t>Objetivos alcanzables desde el atacante</w:t>
            </w:r>
          </w:p>
        </w:tc>
        <w:tc>
          <w:tcPr>
            <w:tcW w:type="dxa" w:w="1191"/>
            <w:shd w:val="clear" w:fill="EDF2F8"/>
          </w:tcPr>
          <w:p>
            <w:pPr>
              <w:spacing w:before="40" w:after="40"/>
            </w:pPr>
            <w:r/>
            <w:r>
              <w:rPr>
                <w:rFonts w:ascii="Calibri" w:hAnsi="Calibri"/>
                <w:color w:val="222830"/>
                <w:sz w:val="18"/>
              </w:rPr>
              <w:t>—</w:t>
            </w:r>
          </w:p>
        </w:tc>
        <w:tc>
          <w:tcPr>
            <w:tcW w:type="dxa" w:w="1191"/>
            <w:shd w:val="clear" w:fill="EDF2F8"/>
          </w:tcPr>
          <w:p>
            <w:pPr>
              <w:spacing w:before="40" w:after="40"/>
            </w:pPr>
            <w:r/>
            <w:r>
              <w:rPr>
                <w:rFonts w:ascii="Calibri" w:hAnsi="Calibri"/>
                <w:color w:val="222830"/>
                <w:sz w:val="18"/>
              </w:rPr>
              <w:t>2 de 6 segmentos</w:t>
            </w:r>
          </w:p>
        </w:tc>
      </w:tr>
      <w:tr>
        <w:tc>
          <w:tcPr>
            <w:tcW w:type="dxa" w:w="1814"/>
          </w:tcPr>
          <w:p>
            <w:pPr>
              <w:spacing w:before="40" w:after="40"/>
            </w:pPr>
            <w:r/>
            <w:r>
              <w:rPr>
                <w:rFonts w:ascii="Calibri" w:hAnsi="Calibri"/>
                <w:color w:val="222830"/>
                <w:sz w:val="18"/>
              </w:rPr>
              <w:t>3 · Captura y custodia</w:t>
            </w:r>
          </w:p>
        </w:tc>
        <w:tc>
          <w:tcPr>
            <w:tcW w:type="dxa" w:w="3061"/>
          </w:tcPr>
          <w:p>
            <w:pPr>
              <w:spacing w:before="40" w:after="40"/>
            </w:pPr>
            <w:r/>
            <w:r>
              <w:rPr>
                <w:rFonts w:ascii="Calibri" w:hAnsi="Calibri"/>
                <w:color w:val="222830"/>
                <w:sz w:val="18"/>
              </w:rPr>
              <w:t>La función de atribución reconoce las tres variantes de clave e incorpora el archivo señuelo y el sensor de red</w:t>
            </w:r>
          </w:p>
        </w:tc>
        <w:tc>
          <w:tcPr>
            <w:tcW w:type="dxa" w:w="1814"/>
          </w:tcPr>
          <w:p>
            <w:pPr>
              <w:spacing w:before="40" w:after="40"/>
            </w:pPr>
            <w:r/>
            <w:r>
              <w:rPr>
                <w:rFonts w:ascii="Calibri" w:hAnsi="Calibri"/>
                <w:color w:val="222830"/>
                <w:sz w:val="18"/>
              </w:rPr>
              <w:t>Escenarios con medición</w:t>
            </w:r>
          </w:p>
        </w:tc>
        <w:tc>
          <w:tcPr>
            <w:tcW w:type="dxa" w:w="1191"/>
          </w:tcPr>
          <w:p>
            <w:pPr>
              <w:spacing w:before="40" w:after="40"/>
            </w:pPr>
            <w:r/>
            <w:r>
              <w:rPr>
                <w:rFonts w:ascii="Calibri" w:hAnsi="Calibri"/>
                <w:color w:val="222830"/>
                <w:sz w:val="18"/>
              </w:rPr>
              <w:t>4 de 10</w:t>
            </w:r>
          </w:p>
        </w:tc>
        <w:tc>
          <w:tcPr>
            <w:tcW w:type="dxa" w:w="1191"/>
          </w:tcPr>
          <w:p>
            <w:pPr>
              <w:spacing w:before="40" w:after="40"/>
            </w:pPr>
            <w:r/>
            <w:r>
              <w:rPr>
                <w:rFonts w:ascii="Calibri" w:hAnsi="Calibri"/>
                <w:color w:val="222830"/>
                <w:sz w:val="18"/>
              </w:rPr>
              <w:t>10 de 10</w:t>
            </w:r>
          </w:p>
        </w:tc>
      </w:tr>
      <w:tr>
        <w:tc>
          <w:tcPr>
            <w:tcW w:type="dxa" w:w="1814"/>
            <w:shd w:val="clear" w:fill="EDF2F8"/>
          </w:tcPr>
          <w:p>
            <w:pPr>
              <w:spacing w:before="40" w:after="40"/>
            </w:pPr>
            <w:r/>
            <w:r>
              <w:rPr>
                <w:rFonts w:ascii="Calibri" w:hAnsi="Calibri"/>
                <w:color w:val="222830"/>
                <w:sz w:val="18"/>
              </w:rPr>
              <w:t>4 · Correlación</w:t>
            </w:r>
          </w:p>
        </w:tc>
        <w:tc>
          <w:tcPr>
            <w:tcW w:type="dxa" w:w="3061"/>
            <w:shd w:val="clear" w:fill="EDF2F8"/>
          </w:tcPr>
          <w:p>
            <w:pPr>
              <w:spacing w:before="40" w:after="40"/>
            </w:pPr>
            <w:r/>
            <w:r>
              <w:rPr>
                <w:rFonts w:ascii="Calibri" w:hAnsi="Calibri"/>
                <w:color w:val="222830"/>
                <w:sz w:val="18"/>
              </w:rPr>
              <w:t>La alerta clasificada con su técnica y su severidad encadena con la gestión de incidentes mediante el flujo de orquestación</w:t>
            </w:r>
          </w:p>
        </w:tc>
        <w:tc>
          <w:tcPr>
            <w:tcW w:type="dxa" w:w="1814"/>
            <w:shd w:val="clear" w:fill="EDF2F8"/>
          </w:tcPr>
          <w:p>
            <w:pPr>
              <w:spacing w:before="40" w:after="40"/>
            </w:pPr>
            <w:r/>
            <w:r>
              <w:rPr>
                <w:rFonts w:ascii="Calibri" w:hAnsi="Calibri"/>
                <w:color w:val="222830"/>
                <w:sz w:val="18"/>
              </w:rPr>
              <w:t>Alertas clasificadas con técnica</w:t>
            </w:r>
          </w:p>
        </w:tc>
        <w:tc>
          <w:tcPr>
            <w:tcW w:type="dxa" w:w="1191"/>
            <w:shd w:val="clear" w:fill="EDF2F8"/>
          </w:tcPr>
          <w:p>
            <w:pPr>
              <w:spacing w:before="40" w:after="40"/>
            </w:pPr>
            <w:r/>
            <w:r>
              <w:rPr>
                <w:rFonts w:ascii="Calibri" w:hAnsi="Calibri"/>
                <w:color w:val="222830"/>
                <w:sz w:val="18"/>
              </w:rPr>
              <w:t>10 de 10</w:t>
            </w:r>
          </w:p>
        </w:tc>
        <w:tc>
          <w:tcPr>
            <w:tcW w:type="dxa" w:w="1191"/>
            <w:shd w:val="clear" w:fill="EDF2F8"/>
          </w:tcPr>
          <w:p>
            <w:pPr>
              <w:spacing w:before="40" w:after="40"/>
            </w:pPr>
            <w:r/>
            <w:r>
              <w:rPr>
                <w:rFonts w:ascii="Calibri" w:hAnsi="Calibri"/>
                <w:color w:val="222830"/>
                <w:sz w:val="18"/>
              </w:rPr>
              <w:t>10 de 10</w:t>
            </w:r>
          </w:p>
        </w:tc>
      </w:tr>
      <w:tr>
        <w:tc>
          <w:tcPr>
            <w:tcW w:type="dxa" w:w="1814"/>
          </w:tcPr>
          <w:p>
            <w:pPr>
              <w:spacing w:before="40" w:after="40"/>
            </w:pPr>
            <w:r/>
            <w:r>
              <w:rPr>
                <w:rFonts w:ascii="Calibri" w:hAnsi="Calibri"/>
                <w:color w:val="222830"/>
                <w:sz w:val="18"/>
              </w:rPr>
              <w:t>5 · Medición y mejora</w:t>
            </w:r>
          </w:p>
        </w:tc>
        <w:tc>
          <w:tcPr>
            <w:tcW w:type="dxa" w:w="3061"/>
          </w:tcPr>
          <w:p>
            <w:pPr>
              <w:spacing w:before="40" w:after="40"/>
            </w:pPr>
            <w:r/>
            <w:r>
              <w:rPr>
                <w:rFonts w:ascii="Calibri" w:hAnsi="Calibri"/>
                <w:color w:val="222830"/>
                <w:sz w:val="18"/>
              </w:rPr>
              <w:t>Catorce lecciones con causa raíz, cambio aplicado y cierre verificado</w:t>
            </w:r>
          </w:p>
        </w:tc>
        <w:tc>
          <w:tcPr>
            <w:tcW w:type="dxa" w:w="1814"/>
          </w:tcPr>
          <w:p>
            <w:pPr>
              <w:spacing w:before="40" w:after="40"/>
            </w:pPr>
            <w:r/>
            <w:r>
              <w:rPr>
                <w:rFonts w:ascii="Calibri" w:hAnsi="Calibri"/>
                <w:color w:val="222830"/>
                <w:sz w:val="18"/>
              </w:rPr>
              <w:t>Lecciones cerradas</w:t>
            </w:r>
          </w:p>
        </w:tc>
        <w:tc>
          <w:tcPr>
            <w:tcW w:type="dxa" w:w="1191"/>
          </w:tcPr>
          <w:p>
            <w:pPr>
              <w:spacing w:before="40" w:after="40"/>
            </w:pPr>
            <w:r/>
            <w:r>
              <w:rPr>
                <w:rFonts w:ascii="Calibri" w:hAnsi="Calibri"/>
                <w:color w:val="222830"/>
                <w:sz w:val="18"/>
              </w:rPr>
              <w:t>7</w:t>
            </w:r>
          </w:p>
        </w:tc>
        <w:tc>
          <w:tcPr>
            <w:tcW w:type="dxa" w:w="1191"/>
          </w:tcPr>
          <w:p>
            <w:pPr>
              <w:spacing w:before="40" w:after="40"/>
            </w:pPr>
            <w:r/>
            <w:r>
              <w:rPr>
                <w:rFonts w:ascii="Calibri" w:hAnsi="Calibri"/>
                <w:color w:val="222830"/>
                <w:sz w:val="18"/>
              </w:rPr>
              <w:t>14</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La fase 3 concentra la mejora cuantificable porque es la que repara el instrumental de atribución. La fase 5 la sostiene, porque es la que produjo las lecciones que dieron origen a esas reparaciones.</w:t>
            </w:r>
          </w:p>
        </w:tc>
      </w:tr>
    </w:tbl>
    <w:p>
      <w:pPr>
        <w:spacing w:after="80"/>
      </w:pPr>
    </w:p>
    <w:p>
      <w:pPr>
        <w:keepNext/>
        <w:spacing w:before="280" w:after="160"/>
        <w:outlineLvl w:val="1"/>
      </w:pPr>
      <w:r>
        <w:rPr>
          <w:rFonts w:ascii="Times New Roman" w:hAnsi="Times New Roman"/>
          <w:b/>
          <w:color w:val="1F3864"/>
          <w:sz w:val="27"/>
        </w:rPr>
        <w:t>K. Registro de lecciones aprendidas</w:t>
      </w:r>
    </w:p>
    <w:p>
      <w:pPr>
        <w:spacing w:after="160" w:line="360" w:lineRule="auto"/>
        <w:jc w:val="both"/>
      </w:pPr>
      <w:r>
        <w:rPr>
          <w:rFonts w:ascii="Times New Roman" w:hAnsi="Times New Roman"/>
          <w:color w:val="222830"/>
          <w:sz w:val="24"/>
        </w:rPr>
        <w:t>Catorce lecciones, todas cerradas. La columna de fase muestra dónde se produjo cada una.</w:t>
      </w:r>
    </w:p>
    <w:p>
      <w:pPr>
        <w:spacing w:before="200" w:after="80"/>
        <w:jc w:val="center"/>
      </w:pPr>
      <w:r>
        <w:drawing>
          <wp:inline xmlns:a="http://schemas.openxmlformats.org/drawingml/2006/main" xmlns:pic="http://schemas.openxmlformats.org/drawingml/2006/picture">
            <wp:extent cx="5760000" cy="2661600"/>
            <wp:docPr id="12" name="Picture 12"/>
            <wp:cNvGraphicFramePr>
              <a:graphicFrameLocks noChangeAspect="1"/>
            </wp:cNvGraphicFramePr>
            <a:graphic>
              <a:graphicData uri="http://schemas.openxmlformats.org/drawingml/2006/picture">
                <pic:pic>
                  <pic:nvPicPr>
                    <pic:cNvPr id="0" name="lecciones.png"/>
                    <pic:cNvPicPr/>
                  </pic:nvPicPr>
                  <pic:blipFill>
                    <a:blip r:embed="rId20"/>
                    <a:stretch>
                      <a:fillRect/>
                    </a:stretch>
                  </pic:blipFill>
                  <pic:spPr>
                    <a:xfrm>
                      <a:off x="0" y="0"/>
                      <a:ext cx="5760000" cy="2661600"/>
                    </a:xfrm>
                    <a:prstGeom prst="rect"/>
                  </pic:spPr>
                </pic:pic>
              </a:graphicData>
            </a:graphic>
          </wp:inline>
        </w:drawing>
      </w:r>
    </w:p>
    <w:p>
      <w:pPr>
        <w:spacing w:before="40" w:after="40"/>
        <w:jc w:val="center"/>
      </w:pPr>
      <w:r>
        <w:rPr>
          <w:rFonts w:ascii="Times New Roman" w:hAnsi="Times New Roman"/>
          <w:color w:val="222830"/>
          <w:sz w:val="20"/>
        </w:rPr>
        <w:t xml:space="preserve">Figura 12. </w:t>
      </w:r>
      <w:r>
        <w:rPr>
          <w:rFonts w:ascii="Times New Roman" w:hAnsi="Times New Roman"/>
          <w:i/>
          <w:color w:val="222830"/>
          <w:sz w:val="20"/>
        </w:rPr>
        <w:t>Distribución de las lecciones aprendidas por fase.</w:t>
      </w:r>
    </w:p>
    <w:p>
      <w:pPr>
        <w:spacing w:before="0" w:after="240"/>
        <w:ind w:left="283"/>
        <w:jc w:val="both"/>
      </w:pPr>
      <w:r>
        <w:rPr>
          <w:rFonts w:ascii="Times New Roman" w:hAnsi="Times New Roman"/>
          <w:color w:val="5A6878"/>
          <w:sz w:val="18"/>
        </w:rPr>
        <w:t>Nota. Catorce lecciones, todas cerradas. La columna de fase muestra dónde se produjo cada una. Fuente: evidencias/lecciones-aprendidas.md.</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793"/>
        <w:gridCol w:w="907"/>
        <w:gridCol w:w="3402"/>
        <w:gridCol w:w="3969"/>
      </w:tblGrid>
      <w:tr>
        <w:trPr>
          <w:tblHeader w:val="true"/>
        </w:trPr>
        <w:tc>
          <w:tcPr>
            <w:tcW w:type="dxa" w:w="794"/>
            <w:shd w:val="clear" w:fill="1F3864"/>
          </w:tcPr>
          <w:p>
            <w:pPr>
              <w:spacing w:before="40" w:after="40"/>
            </w:pPr>
            <w:r/>
            <w:r>
              <w:rPr>
                <w:rFonts w:ascii="Calibri" w:hAnsi="Calibri"/>
                <w:b/>
                <w:color w:val="FFFFFF"/>
                <w:sz w:val="18"/>
              </w:rPr>
              <w:t>ID</w:t>
            </w:r>
          </w:p>
        </w:tc>
        <w:tc>
          <w:tcPr>
            <w:tcW w:type="dxa" w:w="907"/>
            <w:shd w:val="clear" w:fill="1F3864"/>
          </w:tcPr>
          <w:p>
            <w:pPr>
              <w:spacing w:before="40" w:after="40"/>
            </w:pPr>
            <w:r/>
            <w:r>
              <w:rPr>
                <w:rFonts w:ascii="Calibri" w:hAnsi="Calibri"/>
                <w:b/>
                <w:color w:val="FFFFFF"/>
                <w:sz w:val="18"/>
              </w:rPr>
              <w:t>Fase</w:t>
            </w:r>
          </w:p>
        </w:tc>
        <w:tc>
          <w:tcPr>
            <w:tcW w:type="dxa" w:w="3402"/>
            <w:shd w:val="clear" w:fill="1F3864"/>
          </w:tcPr>
          <w:p>
            <w:pPr>
              <w:spacing w:before="40" w:after="40"/>
            </w:pPr>
            <w:r/>
            <w:r>
              <w:rPr>
                <w:rFonts w:ascii="Calibri" w:hAnsi="Calibri"/>
                <w:b/>
                <w:color w:val="FFFFFF"/>
                <w:sz w:val="18"/>
              </w:rPr>
              <w:t>Hallazgo</w:t>
            </w:r>
          </w:p>
        </w:tc>
        <w:tc>
          <w:tcPr>
            <w:tcW w:type="dxa" w:w="3969"/>
            <w:shd w:val="clear" w:fill="1F3864"/>
          </w:tcPr>
          <w:p>
            <w:pPr>
              <w:spacing w:before="40" w:after="40"/>
            </w:pPr>
            <w:r/>
            <w:r>
              <w:rPr>
                <w:rFonts w:ascii="Calibri" w:hAnsi="Calibri"/>
                <w:b/>
                <w:color w:val="FFFFFF"/>
                <w:sz w:val="18"/>
              </w:rPr>
              <w:t>Cierre</w:t>
            </w:r>
          </w:p>
        </w:tc>
      </w:tr>
    </w:tbl>
    <w:p>
      <w:pPr>
        <w:spacing w:after="80"/>
      </w:pPr>
    </w:p>
    <w:p>
      <w:pPr>
        <w:keepNext/>
        <w:spacing w:before="280" w:after="160"/>
        <w:outlineLvl w:val="1"/>
      </w:pPr>
      <w:r>
        <w:rPr>
          <w:rFonts w:ascii="Times New Roman" w:hAnsi="Times New Roman"/>
          <w:b/>
          <w:color w:val="1F3864"/>
          <w:sz w:val="27"/>
        </w:rPr>
        <w:t>L. Volumen de actividad de la campaña</w:t>
      </w:r>
    </w:p>
    <w:p>
      <w:pPr>
        <w:spacing w:after="160" w:line="360" w:lineRule="auto"/>
        <w:jc w:val="both"/>
      </w:pPr>
      <w:r>
        <w:rPr>
          <w:rFonts w:ascii="Times New Roman" w:hAnsi="Times New Roman"/>
          <w:color w:val="222830"/>
          <w:sz w:val="24"/>
        </w:rPr>
        <w:t>Registros que el señuelo y los sensores produjeron en cada vuelta. El volumen crece porque los escenarios que antes no generaban evento ahora lo hacen.</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3628"/>
        <w:gridCol w:w="1814"/>
        <w:gridCol w:w="1814"/>
        <w:gridCol w:w="1814"/>
      </w:tblGrid>
      <w:tr>
        <w:trPr>
          <w:tblHeader w:val="true"/>
        </w:trPr>
        <w:tc>
          <w:tcPr>
            <w:tcW w:type="dxa" w:w="3628"/>
            <w:shd w:val="clear" w:fill="1F3864"/>
          </w:tcPr>
          <w:p>
            <w:pPr>
              <w:spacing w:before="40" w:after="40"/>
            </w:pPr>
            <w:r/>
            <w:r>
              <w:rPr>
                <w:rFonts w:ascii="Calibri" w:hAnsi="Calibri"/>
                <w:b/>
                <w:color w:val="FFFFFF"/>
                <w:sz w:val="18"/>
              </w:rPr>
              <w:t>Indicador</w:t>
            </w:r>
          </w:p>
        </w:tc>
        <w:tc>
          <w:tcPr>
            <w:tcW w:type="dxa" w:w="1814"/>
            <w:shd w:val="clear" w:fill="1F3864"/>
          </w:tcPr>
          <w:p>
            <w:pPr>
              <w:spacing w:before="40" w:after="40"/>
            </w:pPr>
            <w:r/>
            <w:r>
              <w:rPr>
                <w:rFonts w:ascii="Calibri" w:hAnsi="Calibri"/>
                <w:b/>
                <w:color w:val="FFFFFF"/>
                <w:sz w:val="18"/>
              </w:rPr>
              <w:t>Línea base</w:t>
            </w:r>
          </w:p>
        </w:tc>
        <w:tc>
          <w:tcPr>
            <w:tcW w:type="dxa" w:w="1814"/>
            <w:shd w:val="clear" w:fill="1F3864"/>
          </w:tcPr>
          <w:p>
            <w:pPr>
              <w:spacing w:before="40" w:after="40"/>
            </w:pPr>
            <w:r/>
            <w:r>
              <w:rPr>
                <w:rFonts w:ascii="Calibri" w:hAnsi="Calibri"/>
                <w:b/>
                <w:color w:val="FFFFFF"/>
                <w:sz w:val="18"/>
              </w:rPr>
              <w:t>Medición final</w:t>
            </w:r>
          </w:p>
        </w:tc>
        <w:tc>
          <w:tcPr>
            <w:tcW w:type="dxa" w:w="1814"/>
            <w:shd w:val="clear" w:fill="1F3864"/>
          </w:tcPr>
          <w:p>
            <w:pPr>
              <w:spacing w:before="40" w:after="40"/>
            </w:pPr>
            <w:r/>
            <w:r>
              <w:rPr>
                <w:rFonts w:ascii="Calibri" w:hAnsi="Calibri"/>
                <w:b/>
                <w:color w:val="FFFFFF"/>
                <w:sz w:val="18"/>
              </w:rPr>
              <w:t>Variación</w:t>
            </w:r>
          </w:p>
        </w:tc>
      </w:tr>
      <w:tr>
        <w:tc>
          <w:tcPr>
            <w:tcW w:type="dxa" w:w="3628"/>
          </w:tcPr>
          <w:p>
            <w:pPr>
              <w:spacing w:before="40" w:after="40"/>
            </w:pPr>
            <w:r/>
            <w:r>
              <w:rPr>
                <w:rFonts w:ascii="Calibri" w:hAnsi="Calibri"/>
                <w:color w:val="222830"/>
                <w:sz w:val="18"/>
              </w:rPr>
              <w:t>Ataques registrados en el señuelo</w:t>
            </w:r>
          </w:p>
        </w:tc>
        <w:tc>
          <w:tcPr>
            <w:tcW w:type="dxa" w:w="1814"/>
          </w:tcPr>
          <w:p>
            <w:pPr>
              <w:spacing w:before="40" w:after="40"/>
            </w:pPr>
            <w:r/>
            <w:r>
              <w:rPr>
                <w:rFonts w:ascii="Calibri" w:hAnsi="Calibri"/>
                <w:color w:val="222830"/>
                <w:sz w:val="18"/>
              </w:rPr>
              <w:t>54</w:t>
            </w:r>
          </w:p>
        </w:tc>
        <w:tc>
          <w:tcPr>
            <w:tcW w:type="dxa" w:w="1814"/>
          </w:tcPr>
          <w:p>
            <w:pPr>
              <w:spacing w:before="40" w:after="40"/>
            </w:pPr>
            <w:r/>
            <w:r>
              <w:rPr>
                <w:rFonts w:ascii="Calibri" w:hAnsi="Calibri"/>
                <w:color w:val="222830"/>
                <w:sz w:val="18"/>
              </w:rPr>
              <w:t>254</w:t>
            </w:r>
          </w:p>
        </w:tc>
        <w:tc>
          <w:tcPr>
            <w:tcW w:type="dxa" w:w="1814"/>
          </w:tcPr>
          <w:p>
            <w:pPr>
              <w:spacing w:before="40" w:after="40"/>
            </w:pPr>
            <w:r/>
            <w:r>
              <w:rPr>
                <w:rFonts w:ascii="Calibri" w:hAnsi="Calibri"/>
                <w:color w:val="222830"/>
                <w:sz w:val="18"/>
              </w:rPr>
              <w:t>+370 %</w:t>
            </w:r>
          </w:p>
        </w:tc>
      </w:tr>
      <w:tr>
        <w:tc>
          <w:tcPr>
            <w:tcW w:type="dxa" w:w="3628"/>
            <w:shd w:val="clear" w:fill="EDF2F8"/>
          </w:tcPr>
          <w:p>
            <w:pPr>
              <w:spacing w:before="40" w:after="40"/>
            </w:pPr>
            <w:r/>
            <w:r>
              <w:rPr>
                <w:rFonts w:ascii="Calibri" w:hAnsi="Calibri"/>
                <w:color w:val="222830"/>
                <w:sz w:val="18"/>
              </w:rPr>
              <w:t>Solicitudes atendidas por la interfaz de servicios</w:t>
            </w:r>
          </w:p>
        </w:tc>
        <w:tc>
          <w:tcPr>
            <w:tcW w:type="dxa" w:w="1814"/>
            <w:shd w:val="clear" w:fill="EDF2F8"/>
          </w:tcPr>
          <w:p>
            <w:pPr>
              <w:spacing w:before="40" w:after="40"/>
            </w:pPr>
            <w:r/>
            <w:r>
              <w:rPr>
                <w:rFonts w:ascii="Calibri" w:hAnsi="Calibri"/>
                <w:color w:val="222830"/>
                <w:sz w:val="18"/>
              </w:rPr>
              <w:t>725</w:t>
            </w:r>
          </w:p>
        </w:tc>
        <w:tc>
          <w:tcPr>
            <w:tcW w:type="dxa" w:w="1814"/>
            <w:shd w:val="clear" w:fill="EDF2F8"/>
          </w:tcPr>
          <w:p>
            <w:pPr>
              <w:spacing w:before="40" w:after="40"/>
            </w:pPr>
            <w:r/>
            <w:r>
              <w:rPr>
                <w:rFonts w:ascii="Calibri" w:hAnsi="Calibri"/>
                <w:color w:val="222830"/>
                <w:sz w:val="18"/>
              </w:rPr>
              <w:t>1 508</w:t>
            </w:r>
          </w:p>
        </w:tc>
        <w:tc>
          <w:tcPr>
            <w:tcW w:type="dxa" w:w="1814"/>
            <w:shd w:val="clear" w:fill="EDF2F8"/>
          </w:tcPr>
          <w:p>
            <w:pPr>
              <w:spacing w:before="40" w:after="40"/>
            </w:pPr>
            <w:r/>
            <w:r>
              <w:rPr>
                <w:rFonts w:ascii="Calibri" w:hAnsi="Calibri"/>
                <w:color w:val="222830"/>
                <w:sz w:val="18"/>
              </w:rPr>
              <w:t>+108 %</w:t>
            </w:r>
          </w:p>
        </w:tc>
      </w:tr>
      <w:tr>
        <w:tc>
          <w:tcPr>
            <w:tcW w:type="dxa" w:w="3628"/>
          </w:tcPr>
          <w:p>
            <w:pPr>
              <w:spacing w:before="40" w:after="40"/>
            </w:pPr>
            <w:r/>
            <w:r>
              <w:rPr>
                <w:rFonts w:ascii="Calibri" w:hAnsi="Calibri"/>
                <w:color w:val="222830"/>
                <w:sz w:val="18"/>
              </w:rPr>
              <w:t>Conexiones capturadas por el emulador</w:t>
            </w:r>
          </w:p>
        </w:tc>
        <w:tc>
          <w:tcPr>
            <w:tcW w:type="dxa" w:w="1814"/>
          </w:tcPr>
          <w:p>
            <w:pPr>
              <w:spacing w:before="40" w:after="40"/>
            </w:pPr>
            <w:r/>
            <w:r>
              <w:rPr>
                <w:rFonts w:ascii="Calibri" w:hAnsi="Calibri"/>
                <w:color w:val="222830"/>
                <w:sz w:val="18"/>
              </w:rPr>
              <w:t>7</w:t>
            </w:r>
          </w:p>
        </w:tc>
        <w:tc>
          <w:tcPr>
            <w:tcW w:type="dxa" w:w="1814"/>
          </w:tcPr>
          <w:p>
            <w:pPr>
              <w:spacing w:before="40" w:after="40"/>
            </w:pPr>
            <w:r/>
            <w:r>
              <w:rPr>
                <w:rFonts w:ascii="Calibri" w:hAnsi="Calibri"/>
                <w:color w:val="222830"/>
                <w:sz w:val="18"/>
              </w:rPr>
              <w:t>38</w:t>
            </w:r>
          </w:p>
        </w:tc>
        <w:tc>
          <w:tcPr>
            <w:tcW w:type="dxa" w:w="1814"/>
          </w:tcPr>
          <w:p>
            <w:pPr>
              <w:spacing w:before="40" w:after="40"/>
            </w:pPr>
            <w:r/>
            <w:r>
              <w:rPr>
                <w:rFonts w:ascii="Calibri" w:hAnsi="Calibri"/>
                <w:color w:val="222830"/>
                <w:sz w:val="18"/>
              </w:rPr>
              <w:t>+443 %</w:t>
            </w:r>
          </w:p>
        </w:tc>
      </w:tr>
      <w:tr>
        <w:tc>
          <w:tcPr>
            <w:tcW w:type="dxa" w:w="3628"/>
            <w:shd w:val="clear" w:fill="EDF2F8"/>
          </w:tcPr>
          <w:p>
            <w:pPr>
              <w:spacing w:before="40" w:after="40"/>
            </w:pPr>
            <w:r/>
            <w:r>
              <w:rPr>
                <w:rFonts w:ascii="Calibri" w:hAnsi="Calibri"/>
                <w:color w:val="222830"/>
                <w:sz w:val="18"/>
              </w:rPr>
              <w:t>Peticiones recibidas por el portal</w:t>
            </w:r>
          </w:p>
        </w:tc>
        <w:tc>
          <w:tcPr>
            <w:tcW w:type="dxa" w:w="1814"/>
            <w:shd w:val="clear" w:fill="EDF2F8"/>
          </w:tcPr>
          <w:p>
            <w:pPr>
              <w:spacing w:before="40" w:after="40"/>
            </w:pPr>
            <w:r/>
            <w:r>
              <w:rPr>
                <w:rFonts w:ascii="Calibri" w:hAnsi="Calibri"/>
                <w:color w:val="222830"/>
                <w:sz w:val="18"/>
              </w:rPr>
              <w:t>15 765</w:t>
            </w:r>
          </w:p>
        </w:tc>
        <w:tc>
          <w:tcPr>
            <w:tcW w:type="dxa" w:w="1814"/>
            <w:shd w:val="clear" w:fill="EDF2F8"/>
          </w:tcPr>
          <w:p>
            <w:pPr>
              <w:spacing w:before="40" w:after="40"/>
            </w:pPr>
            <w:r/>
            <w:r>
              <w:rPr>
                <w:rFonts w:ascii="Calibri" w:hAnsi="Calibri"/>
                <w:color w:val="222830"/>
                <w:sz w:val="18"/>
              </w:rPr>
              <w:t>78 186</w:t>
            </w:r>
          </w:p>
        </w:tc>
        <w:tc>
          <w:tcPr>
            <w:tcW w:type="dxa" w:w="1814"/>
            <w:shd w:val="clear" w:fill="EDF2F8"/>
          </w:tcPr>
          <w:p>
            <w:pPr>
              <w:spacing w:before="40" w:after="40"/>
            </w:pPr>
            <w:r/>
            <w:r>
              <w:rPr>
                <w:rFonts w:ascii="Calibri" w:hAnsi="Calibri"/>
                <w:color w:val="222830"/>
                <w:sz w:val="18"/>
              </w:rPr>
              <w:t>+396 %</w:t>
            </w:r>
          </w:p>
        </w:tc>
      </w:tr>
      <w:tr>
        <w:tc>
          <w:tcPr>
            <w:tcW w:type="dxa" w:w="3628"/>
          </w:tcPr>
          <w:p>
            <w:pPr>
              <w:spacing w:before="40" w:after="40"/>
            </w:pPr>
            <w:r/>
            <w:r>
              <w:rPr>
                <w:rFonts w:ascii="Calibri" w:hAnsi="Calibri"/>
                <w:color w:val="222830"/>
                <w:sz w:val="18"/>
              </w:rPr>
              <w:t>Archivos de evidencia con huella</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91</w:t>
            </w:r>
          </w:p>
        </w:tc>
        <w:tc>
          <w:tcPr>
            <w:tcW w:type="dxa" w:w="1814"/>
          </w:tcPr>
          <w:p>
            <w:pPr>
              <w:spacing w:before="40" w:after="40"/>
            </w:pPr>
            <w:r/>
            <w:r>
              <w:rPr>
                <w:rFonts w:ascii="Calibri" w:hAnsi="Calibri"/>
                <w:color w:val="222830"/>
                <w:sz w:val="18"/>
              </w:rPr>
              <w:t>Constante</w:t>
            </w:r>
          </w:p>
        </w:tc>
      </w:tr>
      <w:tr>
        <w:tc>
          <w:tcPr>
            <w:tcW w:type="dxa" w:w="3628"/>
            <w:shd w:val="clear" w:fill="EDF2F8"/>
          </w:tcPr>
          <w:p>
            <w:pPr>
              <w:spacing w:before="40" w:after="40"/>
            </w:pPr>
            <w:r/>
            <w:r>
              <w:rPr>
                <w:rFonts w:ascii="Calibri" w:hAnsi="Calibri"/>
                <w:color w:val="222830"/>
                <w:sz w:val="18"/>
              </w:rPr>
              <w:t>Calidad de la evidencia verificada</w:t>
            </w:r>
          </w:p>
        </w:tc>
        <w:tc>
          <w:tcPr>
            <w:tcW w:type="dxa" w:w="1814"/>
            <w:shd w:val="clear" w:fill="EDF2F8"/>
          </w:tcPr>
          <w:p>
            <w:pPr>
              <w:spacing w:before="40" w:after="40"/>
            </w:pPr>
            <w:r/>
            <w:r>
              <w:rPr>
                <w:rFonts w:ascii="Calibri" w:hAnsi="Calibri"/>
                <w:color w:val="222830"/>
                <w:sz w:val="18"/>
              </w:rPr>
              <w:t>100 de 100</w:t>
            </w:r>
          </w:p>
        </w:tc>
        <w:tc>
          <w:tcPr>
            <w:tcW w:type="dxa" w:w="1814"/>
            <w:shd w:val="clear" w:fill="EDF2F8"/>
          </w:tcPr>
          <w:p>
            <w:pPr>
              <w:spacing w:before="40" w:after="40"/>
            </w:pPr>
            <w:r/>
            <w:r>
              <w:rPr>
                <w:rFonts w:ascii="Calibri" w:hAnsi="Calibri"/>
                <w:color w:val="222830"/>
                <w:sz w:val="18"/>
              </w:rPr>
              <w:t>100 de 100</w:t>
            </w:r>
          </w:p>
        </w:tc>
        <w:tc>
          <w:tcPr>
            <w:tcW w:type="dxa" w:w="1814"/>
            <w:shd w:val="clear" w:fill="EDF2F8"/>
          </w:tcPr>
          <w:p>
            <w:pPr>
              <w:spacing w:before="40" w:after="40"/>
            </w:pPr>
            <w:r/>
            <w:r>
              <w:rPr>
                <w:rFonts w:ascii="Calibri" w:hAnsi="Calibri"/>
                <w:color w:val="222830"/>
                <w:sz w:val="18"/>
              </w:rPr>
              <w:t>Constante</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aumento del volumen se explica por la ampliación de la cobertura de medición: los seis escenarios que la línea base dejó sin atribución producen ahora eventos que antes no llegaban a ningún componente de registro.</w:t>
            </w:r>
          </w:p>
        </w:tc>
      </w:tr>
    </w:tbl>
    <w:p>
      <w:pPr>
        <w:spacing w:after="80"/>
      </w:pPr>
    </w:p>
    <w:p>
      <w:pPr>
        <w:keepNext/>
        <w:spacing w:before="280" w:after="160"/>
        <w:outlineLvl w:val="1"/>
      </w:pPr>
      <w:r>
        <w:rPr>
          <w:rFonts w:ascii="Times New Roman" w:hAnsi="Times New Roman"/>
          <w:b/>
          <w:color w:val="1F3864"/>
          <w:sz w:val="27"/>
        </w:rPr>
        <w:t>M. Evidencia visual del tablero de alertas</w:t>
      </w:r>
    </w:p>
    <w:p>
      <w:pPr>
        <w:spacing w:after="160" w:line="360" w:lineRule="auto"/>
        <w:jc w:val="both"/>
      </w:pPr>
      <w:r>
        <w:rPr>
          <w:rFonts w:ascii="Times New Roman" w:hAnsi="Times New Roman"/>
          <w:color w:val="222830"/>
          <w:sz w:val="24"/>
        </w:rPr>
        <w:t>El tablero de alertas del laboratorio en los dos momentos del ciclo. Cada panel conserva su propia ventana temporal, declarada en la esquina superior derecha, porque la cadena de indexación se puso en marcha entre una captura y la otra.</w:t>
      </w:r>
    </w:p>
    <w:p>
      <w:pPr>
        <w:spacing w:before="200" w:after="80"/>
        <w:jc w:val="center"/>
      </w:pPr>
      <w:r>
        <w:drawing>
          <wp:inline xmlns:a="http://schemas.openxmlformats.org/drawingml/2006/main" xmlns:pic="http://schemas.openxmlformats.org/drawingml/2006/picture">
            <wp:extent cx="5760000" cy="3613687"/>
            <wp:docPr id="13" name="Picture 13"/>
            <wp:cNvGraphicFramePr>
              <a:graphicFrameLocks noChangeAspect="1"/>
            </wp:cNvGraphicFramePr>
            <a:graphic>
              <a:graphicData uri="http://schemas.openxmlformats.org/drawingml/2006/picture">
                <pic:pic>
                  <pic:nvPicPr>
                    <pic:cNvPr id="0" name="v1.png"/>
                    <pic:cNvPicPr/>
                  </pic:nvPicPr>
                  <pic:blipFill>
                    <a:blip r:embed="rId21"/>
                    <a:stretch>
                      <a:fillRect/>
                    </a:stretch>
                  </pic:blipFill>
                  <pic:spPr>
                    <a:xfrm>
                      <a:off x="0" y="0"/>
                      <a:ext cx="5760000" cy="3613687"/>
                    </a:xfrm>
                    <a:prstGeom prst="rect"/>
                  </pic:spPr>
                </pic:pic>
              </a:graphicData>
            </a:graphic>
          </wp:inline>
        </w:drawing>
      </w:r>
    </w:p>
    <w:p>
      <w:pPr>
        <w:spacing w:before="40" w:after="40"/>
        <w:jc w:val="center"/>
      </w:pPr>
      <w:r>
        <w:rPr>
          <w:rFonts w:ascii="Times New Roman" w:hAnsi="Times New Roman"/>
          <w:color w:val="222830"/>
          <w:sz w:val="20"/>
        </w:rPr>
        <w:t xml:space="preserve">Figura 13. </w:t>
      </w:r>
      <w:r>
        <w:rPr>
          <w:rFonts w:ascii="Times New Roman" w:hAnsi="Times New Roman"/>
          <w:i/>
          <w:color w:val="222830"/>
          <w:sz w:val="20"/>
        </w:rPr>
        <w:t>Tablero de alertas del SIEM en la línea base, ventana de tres horas.</w:t>
      </w:r>
    </w:p>
    <w:p>
      <w:pPr>
        <w:spacing w:before="0" w:after="240"/>
        <w:ind w:left="283"/>
        <w:jc w:val="both"/>
      </w:pPr>
      <w:r>
        <w:rPr>
          <w:rFonts w:ascii="Times New Roman" w:hAnsi="Times New Roman"/>
          <w:color w:val="5A6878"/>
          <w:sz w:val="18"/>
        </w:rPr>
        <w:t>Nota. La serie temporal muestra picos aislados y un nivel medio de alerta de 4,88 sobre cuatrocientas treinta y cuatro alertas indexadas. Fuente: v2.0-it1/04-captura-eventos/02_grafana-dashboard-siem.png.</w:t>
      </w:r>
    </w:p>
    <w:p>
      <w:pPr>
        <w:spacing w:before="200" w:after="80"/>
        <w:jc w:val="center"/>
      </w:pPr>
      <w:r>
        <w:drawing>
          <wp:inline xmlns:a="http://schemas.openxmlformats.org/drawingml/2006/main" xmlns:pic="http://schemas.openxmlformats.org/drawingml/2006/picture">
            <wp:extent cx="5760000" cy="3613687"/>
            <wp:docPr id="14" name="Picture 14"/>
            <wp:cNvGraphicFramePr>
              <a:graphicFrameLocks noChangeAspect="1"/>
            </wp:cNvGraphicFramePr>
            <a:graphic>
              <a:graphicData uri="http://schemas.openxmlformats.org/drawingml/2006/picture">
                <pic:pic>
                  <pic:nvPicPr>
                    <pic:cNvPr id="0" name="v2.png"/>
                    <pic:cNvPicPr/>
                  </pic:nvPicPr>
                  <pic:blipFill>
                    <a:blip r:embed="rId22"/>
                    <a:stretch>
                      <a:fillRect/>
                    </a:stretch>
                  </pic:blipFill>
                  <pic:spPr>
                    <a:xfrm>
                      <a:off x="0" y="0"/>
                      <a:ext cx="5760000" cy="3613687"/>
                    </a:xfrm>
                    <a:prstGeom prst="rect"/>
                  </pic:spPr>
                </pic:pic>
              </a:graphicData>
            </a:graphic>
          </wp:inline>
        </w:drawing>
      </w:r>
    </w:p>
    <w:p>
      <w:pPr>
        <w:spacing w:before="40" w:after="40"/>
        <w:jc w:val="center"/>
      </w:pPr>
      <w:r>
        <w:rPr>
          <w:rFonts w:ascii="Times New Roman" w:hAnsi="Times New Roman"/>
          <w:color w:val="222830"/>
          <w:sz w:val="20"/>
        </w:rPr>
        <w:t xml:space="preserve">Figura 14. </w:t>
      </w:r>
      <w:r>
        <w:rPr>
          <w:rFonts w:ascii="Times New Roman" w:hAnsi="Times New Roman"/>
          <w:i/>
          <w:color w:val="222830"/>
          <w:sz w:val="20"/>
        </w:rPr>
        <w:t>Tablero de alertas del SIEM en la medición final, ventana de veinticuatro horas.</w:t>
      </w:r>
    </w:p>
    <w:p>
      <w:pPr>
        <w:spacing w:before="0" w:after="240"/>
        <w:ind w:left="283"/>
        <w:jc w:val="both"/>
      </w:pPr>
      <w:r>
        <w:rPr>
          <w:rFonts w:ascii="Times New Roman" w:hAnsi="Times New Roman"/>
          <w:color w:val="5A6878"/>
          <w:sz w:val="18"/>
        </w:rPr>
        <w:t>Nota. La serie temporal sostiene actividad a lo largo de toda la ventana y el nivel medio de alerta sube a 6,20. Fuente: v2.1-it2/04-captura-eventos/05_grafana-dashboard-siem.png.</w:t>
      </w: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Los dos paneles documentan el estado del tablero en cada momento del ciclo. La comparación numérica entre las dos vueltas se sostiene en los reportes de indicadores, que comparten escenario, criterio de cálculo y ventana de ejecución. Las ventanas distintas de los paneles se declaran para que el lector no las interprete como una serie homogénea.</w:t>
            </w:r>
          </w:p>
        </w:tc>
      </w:tr>
    </w:tbl>
    <w:p>
      <w:pPr>
        <w:spacing w:after="80"/>
      </w:pPr>
    </w:p>
    <w:p>
      <w:pPr>
        <w:keepNext/>
        <w:spacing w:before="280" w:after="160"/>
        <w:outlineLvl w:val="1"/>
      </w:pPr>
      <w:r>
        <w:rPr>
          <w:rFonts w:ascii="Times New Roman" w:hAnsi="Times New Roman"/>
          <w:b/>
          <w:color w:val="1F3864"/>
          <w:sz w:val="27"/>
        </w:rPr>
        <w:t>N. El resultado institucional comunicado por el Servicio de Impuestos Nacionales</w:t>
      </w:r>
    </w:p>
    <w:p>
      <w:pPr>
        <w:spacing w:after="160" w:line="360" w:lineRule="auto"/>
        <w:jc w:val="both"/>
      </w:pPr>
      <w:r>
        <w:rPr>
          <w:rFonts w:ascii="Times New Roman" w:hAnsi="Times New Roman"/>
          <w:color w:val="222830"/>
          <w:sz w:val="24"/>
        </w:rPr>
        <w:t>La evaluación posterior a la aplicación metodológica fue comunicada por la institución mediante respuesta escrita. La comunicación declara un nivel global de cumplimiento de 99,06 % y lo reconoce como resultado del proceso de evaluación registrado. El tablero presenta esa cifra con el carácter de dato agregado que reviste.</w:t>
      </w:r>
    </w:p>
    <w:p>
      <w:pPr>
        <w:spacing w:before="200" w:after="80"/>
        <w:jc w:val="center"/>
      </w:pPr>
      <w:r>
        <w:drawing>
          <wp:inline xmlns:a="http://schemas.openxmlformats.org/drawingml/2006/main" xmlns:pic="http://schemas.openxmlformats.org/drawingml/2006/picture">
            <wp:extent cx="5760000" cy="673247"/>
            <wp:docPr id="15" name="Picture 15"/>
            <wp:cNvGraphicFramePr>
              <a:graphicFrameLocks noChangeAspect="1"/>
            </wp:cNvGraphicFramePr>
            <a:graphic>
              <a:graphicData uri="http://schemas.openxmlformats.org/drawingml/2006/picture">
                <pic:pic>
                  <pic:nvPicPr>
                    <pic:cNvPr id="0" name="instKpis.png"/>
                    <pic:cNvPicPr/>
                  </pic:nvPicPr>
                  <pic:blipFill>
                    <a:blip r:embed="rId23"/>
                    <a:stretch>
                      <a:fillRect/>
                    </a:stretch>
                  </pic:blipFill>
                  <pic:spPr>
                    <a:xfrm>
                      <a:off x="0" y="0"/>
                      <a:ext cx="5760000" cy="673247"/>
                    </a:xfrm>
                    <a:prstGeom prst="rect"/>
                  </pic:spPr>
                </pic:pic>
              </a:graphicData>
            </a:graphic>
          </wp:inline>
        </w:drawing>
      </w:r>
    </w:p>
    <w:p>
      <w:pPr>
        <w:spacing w:before="40" w:after="40"/>
        <w:jc w:val="center"/>
      </w:pPr>
      <w:r>
        <w:rPr>
          <w:rFonts w:ascii="Times New Roman" w:hAnsi="Times New Roman"/>
          <w:color w:val="222830"/>
          <w:sz w:val="20"/>
        </w:rPr>
        <w:t xml:space="preserve">Figura 15. </w:t>
      </w:r>
      <w:r>
        <w:rPr>
          <w:rFonts w:ascii="Times New Roman" w:hAnsi="Times New Roman"/>
          <w:i/>
          <w:color w:val="222830"/>
          <w:sz w:val="20"/>
        </w:rPr>
        <w:t>Resultado institucional comunicado y madurez diagnosticada.</w:t>
      </w:r>
    </w:p>
    <w:p>
      <w:pPr>
        <w:spacing w:before="200" w:after="80"/>
        <w:jc w:val="center"/>
      </w:pPr>
      <w:r>
        <w:drawing>
          <wp:inline xmlns:a="http://schemas.openxmlformats.org/drawingml/2006/main" xmlns:pic="http://schemas.openxmlformats.org/drawingml/2006/picture">
            <wp:extent cx="5760000" cy="4502400"/>
            <wp:docPr id="16" name="Picture 16"/>
            <wp:cNvGraphicFramePr>
              <a:graphicFrameLocks noChangeAspect="1"/>
            </wp:cNvGraphicFramePr>
            <a:graphic>
              <a:graphicData uri="http://schemas.openxmlformats.org/drawingml/2006/picture">
                <pic:pic>
                  <pic:nvPicPr>
                    <pic:cNvPr id="0" name="instrumentos.png"/>
                    <pic:cNvPicPr/>
                  </pic:nvPicPr>
                  <pic:blipFill>
                    <a:blip r:embed="rId24"/>
                    <a:stretch>
                      <a:fillRect/>
                    </a:stretch>
                  </pic:blipFill>
                  <pic:spPr>
                    <a:xfrm>
                      <a:off x="0" y="0"/>
                      <a:ext cx="5760000" cy="4502400"/>
                    </a:xfrm>
                    <a:prstGeom prst="rect"/>
                  </pic:spPr>
                </pic:pic>
              </a:graphicData>
            </a:graphic>
          </wp:inline>
        </w:drawing>
      </w:r>
    </w:p>
    <w:p>
      <w:pPr>
        <w:spacing w:before="40" w:after="40"/>
        <w:jc w:val="center"/>
      </w:pPr>
      <w:r>
        <w:rPr>
          <w:rFonts w:ascii="Times New Roman" w:hAnsi="Times New Roman"/>
          <w:color w:val="222830"/>
          <w:sz w:val="20"/>
        </w:rPr>
        <w:t xml:space="preserve">Figura 16. </w:t>
      </w:r>
      <w:r>
        <w:rPr>
          <w:rFonts w:ascii="Times New Roman" w:hAnsi="Times New Roman"/>
          <w:i/>
          <w:color w:val="222830"/>
          <w:sz w:val="20"/>
        </w:rPr>
        <w:t>Posición de los catorce instrumentos antes y después de la implementación metodológica, frente a los cortes de madurez.</w:t>
      </w:r>
    </w:p>
    <w:p>
      <w:pPr>
        <w:spacing w:before="0" w:after="240"/>
        <w:ind w:left="283"/>
        <w:jc w:val="both"/>
      </w:pPr>
      <w:r>
        <w:rPr>
          <w:rFonts w:ascii="Times New Roman" w:hAnsi="Times New Roman"/>
          <w:color w:val="5A6878"/>
          <w:sz w:val="18"/>
        </w:rPr>
        <w:t>Nota. Cada fila representa un instrumento del diagnóstico, cuyo porcentaje inicial sitúa el punto ocre a partir del autoinforme de treinta respondentes. La línea verde marca el nivel global de cumplimiento de 99,06 % que la institución comunicó tras la aplicación de la metodología, mientras las líneas de desplazamiento unen cada valor inicial con ese nivel institucional. Los seis instrumentos que el diagnóstico situaba en nivel Básico, de I13 a I10, quedan bajo el corte del 51 % y los ocho restantes en nivel Gestionado. Fuente: apartado 4.1 del marco práctico y comunicación institucional del Servicio de Impuestos Nacionales.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793"/>
        <w:gridCol w:w="3628"/>
        <w:gridCol w:w="1360"/>
        <w:gridCol w:w="1360"/>
        <w:gridCol w:w="1927"/>
      </w:tblGrid>
      <w:tr>
        <w:trPr>
          <w:tblHeader w:val="true"/>
        </w:trPr>
        <w:tc>
          <w:tcPr>
            <w:tcW w:type="dxa" w:w="794"/>
            <w:shd w:val="clear" w:fill="1F3864"/>
          </w:tcPr>
          <w:p>
            <w:pPr>
              <w:keepNext/>
              <w:spacing w:before="40" w:after="40"/>
            </w:pPr>
            <w:r/>
            <w:r>
              <w:rPr>
                <w:rFonts w:ascii="Calibri" w:hAnsi="Calibri"/>
                <w:b/>
                <w:color w:val="FFFFFF"/>
                <w:sz w:val="18"/>
              </w:rPr>
              <w:t>Inst.</w:t>
            </w:r>
          </w:p>
        </w:tc>
        <w:tc>
          <w:tcPr>
            <w:tcW w:type="dxa" w:w="3628"/>
            <w:shd w:val="clear" w:fill="1F3864"/>
          </w:tcPr>
          <w:p>
            <w:pPr>
              <w:keepNext/>
              <w:spacing w:before="40" w:after="40"/>
            </w:pPr>
            <w:r/>
            <w:r>
              <w:rPr>
                <w:rFonts w:ascii="Calibri" w:hAnsi="Calibri"/>
                <w:b/>
                <w:color w:val="FFFFFF"/>
                <w:sz w:val="18"/>
              </w:rPr>
              <w:t>Instrumento del diagnóstico</w:t>
            </w:r>
          </w:p>
        </w:tc>
        <w:tc>
          <w:tcPr>
            <w:tcW w:type="dxa" w:w="1361"/>
            <w:shd w:val="clear" w:fill="1F3864"/>
          </w:tcPr>
          <w:p>
            <w:pPr>
              <w:keepNext/>
              <w:spacing w:before="40" w:after="40"/>
            </w:pPr>
            <w:r/>
            <w:r>
              <w:rPr>
                <w:rFonts w:ascii="Calibri" w:hAnsi="Calibri"/>
                <w:b/>
                <w:color w:val="FFFFFF"/>
                <w:sz w:val="18"/>
              </w:rPr>
              <w:t>% del autoinforme</w:t>
            </w:r>
          </w:p>
        </w:tc>
        <w:tc>
          <w:tcPr>
            <w:tcW w:type="dxa" w:w="1361"/>
            <w:shd w:val="clear" w:fill="1F3864"/>
          </w:tcPr>
          <w:p>
            <w:pPr>
              <w:keepNext/>
              <w:spacing w:before="40" w:after="40"/>
            </w:pPr>
            <w:r/>
            <w:r>
              <w:rPr>
                <w:rFonts w:ascii="Calibri" w:hAnsi="Calibri"/>
                <w:b/>
                <w:color w:val="FFFFFF"/>
                <w:sz w:val="18"/>
              </w:rPr>
              <w:t>Nivel</w:t>
            </w:r>
          </w:p>
        </w:tc>
        <w:tc>
          <w:tcPr>
            <w:tcW w:type="dxa" w:w="1928"/>
            <w:shd w:val="clear" w:fill="1F3864"/>
          </w:tcPr>
          <w:p>
            <w:pPr>
              <w:keepNext/>
              <w:spacing w:before="40" w:after="40"/>
            </w:pPr>
            <w:r/>
            <w:r>
              <w:rPr>
                <w:rFonts w:ascii="Calibri" w:hAnsi="Calibri"/>
                <w:b/>
                <w:color w:val="FFFFFF"/>
                <w:sz w:val="18"/>
              </w:rPr>
              <w:t>Puntos hasta el 99,06 %</w:t>
            </w:r>
          </w:p>
        </w:tc>
      </w:tr>
      <w:tr>
        <w:tc>
          <w:tcPr>
            <w:tcW w:type="dxa" w:w="794"/>
          </w:tcPr>
          <w:p>
            <w:pPr>
              <w:keepNext/>
              <w:spacing w:before="40" w:after="40"/>
            </w:pPr>
            <w:r/>
            <w:r>
              <w:rPr>
                <w:rFonts w:ascii="Calibri" w:hAnsi="Calibri"/>
                <w:color w:val="222830"/>
                <w:sz w:val="18"/>
              </w:rPr>
              <w:t>I1</w:t>
            </w:r>
          </w:p>
        </w:tc>
        <w:tc>
          <w:tcPr>
            <w:tcW w:type="dxa" w:w="3628"/>
          </w:tcPr>
          <w:p>
            <w:pPr>
              <w:keepNext/>
              <w:spacing w:before="40" w:after="40"/>
            </w:pPr>
            <w:r/>
            <w:r>
              <w:rPr>
                <w:rFonts w:ascii="Calibri" w:hAnsi="Calibri"/>
                <w:color w:val="222830"/>
                <w:sz w:val="18"/>
              </w:rPr>
              <w:t>Detección y registro de eventos</w:t>
            </w:r>
          </w:p>
        </w:tc>
        <w:tc>
          <w:tcPr>
            <w:tcW w:type="dxa" w:w="1361"/>
          </w:tcPr>
          <w:p>
            <w:pPr>
              <w:keepNext/>
              <w:spacing w:before="40" w:after="40"/>
            </w:pPr>
            <w:r/>
            <w:r>
              <w:rPr>
                <w:rFonts w:ascii="Calibri" w:hAnsi="Calibri"/>
                <w:color w:val="222830"/>
                <w:sz w:val="18"/>
              </w:rPr>
              <w:t>48,54</w:t>
            </w:r>
          </w:p>
        </w:tc>
        <w:tc>
          <w:tcPr>
            <w:tcW w:type="dxa" w:w="1361"/>
          </w:tcPr>
          <w:p>
            <w:pPr>
              <w:keepNext/>
              <w:spacing w:before="40" w:after="40"/>
            </w:pPr>
            <w:r/>
            <w:r>
              <w:rPr>
                <w:rFonts w:ascii="Calibri" w:hAnsi="Calibri"/>
                <w:color w:val="222830"/>
                <w:sz w:val="18"/>
              </w:rPr>
              <w:t>Básico</w:t>
            </w:r>
          </w:p>
        </w:tc>
        <w:tc>
          <w:tcPr>
            <w:tcW w:type="dxa" w:w="1928"/>
          </w:tcPr>
          <w:p>
            <w:pPr>
              <w:keepNext/>
              <w:spacing w:before="40" w:after="40"/>
            </w:pPr>
            <w:r/>
            <w:r>
              <w:rPr>
                <w:rFonts w:ascii="Calibri" w:hAnsi="Calibri"/>
                <w:color w:val="222830"/>
                <w:sz w:val="18"/>
              </w:rPr>
              <w:t>50,52</w:t>
            </w:r>
          </w:p>
        </w:tc>
      </w:tr>
      <w:tr>
        <w:tc>
          <w:tcPr>
            <w:tcW w:type="dxa" w:w="794"/>
            <w:shd w:val="clear" w:fill="EDF2F8"/>
          </w:tcPr>
          <w:p>
            <w:pPr>
              <w:keepNext/>
              <w:spacing w:before="40" w:after="40"/>
            </w:pPr>
            <w:r/>
            <w:r>
              <w:rPr>
                <w:rFonts w:ascii="Calibri" w:hAnsi="Calibri"/>
                <w:color w:val="222830"/>
                <w:sz w:val="18"/>
              </w:rPr>
              <w:t>I2</w:t>
            </w:r>
          </w:p>
        </w:tc>
        <w:tc>
          <w:tcPr>
            <w:tcW w:type="dxa" w:w="3628"/>
            <w:shd w:val="clear" w:fill="EDF2F8"/>
          </w:tcPr>
          <w:p>
            <w:pPr>
              <w:keepNext/>
              <w:spacing w:before="40" w:after="40"/>
            </w:pPr>
            <w:r/>
            <w:r>
              <w:rPr>
                <w:rFonts w:ascii="Calibri" w:hAnsi="Calibri"/>
                <w:color w:val="222830"/>
                <w:sz w:val="18"/>
              </w:rPr>
              <w:t>Clasificación y evidencia de incidentes</w:t>
            </w:r>
          </w:p>
        </w:tc>
        <w:tc>
          <w:tcPr>
            <w:tcW w:type="dxa" w:w="1361"/>
            <w:shd w:val="clear" w:fill="EDF2F8"/>
          </w:tcPr>
          <w:p>
            <w:pPr>
              <w:keepNext/>
              <w:spacing w:before="40" w:after="40"/>
            </w:pPr>
            <w:r/>
            <w:r>
              <w:rPr>
                <w:rFonts w:ascii="Calibri" w:hAnsi="Calibri"/>
                <w:color w:val="222830"/>
                <w:sz w:val="18"/>
              </w:rPr>
              <w:t>56,94</w:t>
            </w:r>
          </w:p>
        </w:tc>
        <w:tc>
          <w:tcPr>
            <w:tcW w:type="dxa" w:w="1361"/>
            <w:shd w:val="clear" w:fill="EDF2F8"/>
          </w:tcPr>
          <w:p>
            <w:pPr>
              <w:keepNext/>
              <w:spacing w:before="40" w:after="40"/>
            </w:pPr>
            <w:r/>
            <w:r>
              <w:rPr>
                <w:rFonts w:ascii="Calibri" w:hAnsi="Calibri"/>
                <w:color w:val="222830"/>
                <w:sz w:val="18"/>
              </w:rPr>
              <w:t>Gestionado</w:t>
            </w:r>
          </w:p>
        </w:tc>
        <w:tc>
          <w:tcPr>
            <w:tcW w:type="dxa" w:w="1928"/>
            <w:shd w:val="clear" w:fill="EDF2F8"/>
          </w:tcPr>
          <w:p>
            <w:pPr>
              <w:keepNext/>
              <w:spacing w:before="40" w:after="40"/>
            </w:pPr>
            <w:r/>
            <w:r>
              <w:rPr>
                <w:rFonts w:ascii="Calibri" w:hAnsi="Calibri"/>
                <w:color w:val="222830"/>
                <w:sz w:val="18"/>
              </w:rPr>
              <w:t>42,12</w:t>
            </w:r>
          </w:p>
        </w:tc>
      </w:tr>
      <w:tr>
        <w:tc>
          <w:tcPr>
            <w:tcW w:type="dxa" w:w="794"/>
          </w:tcPr>
          <w:p>
            <w:pPr>
              <w:keepNext/>
              <w:spacing w:before="40" w:after="40"/>
            </w:pPr>
            <w:r/>
            <w:r>
              <w:rPr>
                <w:rFonts w:ascii="Calibri" w:hAnsi="Calibri"/>
                <w:color w:val="222830"/>
                <w:sz w:val="18"/>
              </w:rPr>
              <w:t>I3</w:t>
            </w:r>
          </w:p>
        </w:tc>
        <w:tc>
          <w:tcPr>
            <w:tcW w:type="dxa" w:w="3628"/>
          </w:tcPr>
          <w:p>
            <w:pPr>
              <w:keepNext/>
              <w:spacing w:before="40" w:after="40"/>
            </w:pPr>
            <w:r/>
            <w:r>
              <w:rPr>
                <w:rFonts w:ascii="Calibri" w:hAnsi="Calibri"/>
                <w:color w:val="222830"/>
                <w:sz w:val="18"/>
              </w:rPr>
              <w:t>Respuesta y tiempos de atención</w:t>
            </w:r>
          </w:p>
        </w:tc>
        <w:tc>
          <w:tcPr>
            <w:tcW w:type="dxa" w:w="1361"/>
          </w:tcPr>
          <w:p>
            <w:pPr>
              <w:keepNext/>
              <w:spacing w:before="40" w:after="40"/>
            </w:pPr>
            <w:r/>
            <w:r>
              <w:rPr>
                <w:rFonts w:ascii="Calibri" w:hAnsi="Calibri"/>
                <w:color w:val="222830"/>
                <w:sz w:val="18"/>
              </w:rPr>
              <w:t>58,06</w:t>
            </w:r>
          </w:p>
        </w:tc>
        <w:tc>
          <w:tcPr>
            <w:tcW w:type="dxa" w:w="1361"/>
          </w:tcPr>
          <w:p>
            <w:pPr>
              <w:keepNext/>
              <w:spacing w:before="40" w:after="40"/>
            </w:pPr>
            <w:r/>
            <w:r>
              <w:rPr>
                <w:rFonts w:ascii="Calibri" w:hAnsi="Calibri"/>
                <w:color w:val="222830"/>
                <w:sz w:val="18"/>
              </w:rPr>
              <w:t>Gestionado</w:t>
            </w:r>
          </w:p>
        </w:tc>
        <w:tc>
          <w:tcPr>
            <w:tcW w:type="dxa" w:w="1928"/>
          </w:tcPr>
          <w:p>
            <w:pPr>
              <w:keepNext/>
              <w:spacing w:before="40" w:after="40"/>
            </w:pPr>
            <w:r/>
            <w:r>
              <w:rPr>
                <w:rFonts w:ascii="Calibri" w:hAnsi="Calibri"/>
                <w:color w:val="222830"/>
                <w:sz w:val="18"/>
              </w:rPr>
              <w:t>41,00</w:t>
            </w:r>
          </w:p>
        </w:tc>
      </w:tr>
      <w:tr>
        <w:tc>
          <w:tcPr>
            <w:tcW w:type="dxa" w:w="794"/>
            <w:shd w:val="clear" w:fill="EDF2F8"/>
          </w:tcPr>
          <w:p>
            <w:pPr>
              <w:keepNext/>
              <w:spacing w:before="40" w:after="40"/>
            </w:pPr>
            <w:r/>
            <w:r>
              <w:rPr>
                <w:rFonts w:ascii="Calibri" w:hAnsi="Calibri"/>
                <w:color w:val="222830"/>
                <w:sz w:val="18"/>
              </w:rPr>
              <w:t>I4</w:t>
            </w:r>
          </w:p>
        </w:tc>
        <w:tc>
          <w:tcPr>
            <w:tcW w:type="dxa" w:w="3628"/>
            <w:shd w:val="clear" w:fill="EDF2F8"/>
          </w:tcPr>
          <w:p>
            <w:pPr>
              <w:keepNext/>
              <w:spacing w:before="40" w:after="40"/>
            </w:pPr>
            <w:r/>
            <w:r>
              <w:rPr>
                <w:rFonts w:ascii="Calibri" w:hAnsi="Calibri"/>
                <w:color w:val="222830"/>
                <w:sz w:val="18"/>
              </w:rPr>
              <w:t>Lecciones aprendidas y mejora</w:t>
            </w:r>
          </w:p>
        </w:tc>
        <w:tc>
          <w:tcPr>
            <w:tcW w:type="dxa" w:w="1361"/>
            <w:shd w:val="clear" w:fill="EDF2F8"/>
          </w:tcPr>
          <w:p>
            <w:pPr>
              <w:keepNext/>
              <w:spacing w:before="40" w:after="40"/>
            </w:pPr>
            <w:r/>
            <w:r>
              <w:rPr>
                <w:rFonts w:ascii="Calibri" w:hAnsi="Calibri"/>
                <w:color w:val="222830"/>
                <w:sz w:val="18"/>
              </w:rPr>
              <w:t>49,17</w:t>
            </w:r>
          </w:p>
        </w:tc>
        <w:tc>
          <w:tcPr>
            <w:tcW w:type="dxa" w:w="1361"/>
            <w:shd w:val="clear" w:fill="EDF2F8"/>
          </w:tcPr>
          <w:p>
            <w:pPr>
              <w:keepNext/>
              <w:spacing w:before="40" w:after="40"/>
            </w:pPr>
            <w:r/>
            <w:r>
              <w:rPr>
                <w:rFonts w:ascii="Calibri" w:hAnsi="Calibri"/>
                <w:color w:val="222830"/>
                <w:sz w:val="18"/>
              </w:rPr>
              <w:t>Básico</w:t>
            </w:r>
          </w:p>
        </w:tc>
        <w:tc>
          <w:tcPr>
            <w:tcW w:type="dxa" w:w="1928"/>
            <w:shd w:val="clear" w:fill="EDF2F8"/>
          </w:tcPr>
          <w:p>
            <w:pPr>
              <w:keepNext/>
              <w:spacing w:before="40" w:after="40"/>
            </w:pPr>
            <w:r/>
            <w:r>
              <w:rPr>
                <w:rFonts w:ascii="Calibri" w:hAnsi="Calibri"/>
                <w:color w:val="222830"/>
                <w:sz w:val="18"/>
              </w:rPr>
              <w:t>49,89</w:t>
            </w:r>
          </w:p>
        </w:tc>
      </w:tr>
      <w:tr>
        <w:tc>
          <w:tcPr>
            <w:tcW w:type="dxa" w:w="794"/>
          </w:tcPr>
          <w:p>
            <w:pPr>
              <w:keepNext/>
              <w:spacing w:before="40" w:after="40"/>
            </w:pPr>
            <w:r/>
            <w:r>
              <w:rPr>
                <w:rFonts w:ascii="Calibri" w:hAnsi="Calibri"/>
                <w:color w:val="222830"/>
                <w:sz w:val="18"/>
              </w:rPr>
              <w:t>I5</w:t>
            </w:r>
          </w:p>
        </w:tc>
        <w:tc>
          <w:tcPr>
            <w:tcW w:type="dxa" w:w="3628"/>
          </w:tcPr>
          <w:p>
            <w:pPr>
              <w:keepNext/>
              <w:spacing w:before="40" w:after="40"/>
            </w:pPr>
            <w:r/>
            <w:r>
              <w:rPr>
                <w:rFonts w:ascii="Calibri" w:hAnsi="Calibri"/>
                <w:color w:val="222830"/>
                <w:sz w:val="18"/>
              </w:rPr>
              <w:t>Integridad y custodia de evidencias</w:t>
            </w:r>
          </w:p>
        </w:tc>
        <w:tc>
          <w:tcPr>
            <w:tcW w:type="dxa" w:w="1361"/>
          </w:tcPr>
          <w:p>
            <w:pPr>
              <w:keepNext/>
              <w:spacing w:before="40" w:after="40"/>
            </w:pPr>
            <w:r/>
            <w:r>
              <w:rPr>
                <w:rFonts w:ascii="Calibri" w:hAnsi="Calibri"/>
                <w:color w:val="222830"/>
                <w:sz w:val="18"/>
              </w:rPr>
              <w:t>57,22</w:t>
            </w:r>
          </w:p>
        </w:tc>
        <w:tc>
          <w:tcPr>
            <w:tcW w:type="dxa" w:w="1361"/>
          </w:tcPr>
          <w:p>
            <w:pPr>
              <w:keepNext/>
              <w:spacing w:before="40" w:after="40"/>
            </w:pPr>
            <w:r/>
            <w:r>
              <w:rPr>
                <w:rFonts w:ascii="Calibri" w:hAnsi="Calibri"/>
                <w:color w:val="222830"/>
                <w:sz w:val="18"/>
              </w:rPr>
              <w:t>Gestionado</w:t>
            </w:r>
          </w:p>
        </w:tc>
        <w:tc>
          <w:tcPr>
            <w:tcW w:type="dxa" w:w="1928"/>
          </w:tcPr>
          <w:p>
            <w:pPr>
              <w:keepNext/>
              <w:spacing w:before="40" w:after="40"/>
            </w:pPr>
            <w:r/>
            <w:r>
              <w:rPr>
                <w:rFonts w:ascii="Calibri" w:hAnsi="Calibri"/>
                <w:color w:val="222830"/>
                <w:sz w:val="18"/>
              </w:rPr>
              <w:t>41,84</w:t>
            </w:r>
          </w:p>
        </w:tc>
      </w:tr>
      <w:tr>
        <w:tc>
          <w:tcPr>
            <w:tcW w:type="dxa" w:w="794"/>
            <w:shd w:val="clear" w:fill="EDF2F8"/>
          </w:tcPr>
          <w:p>
            <w:pPr>
              <w:keepNext/>
              <w:spacing w:before="40" w:after="40"/>
            </w:pPr>
            <w:r/>
            <w:r>
              <w:rPr>
                <w:rFonts w:ascii="Calibri" w:hAnsi="Calibri"/>
                <w:color w:val="222830"/>
                <w:sz w:val="18"/>
              </w:rPr>
              <w:t>I6</w:t>
            </w:r>
          </w:p>
        </w:tc>
        <w:tc>
          <w:tcPr>
            <w:tcW w:type="dxa" w:w="3628"/>
            <w:shd w:val="clear" w:fill="EDF2F8"/>
          </w:tcPr>
          <w:p>
            <w:pPr>
              <w:keepNext/>
              <w:spacing w:before="40" w:after="40"/>
            </w:pPr>
            <w:r/>
            <w:r>
              <w:rPr>
                <w:rFonts w:ascii="Calibri" w:hAnsi="Calibri"/>
                <w:color w:val="222830"/>
                <w:sz w:val="18"/>
              </w:rPr>
              <w:t>Respaldos y restauración de evidencias</w:t>
            </w:r>
          </w:p>
        </w:tc>
        <w:tc>
          <w:tcPr>
            <w:tcW w:type="dxa" w:w="1361"/>
            <w:shd w:val="clear" w:fill="EDF2F8"/>
          </w:tcPr>
          <w:p>
            <w:pPr>
              <w:keepNext/>
              <w:spacing w:before="40" w:after="40"/>
            </w:pPr>
            <w:r/>
            <w:r>
              <w:rPr>
                <w:rFonts w:ascii="Calibri" w:hAnsi="Calibri"/>
                <w:color w:val="222830"/>
                <w:sz w:val="18"/>
              </w:rPr>
              <w:t>58,33</w:t>
            </w:r>
          </w:p>
        </w:tc>
        <w:tc>
          <w:tcPr>
            <w:tcW w:type="dxa" w:w="1361"/>
            <w:shd w:val="clear" w:fill="EDF2F8"/>
          </w:tcPr>
          <w:p>
            <w:pPr>
              <w:keepNext/>
              <w:spacing w:before="40" w:after="40"/>
            </w:pPr>
            <w:r/>
            <w:r>
              <w:rPr>
                <w:rFonts w:ascii="Calibri" w:hAnsi="Calibri"/>
                <w:color w:val="222830"/>
                <w:sz w:val="18"/>
              </w:rPr>
              <w:t>Gestionado</w:t>
            </w:r>
          </w:p>
        </w:tc>
        <w:tc>
          <w:tcPr>
            <w:tcW w:type="dxa" w:w="1928"/>
            <w:shd w:val="clear" w:fill="EDF2F8"/>
          </w:tcPr>
          <w:p>
            <w:pPr>
              <w:keepNext/>
              <w:spacing w:before="40" w:after="40"/>
            </w:pPr>
            <w:r/>
            <w:r>
              <w:rPr>
                <w:rFonts w:ascii="Calibri" w:hAnsi="Calibri"/>
                <w:color w:val="222830"/>
                <w:sz w:val="18"/>
              </w:rPr>
              <w:t>40,73</w:t>
            </w:r>
          </w:p>
        </w:tc>
      </w:tr>
      <w:tr>
        <w:tc>
          <w:tcPr>
            <w:tcW w:type="dxa" w:w="794"/>
          </w:tcPr>
          <w:p>
            <w:pPr>
              <w:keepNext/>
              <w:spacing w:before="40" w:after="40"/>
            </w:pPr>
            <w:r/>
            <w:r>
              <w:rPr>
                <w:rFonts w:ascii="Calibri" w:hAnsi="Calibri"/>
                <w:color w:val="222830"/>
                <w:sz w:val="18"/>
              </w:rPr>
              <w:t>I7</w:t>
            </w:r>
          </w:p>
        </w:tc>
        <w:tc>
          <w:tcPr>
            <w:tcW w:type="dxa" w:w="3628"/>
          </w:tcPr>
          <w:p>
            <w:pPr>
              <w:keepNext/>
              <w:spacing w:before="40" w:after="40"/>
            </w:pPr>
            <w:r/>
            <w:r>
              <w:rPr>
                <w:rFonts w:ascii="Calibri" w:hAnsi="Calibri"/>
                <w:color w:val="222830"/>
                <w:sz w:val="18"/>
              </w:rPr>
              <w:t>Retención y acceso a evidencias</w:t>
            </w:r>
          </w:p>
        </w:tc>
        <w:tc>
          <w:tcPr>
            <w:tcW w:type="dxa" w:w="1361"/>
          </w:tcPr>
          <w:p>
            <w:pPr>
              <w:keepNext/>
              <w:spacing w:before="40" w:after="40"/>
            </w:pPr>
            <w:r/>
            <w:r>
              <w:rPr>
                <w:rFonts w:ascii="Calibri" w:hAnsi="Calibri"/>
                <w:color w:val="222830"/>
                <w:sz w:val="18"/>
              </w:rPr>
              <w:t>47,92</w:t>
            </w:r>
          </w:p>
        </w:tc>
        <w:tc>
          <w:tcPr>
            <w:tcW w:type="dxa" w:w="1361"/>
          </w:tcPr>
          <w:p>
            <w:pPr>
              <w:keepNext/>
              <w:spacing w:before="40" w:after="40"/>
            </w:pPr>
            <w:r/>
            <w:r>
              <w:rPr>
                <w:rFonts w:ascii="Calibri" w:hAnsi="Calibri"/>
                <w:color w:val="222830"/>
                <w:sz w:val="18"/>
              </w:rPr>
              <w:t>Básico</w:t>
            </w:r>
          </w:p>
        </w:tc>
        <w:tc>
          <w:tcPr>
            <w:tcW w:type="dxa" w:w="1928"/>
          </w:tcPr>
          <w:p>
            <w:pPr>
              <w:keepNext/>
              <w:spacing w:before="40" w:after="40"/>
            </w:pPr>
            <w:r/>
            <w:r>
              <w:rPr>
                <w:rFonts w:ascii="Calibri" w:hAnsi="Calibri"/>
                <w:color w:val="222830"/>
                <w:sz w:val="18"/>
              </w:rPr>
              <w:t>51,14</w:t>
            </w:r>
          </w:p>
        </w:tc>
      </w:tr>
      <w:tr>
        <w:tc>
          <w:tcPr>
            <w:tcW w:type="dxa" w:w="794"/>
            <w:shd w:val="clear" w:fill="EDF2F8"/>
          </w:tcPr>
          <w:p>
            <w:pPr>
              <w:keepNext/>
              <w:spacing w:before="40" w:after="40"/>
            </w:pPr>
            <w:r/>
            <w:r>
              <w:rPr>
                <w:rFonts w:ascii="Calibri" w:hAnsi="Calibri"/>
                <w:color w:val="222830"/>
                <w:sz w:val="18"/>
              </w:rPr>
              <w:t>I8</w:t>
            </w:r>
          </w:p>
        </w:tc>
        <w:tc>
          <w:tcPr>
            <w:tcW w:type="dxa" w:w="3628"/>
            <w:shd w:val="clear" w:fill="EDF2F8"/>
          </w:tcPr>
          <w:p>
            <w:pPr>
              <w:keepNext/>
              <w:spacing w:before="40" w:after="40"/>
            </w:pPr>
            <w:r/>
            <w:r>
              <w:rPr>
                <w:rFonts w:ascii="Calibri" w:hAnsi="Calibri"/>
                <w:color w:val="222830"/>
                <w:sz w:val="18"/>
              </w:rPr>
              <w:t>Accesos y mínimos privilegios</w:t>
            </w:r>
          </w:p>
        </w:tc>
        <w:tc>
          <w:tcPr>
            <w:tcW w:type="dxa" w:w="1361"/>
            <w:shd w:val="clear" w:fill="EDF2F8"/>
          </w:tcPr>
          <w:p>
            <w:pPr>
              <w:keepNext/>
              <w:spacing w:before="40" w:after="40"/>
            </w:pPr>
            <w:r/>
            <w:r>
              <w:rPr>
                <w:rFonts w:ascii="Calibri" w:hAnsi="Calibri"/>
                <w:color w:val="222830"/>
                <w:sz w:val="18"/>
              </w:rPr>
              <w:t>49,72</w:t>
            </w:r>
          </w:p>
        </w:tc>
        <w:tc>
          <w:tcPr>
            <w:tcW w:type="dxa" w:w="1361"/>
            <w:shd w:val="clear" w:fill="EDF2F8"/>
          </w:tcPr>
          <w:p>
            <w:pPr>
              <w:keepNext/>
              <w:spacing w:before="40" w:after="40"/>
            </w:pPr>
            <w:r/>
            <w:r>
              <w:rPr>
                <w:rFonts w:ascii="Calibri" w:hAnsi="Calibri"/>
                <w:color w:val="222830"/>
                <w:sz w:val="18"/>
              </w:rPr>
              <w:t>Básico</w:t>
            </w:r>
          </w:p>
        </w:tc>
        <w:tc>
          <w:tcPr>
            <w:tcW w:type="dxa" w:w="1928"/>
            <w:shd w:val="clear" w:fill="EDF2F8"/>
          </w:tcPr>
          <w:p>
            <w:pPr>
              <w:keepNext/>
              <w:spacing w:before="40" w:after="40"/>
            </w:pPr>
            <w:r/>
            <w:r>
              <w:rPr>
                <w:rFonts w:ascii="Calibri" w:hAnsi="Calibri"/>
                <w:color w:val="222830"/>
                <w:sz w:val="18"/>
              </w:rPr>
              <w:t>49,34</w:t>
            </w:r>
          </w:p>
        </w:tc>
      </w:tr>
      <w:tr>
        <w:tc>
          <w:tcPr>
            <w:tcW w:type="dxa" w:w="794"/>
          </w:tcPr>
          <w:p>
            <w:pPr>
              <w:keepNext/>
              <w:spacing w:before="40" w:after="40"/>
            </w:pPr>
            <w:r/>
            <w:r>
              <w:rPr>
                <w:rFonts w:ascii="Calibri" w:hAnsi="Calibri"/>
                <w:color w:val="222830"/>
                <w:sz w:val="18"/>
              </w:rPr>
              <w:t>I9</w:t>
            </w:r>
          </w:p>
        </w:tc>
        <w:tc>
          <w:tcPr>
            <w:tcW w:type="dxa" w:w="3628"/>
          </w:tcPr>
          <w:p>
            <w:pPr>
              <w:keepNext/>
              <w:spacing w:before="40" w:after="40"/>
            </w:pPr>
            <w:r/>
            <w:r>
              <w:rPr>
                <w:rFonts w:ascii="Calibri" w:hAnsi="Calibri"/>
                <w:color w:val="222830"/>
                <w:sz w:val="18"/>
              </w:rPr>
              <w:t>Desarrollo seguro y validaciones</w:t>
            </w:r>
          </w:p>
        </w:tc>
        <w:tc>
          <w:tcPr>
            <w:tcW w:type="dxa" w:w="1361"/>
          </w:tcPr>
          <w:p>
            <w:pPr>
              <w:keepNext/>
              <w:spacing w:before="40" w:after="40"/>
            </w:pPr>
            <w:r/>
            <w:r>
              <w:rPr>
                <w:rFonts w:ascii="Calibri" w:hAnsi="Calibri"/>
                <w:color w:val="222830"/>
                <w:sz w:val="18"/>
              </w:rPr>
              <w:t>53,06</w:t>
            </w:r>
          </w:p>
        </w:tc>
        <w:tc>
          <w:tcPr>
            <w:tcW w:type="dxa" w:w="1361"/>
          </w:tcPr>
          <w:p>
            <w:pPr>
              <w:keepNext/>
              <w:spacing w:before="40" w:after="40"/>
            </w:pPr>
            <w:r/>
            <w:r>
              <w:rPr>
                <w:rFonts w:ascii="Calibri" w:hAnsi="Calibri"/>
                <w:color w:val="222830"/>
                <w:sz w:val="18"/>
              </w:rPr>
              <w:t>Gestionado</w:t>
            </w:r>
          </w:p>
        </w:tc>
        <w:tc>
          <w:tcPr>
            <w:tcW w:type="dxa" w:w="1928"/>
          </w:tcPr>
          <w:p>
            <w:pPr>
              <w:keepNext/>
              <w:spacing w:before="40" w:after="40"/>
            </w:pPr>
            <w:r/>
            <w:r>
              <w:rPr>
                <w:rFonts w:ascii="Calibri" w:hAnsi="Calibri"/>
                <w:color w:val="222830"/>
                <w:sz w:val="18"/>
              </w:rPr>
              <w:t>46,00</w:t>
            </w:r>
          </w:p>
        </w:tc>
      </w:tr>
      <w:tr>
        <w:tc>
          <w:tcPr>
            <w:tcW w:type="dxa" w:w="794"/>
            <w:shd w:val="clear" w:fill="EDF2F8"/>
          </w:tcPr>
          <w:p>
            <w:pPr>
              <w:keepNext/>
              <w:spacing w:before="40" w:after="40"/>
            </w:pPr>
            <w:r/>
            <w:r>
              <w:rPr>
                <w:rFonts w:ascii="Calibri" w:hAnsi="Calibri"/>
                <w:color w:val="222830"/>
                <w:sz w:val="18"/>
              </w:rPr>
              <w:t>I10</w:t>
            </w:r>
          </w:p>
        </w:tc>
        <w:tc>
          <w:tcPr>
            <w:tcW w:type="dxa" w:w="3628"/>
            <w:shd w:val="clear" w:fill="EDF2F8"/>
          </w:tcPr>
          <w:p>
            <w:pPr>
              <w:keepNext/>
              <w:spacing w:before="40" w:after="40"/>
            </w:pPr>
            <w:r/>
            <w:r>
              <w:rPr>
                <w:rFonts w:ascii="Calibri" w:hAnsi="Calibri"/>
                <w:color w:val="222830"/>
                <w:sz w:val="18"/>
              </w:rPr>
              <w:t>Gestión de vulnerabilidades</w:t>
            </w:r>
          </w:p>
        </w:tc>
        <w:tc>
          <w:tcPr>
            <w:tcW w:type="dxa" w:w="1361"/>
            <w:shd w:val="clear" w:fill="EDF2F8"/>
          </w:tcPr>
          <w:p>
            <w:pPr>
              <w:keepNext/>
              <w:spacing w:before="40" w:after="40"/>
            </w:pPr>
            <w:r/>
            <w:r>
              <w:rPr>
                <w:rFonts w:ascii="Calibri" w:hAnsi="Calibri"/>
                <w:color w:val="222830"/>
                <w:sz w:val="18"/>
              </w:rPr>
              <w:t>50,56</w:t>
            </w:r>
          </w:p>
        </w:tc>
        <w:tc>
          <w:tcPr>
            <w:tcW w:type="dxa" w:w="1361"/>
            <w:shd w:val="clear" w:fill="EDF2F8"/>
          </w:tcPr>
          <w:p>
            <w:pPr>
              <w:keepNext/>
              <w:spacing w:before="40" w:after="40"/>
            </w:pPr>
            <w:r/>
            <w:r>
              <w:rPr>
                <w:rFonts w:ascii="Calibri" w:hAnsi="Calibri"/>
                <w:color w:val="222830"/>
                <w:sz w:val="18"/>
              </w:rPr>
              <w:t>Básico</w:t>
            </w:r>
          </w:p>
        </w:tc>
        <w:tc>
          <w:tcPr>
            <w:tcW w:type="dxa" w:w="1928"/>
            <w:shd w:val="clear" w:fill="EDF2F8"/>
          </w:tcPr>
          <w:p>
            <w:pPr>
              <w:keepNext/>
              <w:spacing w:before="40" w:after="40"/>
            </w:pPr>
            <w:r/>
            <w:r>
              <w:rPr>
                <w:rFonts w:ascii="Calibri" w:hAnsi="Calibri"/>
                <w:color w:val="222830"/>
                <w:sz w:val="18"/>
              </w:rPr>
              <w:t>48,50</w:t>
            </w:r>
          </w:p>
        </w:tc>
      </w:tr>
      <w:tr>
        <w:tc>
          <w:tcPr>
            <w:tcW w:type="dxa" w:w="794"/>
          </w:tcPr>
          <w:p>
            <w:pPr>
              <w:keepNext/>
              <w:spacing w:before="40" w:after="40"/>
            </w:pPr>
            <w:r/>
            <w:r>
              <w:rPr>
                <w:rFonts w:ascii="Calibri" w:hAnsi="Calibri"/>
                <w:color w:val="222830"/>
                <w:sz w:val="18"/>
              </w:rPr>
              <w:t>I11</w:t>
            </w:r>
          </w:p>
        </w:tc>
        <w:tc>
          <w:tcPr>
            <w:tcW w:type="dxa" w:w="3628"/>
          </w:tcPr>
          <w:p>
            <w:pPr>
              <w:keepNext/>
              <w:spacing w:before="40" w:after="40"/>
            </w:pPr>
            <w:r/>
            <w:r>
              <w:rPr>
                <w:rFonts w:ascii="Calibri" w:hAnsi="Calibri"/>
                <w:color w:val="222830"/>
                <w:sz w:val="18"/>
              </w:rPr>
              <w:t>Integridad y trazabilidad de registros</w:t>
            </w:r>
          </w:p>
        </w:tc>
        <w:tc>
          <w:tcPr>
            <w:tcW w:type="dxa" w:w="1361"/>
          </w:tcPr>
          <w:p>
            <w:pPr>
              <w:keepNext/>
              <w:spacing w:before="40" w:after="40"/>
            </w:pPr>
            <w:r/>
            <w:r>
              <w:rPr>
                <w:rFonts w:ascii="Calibri" w:hAnsi="Calibri"/>
                <w:color w:val="222830"/>
                <w:sz w:val="18"/>
              </w:rPr>
              <w:t>52,78</w:t>
            </w:r>
          </w:p>
        </w:tc>
        <w:tc>
          <w:tcPr>
            <w:tcW w:type="dxa" w:w="1361"/>
          </w:tcPr>
          <w:p>
            <w:pPr>
              <w:keepNext/>
              <w:spacing w:before="40" w:after="40"/>
            </w:pPr>
            <w:r/>
            <w:r>
              <w:rPr>
                <w:rFonts w:ascii="Calibri" w:hAnsi="Calibri"/>
                <w:color w:val="222830"/>
                <w:sz w:val="18"/>
              </w:rPr>
              <w:t>Gestionado</w:t>
            </w:r>
          </w:p>
        </w:tc>
        <w:tc>
          <w:tcPr>
            <w:tcW w:type="dxa" w:w="1928"/>
          </w:tcPr>
          <w:p>
            <w:pPr>
              <w:keepNext/>
              <w:spacing w:before="40" w:after="40"/>
            </w:pPr>
            <w:r/>
            <w:r>
              <w:rPr>
                <w:rFonts w:ascii="Calibri" w:hAnsi="Calibri"/>
                <w:color w:val="222830"/>
                <w:sz w:val="18"/>
              </w:rPr>
              <w:t>46,28</w:t>
            </w:r>
          </w:p>
        </w:tc>
      </w:tr>
      <w:tr>
        <w:tc>
          <w:tcPr>
            <w:tcW w:type="dxa" w:w="794"/>
            <w:shd w:val="clear" w:fill="EDF2F8"/>
          </w:tcPr>
          <w:p>
            <w:pPr>
              <w:keepNext/>
              <w:spacing w:before="40" w:after="40"/>
            </w:pPr>
            <w:r/>
            <w:r>
              <w:rPr>
                <w:rFonts w:ascii="Calibri" w:hAnsi="Calibri"/>
                <w:color w:val="222830"/>
                <w:sz w:val="18"/>
              </w:rPr>
              <w:t>I12</w:t>
            </w:r>
          </w:p>
        </w:tc>
        <w:tc>
          <w:tcPr>
            <w:tcW w:type="dxa" w:w="3628"/>
            <w:shd w:val="clear" w:fill="EDF2F8"/>
          </w:tcPr>
          <w:p>
            <w:pPr>
              <w:keepNext/>
              <w:spacing w:before="40" w:after="40"/>
            </w:pPr>
            <w:r/>
            <w:r>
              <w:rPr>
                <w:rFonts w:ascii="Calibri" w:hAnsi="Calibri"/>
                <w:color w:val="222830"/>
                <w:sz w:val="18"/>
              </w:rPr>
              <w:t>Gestión de riesgos</w:t>
            </w:r>
          </w:p>
        </w:tc>
        <w:tc>
          <w:tcPr>
            <w:tcW w:type="dxa" w:w="1361"/>
            <w:shd w:val="clear" w:fill="EDF2F8"/>
          </w:tcPr>
          <w:p>
            <w:pPr>
              <w:keepNext/>
              <w:spacing w:before="40" w:after="40"/>
            </w:pPr>
            <w:r/>
            <w:r>
              <w:rPr>
                <w:rFonts w:ascii="Calibri" w:hAnsi="Calibri"/>
                <w:color w:val="222830"/>
                <w:sz w:val="18"/>
              </w:rPr>
              <w:t>53,89</w:t>
            </w:r>
          </w:p>
        </w:tc>
        <w:tc>
          <w:tcPr>
            <w:tcW w:type="dxa" w:w="1361"/>
            <w:shd w:val="clear" w:fill="EDF2F8"/>
          </w:tcPr>
          <w:p>
            <w:pPr>
              <w:keepNext/>
              <w:spacing w:before="40" w:after="40"/>
            </w:pPr>
            <w:r/>
            <w:r>
              <w:rPr>
                <w:rFonts w:ascii="Calibri" w:hAnsi="Calibri"/>
                <w:color w:val="222830"/>
                <w:sz w:val="18"/>
              </w:rPr>
              <w:t>Gestionado</w:t>
            </w:r>
          </w:p>
        </w:tc>
        <w:tc>
          <w:tcPr>
            <w:tcW w:type="dxa" w:w="1928"/>
            <w:shd w:val="clear" w:fill="EDF2F8"/>
          </w:tcPr>
          <w:p>
            <w:pPr>
              <w:keepNext/>
              <w:spacing w:before="40" w:after="40"/>
            </w:pPr>
            <w:r/>
            <w:r>
              <w:rPr>
                <w:rFonts w:ascii="Calibri" w:hAnsi="Calibri"/>
                <w:color w:val="222830"/>
                <w:sz w:val="18"/>
              </w:rPr>
              <w:t>45,17</w:t>
            </w:r>
          </w:p>
        </w:tc>
      </w:tr>
      <w:tr>
        <w:tc>
          <w:tcPr>
            <w:tcW w:type="dxa" w:w="794"/>
          </w:tcPr>
          <w:p>
            <w:pPr>
              <w:keepNext/>
              <w:spacing w:before="40" w:after="40"/>
            </w:pPr>
            <w:r/>
            <w:r>
              <w:rPr>
                <w:rFonts w:ascii="Calibri" w:hAnsi="Calibri"/>
                <w:color w:val="222830"/>
                <w:sz w:val="18"/>
              </w:rPr>
              <w:t>I13</w:t>
            </w:r>
          </w:p>
        </w:tc>
        <w:tc>
          <w:tcPr>
            <w:tcW w:type="dxa" w:w="3628"/>
          </w:tcPr>
          <w:p>
            <w:pPr>
              <w:keepNext/>
              <w:spacing w:before="40" w:after="40"/>
            </w:pPr>
            <w:r/>
            <w:r>
              <w:rPr>
                <w:rFonts w:ascii="Calibri" w:hAnsi="Calibri"/>
                <w:color w:val="222830"/>
                <w:sz w:val="18"/>
              </w:rPr>
              <w:t>Capacitación y cobertura</w:t>
            </w:r>
          </w:p>
        </w:tc>
        <w:tc>
          <w:tcPr>
            <w:tcW w:type="dxa" w:w="1361"/>
          </w:tcPr>
          <w:p>
            <w:pPr>
              <w:keepNext/>
              <w:spacing w:before="40" w:after="40"/>
            </w:pPr>
            <w:r/>
            <w:r>
              <w:rPr>
                <w:rFonts w:ascii="Calibri" w:hAnsi="Calibri"/>
                <w:color w:val="222830"/>
                <w:sz w:val="18"/>
              </w:rPr>
              <w:t>47,78</w:t>
            </w:r>
          </w:p>
        </w:tc>
        <w:tc>
          <w:tcPr>
            <w:tcW w:type="dxa" w:w="1361"/>
          </w:tcPr>
          <w:p>
            <w:pPr>
              <w:keepNext/>
              <w:spacing w:before="40" w:after="40"/>
            </w:pPr>
            <w:r/>
            <w:r>
              <w:rPr>
                <w:rFonts w:ascii="Calibri" w:hAnsi="Calibri"/>
                <w:color w:val="222830"/>
                <w:sz w:val="18"/>
              </w:rPr>
              <w:t>Básico</w:t>
            </w:r>
          </w:p>
        </w:tc>
        <w:tc>
          <w:tcPr>
            <w:tcW w:type="dxa" w:w="1928"/>
          </w:tcPr>
          <w:p>
            <w:pPr>
              <w:keepNext/>
              <w:spacing w:before="40" w:after="40"/>
            </w:pPr>
            <w:r/>
            <w:r>
              <w:rPr>
                <w:rFonts w:ascii="Calibri" w:hAnsi="Calibri"/>
                <w:color w:val="222830"/>
                <w:sz w:val="18"/>
              </w:rPr>
              <w:t>51,28</w:t>
            </w:r>
          </w:p>
        </w:tc>
      </w:tr>
      <w:tr>
        <w:tc>
          <w:tcPr>
            <w:tcW w:type="dxa" w:w="794"/>
            <w:shd w:val="clear" w:fill="EDF2F8"/>
          </w:tcPr>
          <w:p>
            <w:pPr>
              <w:spacing w:before="40" w:after="40"/>
            </w:pPr>
            <w:r/>
            <w:r>
              <w:rPr>
                <w:rFonts w:ascii="Calibri" w:hAnsi="Calibri"/>
                <w:color w:val="222830"/>
                <w:sz w:val="18"/>
              </w:rPr>
              <w:t>I14</w:t>
            </w:r>
          </w:p>
        </w:tc>
        <w:tc>
          <w:tcPr>
            <w:tcW w:type="dxa" w:w="3628"/>
            <w:shd w:val="clear" w:fill="EDF2F8"/>
          </w:tcPr>
          <w:p>
            <w:pPr>
              <w:spacing w:before="40" w:after="40"/>
            </w:pPr>
            <w:r/>
            <w:r>
              <w:rPr>
                <w:rFonts w:ascii="Calibri" w:hAnsi="Calibri"/>
                <w:color w:val="222830"/>
                <w:sz w:val="18"/>
              </w:rPr>
              <w:t>Métricas y mejora continua</w:t>
            </w:r>
          </w:p>
        </w:tc>
        <w:tc>
          <w:tcPr>
            <w:tcW w:type="dxa" w:w="1361"/>
            <w:shd w:val="clear" w:fill="EDF2F8"/>
          </w:tcPr>
          <w:p>
            <w:pPr>
              <w:spacing w:before="40" w:after="40"/>
            </w:pPr>
            <w:r/>
            <w:r>
              <w:rPr>
                <w:rFonts w:ascii="Calibri" w:hAnsi="Calibri"/>
                <w:color w:val="222830"/>
                <w:sz w:val="18"/>
              </w:rPr>
              <w:t>53,89</w:t>
            </w:r>
          </w:p>
        </w:tc>
        <w:tc>
          <w:tcPr>
            <w:tcW w:type="dxa" w:w="1361"/>
            <w:shd w:val="clear" w:fill="EDF2F8"/>
          </w:tcPr>
          <w:p>
            <w:pPr>
              <w:spacing w:before="40" w:after="40"/>
            </w:pPr>
            <w:r/>
            <w:r>
              <w:rPr>
                <w:rFonts w:ascii="Calibri" w:hAnsi="Calibri"/>
                <w:color w:val="222830"/>
                <w:sz w:val="18"/>
              </w:rPr>
              <w:t>Gestionado</w:t>
            </w:r>
          </w:p>
        </w:tc>
        <w:tc>
          <w:tcPr>
            <w:tcW w:type="dxa" w:w="1928"/>
            <w:shd w:val="clear" w:fill="EDF2F8"/>
          </w:tcPr>
          <w:p>
            <w:pPr>
              <w:spacing w:before="40" w:after="40"/>
            </w:pPr>
            <w:r/>
            <w:r>
              <w:rPr>
                <w:rFonts w:ascii="Calibri" w:hAnsi="Calibri"/>
                <w:color w:val="222830"/>
                <w:sz w:val="18"/>
              </w:rPr>
              <w:t>45,17</w:t>
            </w:r>
          </w:p>
        </w:tc>
      </w:tr>
    </w:tbl>
    <w:p>
      <w:pPr>
        <w:spacing w:after="200"/>
      </w:pPr>
    </w:p>
    <w:p>
      <w:pPr>
        <w:spacing w:before="200" w:after="80"/>
        <w:jc w:val="center"/>
      </w:pPr>
      <w:r>
        <w:drawing>
          <wp:inline xmlns:a="http://schemas.openxmlformats.org/drawingml/2006/main" xmlns:pic="http://schemas.openxmlformats.org/drawingml/2006/picture">
            <wp:extent cx="5760000" cy="2940000"/>
            <wp:docPr id="17" name="Picture 17"/>
            <wp:cNvGraphicFramePr>
              <a:graphicFrameLocks noChangeAspect="1"/>
            </wp:cNvGraphicFramePr>
            <a:graphic>
              <a:graphicData uri="http://schemas.openxmlformats.org/drawingml/2006/picture">
                <pic:pic>
                  <pic:nvPicPr>
                    <pic:cNvPr id="0" name="inst.png"/>
                    <pic:cNvPicPr/>
                  </pic:nvPicPr>
                  <pic:blipFill>
                    <a:blip r:embed="rId25"/>
                    <a:stretch>
                      <a:fillRect/>
                    </a:stretch>
                  </pic:blipFill>
                  <pic:spPr>
                    <a:xfrm>
                      <a:off x="0" y="0"/>
                      <a:ext cx="5760000" cy="2940000"/>
                    </a:xfrm>
                    <a:prstGeom prst="rect"/>
                  </pic:spPr>
                </pic:pic>
              </a:graphicData>
            </a:graphic>
          </wp:inline>
        </w:drawing>
      </w:r>
    </w:p>
    <w:p>
      <w:pPr>
        <w:spacing w:before="40" w:after="40"/>
        <w:jc w:val="center"/>
      </w:pPr>
      <w:r>
        <w:rPr>
          <w:rFonts w:ascii="Times New Roman" w:hAnsi="Times New Roman"/>
          <w:color w:val="222830"/>
          <w:sz w:val="20"/>
        </w:rPr>
        <w:t xml:space="preserve">Figura 17. </w:t>
      </w:r>
      <w:r>
        <w:rPr>
          <w:rFonts w:ascii="Times New Roman" w:hAnsi="Times New Roman"/>
          <w:i/>
          <w:color w:val="222830"/>
          <w:sz w:val="20"/>
        </w:rPr>
        <w:t>Madurez diagnosticada y cumplimiento global comunicado sobre la escala de cortes de la ficha técnica.</w:t>
      </w:r>
    </w:p>
    <w:p>
      <w:pPr>
        <w:spacing w:before="0" w:after="240"/>
        <w:ind w:left="283"/>
        <w:jc w:val="both"/>
      </w:pPr>
      <w:r>
        <w:rPr>
          <w:rFonts w:ascii="Times New Roman" w:hAnsi="Times New Roman"/>
          <w:color w:val="5A6878"/>
          <w:sz w:val="18"/>
        </w:rPr>
        <w:t>Nota. El 52,70 % procede del autoinforme de treinta respondentes y el 99,06 % de la comunicación institucional. La diferencia es de 46,36 puntos porcentuales. Fuente: apartado 4.1 del marco práctico y comunicación institucional del Servicio de Impuestos Nacionales.</w:t>
      </w:r>
    </w:p>
    <w:tbl>
      <w:tblPr>
        <w:tblStyle w:val="TableGrid"/>
        <w:tblW w:type="auto" w:w="0"/>
        <w:jc w:val="center"/>
        <w:tblLayout w:type="fixed"/>
        <w:tblLook w:firstColumn="1" w:firstRow="1" w:lastColumn="0" w:lastRow="0" w:noHBand="0" w:noVBand="1" w:val="04A0"/>
        <w:tblCellMar>
          <w:top w:w="60" w:type="dxa"/>
          <w:left w:w="110" w:type="dxa"/>
          <w:bottom w:w="60" w:type="dxa"/>
          <w:right w:w="110" w:type="dxa"/>
        </w:tblCellMar>
        <w:tblLayout w:type="fixed"/>
      </w:tblPr>
      <w:tblGrid>
        <w:gridCol w:w="2494"/>
        <w:gridCol w:w="1814"/>
        <w:gridCol w:w="2494"/>
        <w:gridCol w:w="2268"/>
      </w:tblGrid>
      <w:tr>
        <w:trPr>
          <w:tblHeader w:val="true"/>
        </w:trPr>
        <w:tc>
          <w:tcPr>
            <w:tcW w:type="dxa" w:w="2494"/>
            <w:shd w:val="clear" w:fill="1F3864"/>
          </w:tcPr>
          <w:p>
            <w:pPr>
              <w:keepNext/>
              <w:spacing w:before="40" w:after="40"/>
            </w:pPr>
            <w:r/>
            <w:r>
              <w:rPr>
                <w:rFonts w:ascii="Calibri" w:hAnsi="Calibri"/>
                <w:b/>
                <w:color w:val="FFFFFF"/>
                <w:sz w:val="18"/>
              </w:rPr>
              <w:t>Fuente</w:t>
            </w:r>
          </w:p>
        </w:tc>
        <w:tc>
          <w:tcPr>
            <w:tcW w:type="dxa" w:w="1814"/>
            <w:shd w:val="clear" w:fill="1F3864"/>
          </w:tcPr>
          <w:p>
            <w:pPr>
              <w:keepNext/>
              <w:spacing w:before="40" w:after="40"/>
            </w:pPr>
            <w:r/>
            <w:r>
              <w:rPr>
                <w:rFonts w:ascii="Calibri" w:hAnsi="Calibri"/>
                <w:b/>
                <w:color w:val="FFFFFF"/>
                <w:sz w:val="18"/>
              </w:rPr>
              <w:t>Resultado</w:t>
            </w:r>
          </w:p>
        </w:tc>
        <w:tc>
          <w:tcPr>
            <w:tcW w:type="dxa" w:w="2494"/>
            <w:shd w:val="clear" w:fill="1F3864"/>
          </w:tcPr>
          <w:p>
            <w:pPr>
              <w:keepNext/>
              <w:spacing w:before="40" w:after="40"/>
            </w:pPr>
            <w:r/>
            <w:r>
              <w:rPr>
                <w:rFonts w:ascii="Calibri" w:hAnsi="Calibri"/>
                <w:b/>
                <w:color w:val="FFFFFF"/>
                <w:sz w:val="18"/>
              </w:rPr>
              <w:t>Naturaleza del dato</w:t>
            </w:r>
          </w:p>
        </w:tc>
        <w:tc>
          <w:tcPr>
            <w:tcW w:type="dxa" w:w="2268"/>
            <w:shd w:val="clear" w:fill="1F3864"/>
          </w:tcPr>
          <w:p>
            <w:pPr>
              <w:keepNext/>
              <w:spacing w:before="40" w:after="40"/>
            </w:pPr>
            <w:r/>
            <w:r>
              <w:rPr>
                <w:rFonts w:ascii="Calibri" w:hAnsi="Calibri"/>
                <w:b/>
                <w:color w:val="FFFFFF"/>
                <w:sz w:val="18"/>
              </w:rPr>
              <w:t>Respaldo disponible</w:t>
            </w:r>
          </w:p>
        </w:tc>
      </w:tr>
      <w:tr>
        <w:tc>
          <w:tcPr>
            <w:tcW w:type="dxa" w:w="2494"/>
          </w:tcPr>
          <w:p>
            <w:pPr>
              <w:keepNext/>
              <w:spacing w:before="40" w:after="40"/>
            </w:pPr>
            <w:r/>
            <w:r>
              <w:rPr>
                <w:rFonts w:ascii="Calibri" w:hAnsi="Calibri"/>
                <w:color w:val="222830"/>
                <w:sz w:val="18"/>
              </w:rPr>
              <w:t>Laboratorio · Prototipo II</w:t>
            </w:r>
          </w:p>
        </w:tc>
        <w:tc>
          <w:tcPr>
            <w:tcW w:type="dxa" w:w="1814"/>
          </w:tcPr>
          <w:p>
            <w:pPr>
              <w:keepNext/>
              <w:spacing w:before="40" w:after="40"/>
            </w:pPr>
            <w:r/>
            <w:r>
              <w:rPr>
                <w:rFonts w:ascii="Calibri" w:hAnsi="Calibri"/>
                <w:color w:val="222830"/>
                <w:sz w:val="18"/>
              </w:rPr>
              <w:t>10 de 10 escenarios medidos</w:t>
            </w:r>
          </w:p>
        </w:tc>
        <w:tc>
          <w:tcPr>
            <w:tcW w:type="dxa" w:w="2494"/>
          </w:tcPr>
          <w:p>
            <w:pPr>
              <w:keepNext/>
              <w:spacing w:before="40" w:after="40"/>
            </w:pPr>
            <w:r/>
            <w:r>
              <w:rPr>
                <w:rFonts w:ascii="Calibri" w:hAnsi="Calibri"/>
                <w:color w:val="222830"/>
                <w:sz w:val="18"/>
              </w:rPr>
              <w:t>Ejecución verificada sobre archivos de evidencia</w:t>
            </w:r>
          </w:p>
        </w:tc>
        <w:tc>
          <w:tcPr>
            <w:tcW w:type="dxa" w:w="2268"/>
          </w:tcPr>
          <w:p>
            <w:pPr>
              <w:keepNext/>
              <w:spacing w:before="40" w:after="40"/>
            </w:pPr>
            <w:r/>
            <w:r>
              <w:rPr>
                <w:rFonts w:ascii="Calibri" w:hAnsi="Calibri"/>
                <w:color w:val="222830"/>
                <w:sz w:val="18"/>
              </w:rPr>
              <w:t>Reportes de indicadores de las dos iteraciones</w:t>
            </w:r>
          </w:p>
        </w:tc>
      </w:tr>
      <w:tr>
        <w:tc>
          <w:tcPr>
            <w:tcW w:type="dxa" w:w="2494"/>
            <w:shd w:val="clear" w:fill="EDF2F8"/>
          </w:tcPr>
          <w:p>
            <w:pPr>
              <w:keepNext/>
              <w:spacing w:before="40" w:after="40"/>
            </w:pPr>
            <w:r/>
            <w:r>
              <w:rPr>
                <w:rFonts w:ascii="Calibri" w:hAnsi="Calibri"/>
                <w:color w:val="222830"/>
                <w:sz w:val="18"/>
              </w:rPr>
              <w:t>Laboratorio · Prototipo II</w:t>
            </w:r>
          </w:p>
        </w:tc>
        <w:tc>
          <w:tcPr>
            <w:tcW w:type="dxa" w:w="1814"/>
            <w:shd w:val="clear" w:fill="EDF2F8"/>
          </w:tcPr>
          <w:p>
            <w:pPr>
              <w:keepNext/>
              <w:spacing w:before="40" w:after="40"/>
            </w:pPr>
            <w:r/>
            <w:r>
              <w:rPr>
                <w:rFonts w:ascii="Calibri" w:hAnsi="Calibri"/>
                <w:color w:val="222830"/>
                <w:sz w:val="18"/>
              </w:rPr>
              <w:t>Percentil 95 de 9,266 s</w:t>
            </w:r>
          </w:p>
        </w:tc>
        <w:tc>
          <w:tcPr>
            <w:tcW w:type="dxa" w:w="2494"/>
            <w:shd w:val="clear" w:fill="EDF2F8"/>
          </w:tcPr>
          <w:p>
            <w:pPr>
              <w:keepNext/>
              <w:spacing w:before="40" w:after="40"/>
            </w:pPr>
            <w:r/>
            <w:r>
              <w:rPr>
                <w:rFonts w:ascii="Calibri" w:hAnsi="Calibri"/>
                <w:color w:val="222830"/>
                <w:sz w:val="18"/>
              </w:rPr>
              <w:t>Ejecución verificada sobre archivos de evidencia</w:t>
            </w:r>
          </w:p>
        </w:tc>
        <w:tc>
          <w:tcPr>
            <w:tcW w:type="dxa" w:w="2268"/>
            <w:shd w:val="clear" w:fill="EDF2F8"/>
          </w:tcPr>
          <w:p>
            <w:pPr>
              <w:keepNext/>
              <w:spacing w:before="40" w:after="40"/>
            </w:pPr>
            <w:r/>
            <w:r>
              <w:rPr>
                <w:rFonts w:ascii="Calibri" w:hAnsi="Calibri"/>
                <w:color w:val="222830"/>
                <w:sz w:val="18"/>
              </w:rPr>
              <w:t>Reporte de indicadores de la segunda iteración</w:t>
            </w:r>
          </w:p>
        </w:tc>
      </w:tr>
      <w:tr>
        <w:tc>
          <w:tcPr>
            <w:tcW w:type="dxa" w:w="2494"/>
          </w:tcPr>
          <w:p>
            <w:pPr>
              <w:keepNext/>
              <w:spacing w:before="40" w:after="40"/>
            </w:pPr>
            <w:r/>
            <w:r>
              <w:rPr>
                <w:rFonts w:ascii="Calibri" w:hAnsi="Calibri"/>
                <w:color w:val="222830"/>
                <w:sz w:val="18"/>
              </w:rPr>
              <w:t>Comunicación del Servicio de Impuestos Nacionales</w:t>
            </w:r>
          </w:p>
        </w:tc>
        <w:tc>
          <w:tcPr>
            <w:tcW w:type="dxa" w:w="1814"/>
          </w:tcPr>
          <w:p>
            <w:pPr>
              <w:keepNext/>
              <w:spacing w:before="40" w:after="40"/>
            </w:pPr>
            <w:r/>
            <w:r>
              <w:rPr>
                <w:rFonts w:ascii="Calibri" w:hAnsi="Calibri"/>
                <w:color w:val="222830"/>
                <w:sz w:val="18"/>
              </w:rPr>
              <w:t>99,06 %</w:t>
            </w:r>
          </w:p>
        </w:tc>
        <w:tc>
          <w:tcPr>
            <w:tcW w:type="dxa" w:w="2494"/>
          </w:tcPr>
          <w:p>
            <w:pPr>
              <w:keepNext/>
              <w:spacing w:before="40" w:after="40"/>
            </w:pPr>
            <w:r/>
            <w:r>
              <w:rPr>
                <w:rFonts w:ascii="Calibri" w:hAnsi="Calibri"/>
                <w:color w:val="222830"/>
                <w:sz w:val="18"/>
              </w:rPr>
              <w:t>Dato agregado comunicado por la institución</w:t>
            </w:r>
          </w:p>
        </w:tc>
        <w:tc>
          <w:tcPr>
            <w:tcW w:type="dxa" w:w="2268"/>
          </w:tcPr>
          <w:p>
            <w:pPr>
              <w:keepNext/>
              <w:spacing w:before="40" w:after="40"/>
            </w:pPr>
            <w:r/>
            <w:r>
              <w:rPr>
                <w:rFonts w:ascii="Calibri" w:hAnsi="Calibri"/>
                <w:color w:val="222830"/>
                <w:sz w:val="18"/>
              </w:rPr>
              <w:t>Comunicación institucional escrita</w:t>
            </w:r>
          </w:p>
        </w:tc>
      </w:tr>
      <w:tr>
        <w:tc>
          <w:tcPr>
            <w:tcW w:type="dxa" w:w="2494"/>
            <w:shd w:val="clear" w:fill="EDF2F8"/>
          </w:tcPr>
          <w:p>
            <w:pPr>
              <w:spacing w:before="40" w:after="40"/>
            </w:pPr>
            <w:r/>
            <w:r>
              <w:rPr>
                <w:rFonts w:ascii="Calibri" w:hAnsi="Calibri"/>
                <w:color w:val="222830"/>
                <w:sz w:val="18"/>
              </w:rPr>
              <w:t>Diagnóstico institucional, apartado 4.1</w:t>
            </w:r>
          </w:p>
        </w:tc>
        <w:tc>
          <w:tcPr>
            <w:tcW w:type="dxa" w:w="1814"/>
            <w:shd w:val="clear" w:fill="EDF2F8"/>
          </w:tcPr>
          <w:p>
            <w:pPr>
              <w:spacing w:before="40" w:after="40"/>
            </w:pPr>
            <w:r/>
            <w:r>
              <w:rPr>
                <w:rFonts w:ascii="Calibri" w:hAnsi="Calibri"/>
                <w:color w:val="222830"/>
                <w:sz w:val="18"/>
              </w:rPr>
              <w:t>52,70 % de madurez global</w:t>
            </w:r>
          </w:p>
        </w:tc>
        <w:tc>
          <w:tcPr>
            <w:tcW w:type="dxa" w:w="2494"/>
            <w:shd w:val="clear" w:fill="EDF2F8"/>
          </w:tcPr>
          <w:p>
            <w:pPr>
              <w:spacing w:before="40" w:after="40"/>
            </w:pPr>
            <w:r/>
            <w:r>
              <w:rPr>
                <w:rFonts w:ascii="Calibri" w:hAnsi="Calibri"/>
                <w:color w:val="222830"/>
                <w:sz w:val="18"/>
              </w:rPr>
              <w:t>Autoinforme de 30 respondentes, α = 0,869</w:t>
            </w:r>
          </w:p>
        </w:tc>
        <w:tc>
          <w:tcPr>
            <w:tcW w:type="dxa" w:w="2268"/>
            <w:shd w:val="clear" w:fill="EDF2F8"/>
          </w:tcPr>
          <w:p>
            <w:pPr>
              <w:spacing w:before="40" w:after="40"/>
            </w:pPr>
            <w:r/>
            <w:r>
              <w:rPr>
                <w:rFonts w:ascii="Calibri" w:hAnsi="Calibri"/>
                <w:color w:val="222830"/>
                <w:sz w:val="18"/>
              </w:rPr>
              <w:t>Matriz de 30 por 42 conservada en el repositorio</w:t>
            </w:r>
          </w:p>
        </w:tc>
      </w:tr>
    </w:tbl>
    <w:p>
      <w:pPr>
        <w:spacing w:after="12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Los indicadores del laboratorio no aparecen en esta escala porque no comparten unidad con ella. Un tiempo de detección expresado en segundos y un porcentaje de cumplimiento se responden a preguntas distintas, de manera que reunirlos en un mismo eje produciría una lectura sin sentido. Cada fuente se presenta en su propia escala y se enlaza con las demás por función, según muestra la tabla siguiente.</w:t>
            </w:r>
          </w:p>
        </w:tc>
      </w:tr>
    </w:tbl>
    <w:p>
      <w:pPr>
        <w:spacing w:after="80"/>
      </w:pPr>
    </w:p>
    <w:tbl>
      <w:tblPr>
        <w:tblW w:type="auto" w:w="0"/>
        <w:jc w:val="center"/>
        <w:tblLook w:firstColumn="1" w:firstRow="1" w:lastColumn="0" w:lastRow="0" w:noHBand="0" w:noVBand="1" w:val="04A0"/>
        <w:tblCellMar>
          <w:top w:w="120" w:type="dxa"/>
          <w:left w:w="160" w:type="dxa"/>
          <w:bottom w:w="120" w:type="dxa"/>
          <w:right w:w="160" w:type="dxa"/>
        </w:tblCellMar>
      </w:tblPr>
      <w:tblGrid>
        <w:gridCol w:w="9072"/>
      </w:tblGrid>
      <w:tr>
        <w:tc>
          <w:tcPr>
            <w:tcW w:type="dxa" w:w="9071"/>
            <w:shd w:val="clear" w:fill="F2F6FB"/>
            <w:tcBorders>
              <w:left w:val="single" w:sz="24" w:color="4A7EBB"/>
            </w:tcBorders>
          </w:tcPr>
          <w:p>
            <w:pPr>
              <w:spacing w:after="0"/>
              <w:jc w:val="both"/>
            </w:pPr>
            <w:r/>
            <w:r>
              <w:rPr>
                <w:rFonts w:ascii="Times New Roman" w:hAnsi="Times New Roman"/>
                <w:color w:val="33404F"/>
                <w:sz w:val="21"/>
              </w:rPr>
              <w:t>El 99,06 % se sitúa en el nivel Optimizado de la ficha técnica, cuyo corte inferior es el 76 %, y expresa el nivel que la institución atribuye a su propio proceso de gestión de incidentes después de la intervención. La consecuencia interpretativa es relevante, porque sitúa a la institución fuera del corredor de madurez intermedia en el que se ubicaba el diagnóstico del apartado 4.1.</w:t>
            </w:r>
          </w:p>
        </w:tc>
      </w:tr>
    </w:tbl>
    <w:p>
      <w:pPr>
        <w:spacing w:after="80"/>
      </w:pPr>
    </w:p>
    <w:p>
      <w:pPr>
        <w:keepNext/>
        <w:spacing w:before="280" w:after="160"/>
        <w:outlineLvl w:val="1"/>
      </w:pPr>
      <w:r>
        <w:rPr>
          <w:rFonts w:ascii="Times New Roman" w:hAnsi="Times New Roman"/>
          <w:b/>
          <w:color w:val="1F3864"/>
          <w:sz w:val="27"/>
        </w:rPr>
        <w:t>Origen de los datos</w:t>
      </w:r>
    </w:p>
    <w:p>
      <w:pPr>
        <w:spacing w:after="160" w:line="360" w:lineRule="auto"/>
        <w:jc w:val="left"/>
      </w:pPr>
      <w:r>
        <w:rPr>
          <w:rFonts w:ascii="Times New Roman" w:hAnsi="Times New Roman"/>
          <w:color w:val="222830"/>
          <w:sz w:val="24"/>
        </w:rPr>
        <w:t>Metodología Honeypot para la Gestión de Incidentes en Servicios Fiscales conforme a Normas Internacionales. Tesis de maestría. Capítulo IV, Marco Práctico. Dashboard de resultados del Prototipo II, ejecutado sobre el contexto del Servicio de Impuestos Nacionales de Bolivia. La cifra de 99,06 % procede de la comunicación institucional del Servicio de Impuestos Nacionales y se presenta como dato agregado, con la fuente que la origina. Las demás cifras de este tablero proceden de un archivo del repositorio y declaran su origen: v2.0-it1/07-metricas/kpi_report.json , v2.1-it2/07-metricas/kpi_report.json , v2.0-it1/07-metricas/mitre_coverage.json , evidencias/lecciones-aprendidas.md , evidencias/INDICE.md , la matriz de 30 por 42 del diagnóstico y el historial de commits. Ningún valor fue estimado ni completado por analogía. El capítulo de resultados no incluye comprobación de hipótesis.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