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60cc92bde47263171c1764b274818a00fa0f982"/>
    <w:p>
      <w:pPr>
        <w:pStyle w:val="Heading1"/>
      </w:pPr>
      <w:r>
        <w:t xml:space="preserve">CODEFLOWX - INFORME TÉCNICO DE COMPLIANCE</w:t>
      </w:r>
    </w:p>
    <w:bookmarkStart w:id="20" w:name="Xac3617d09708070df13edefc3e21d2f2c1c8937"/>
    <w:p>
      <w:pPr>
        <w:pStyle w:val="Heading2"/>
      </w:pPr>
      <w:r>
        <w:t xml:space="preserve">Plataforma de Gobierno de Inteligencia Artificial - Reglamento (UE) 2024/1689</w:t>
      </w:r>
    </w:p>
    <w:p>
      <w:pPr>
        <w:pStyle w:val="FirstParagraph"/>
      </w:pPr>
      <w:r>
        <w:rPr>
          <w:bCs/>
          <w:b/>
        </w:rPr>
        <w:t xml:space="preserve">Destinatario:</w:t>
      </w:r>
      <w:r>
        <w:t xml:space="preserve"> </w:t>
      </w:r>
      <w:r>
        <w:t xml:space="preserve">Dra. [Nombre], Profesora de Compliance y Gobierno de IA, Universidad de Sevilla</w:t>
      </w:r>
      <w:r>
        <w:br/>
      </w:r>
      <w:r>
        <w:rPr>
          <w:bCs/>
          <w:b/>
        </w:rPr>
        <w:t xml:space="preserve">Remitente:</w:t>
      </w:r>
      <w:r>
        <w:t xml:space="preserve"> </w:t>
      </w:r>
      <w:r>
        <w:t xml:space="preserve">Manuel González, CodeflowX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Noviembre 2025</w:t>
      </w:r>
      <w:r>
        <w:br/>
      </w:r>
      <w:r>
        <w:rPr>
          <w:bCs/>
          <w:b/>
        </w:rPr>
        <w:t xml:space="preserve">Propósito:</w:t>
      </w:r>
      <w:r>
        <w:t xml:space="preserve"> </w:t>
      </w:r>
      <w:r>
        <w:t xml:space="preserve">Actualización técnica sobre cobertura normativa del Reglamento UE 2024/1689</w:t>
      </w:r>
    </w:p>
    <w:p>
      <w:r>
        <w:pict>
          <v:rect style="width:0;height:1.5pt" o:hralign="center" o:hrstd="t" o:hr="t"/>
        </w:pict>
      </w:r>
    </w:p>
    <w:bookmarkEnd w:id="20"/>
    <w:bookmarkStart w:id="21" w:name="Xc8f6ed3e77cf17a5547c4603a3c56e1bebc7629"/>
    <w:p>
      <w:pPr>
        <w:pStyle w:val="Heading2"/>
      </w:pPr>
      <w:r>
        <w:t xml:space="preserve">1. CONTEXTO Y EVOLUCIÓN DESDE ÚLTIMA INTERACCIÓN</w:t>
      </w:r>
    </w:p>
    <w:p>
      <w:pPr>
        <w:pStyle w:val="FirstParagraph"/>
      </w:pPr>
      <w:r>
        <w:t xml:space="preserve">Cuando tuvo oportunidad de revisar nuestra plataforma, CodeflowX se encontraba en fase de desarrollo temprana, con funcionalidades básicas de observabilidad de modelos de lenguaje.</w:t>
      </w:r>
    </w:p>
    <w:p>
      <w:pPr>
        <w:pStyle w:val="BodyText"/>
      </w:pPr>
      <w:r>
        <w:t xml:space="preserve">Desde entonces, hemos reorientado completamente el producto hacia el cumplimiento integral del Reglamento (UE) 2024/1689 del Parlamento Europeo y del Consejo, de 13 de junio de 2024, por el que se establecen normas armonizadas en materia de inteligencia artificial.</w:t>
      </w:r>
    </w:p>
    <w:p>
      <w:pPr>
        <w:pStyle w:val="BodyText"/>
      </w:pPr>
      <w:r>
        <w:rPr>
          <w:bCs/>
          <w:b/>
        </w:rPr>
        <w:t xml:space="preserve">Cambio Estratégico:</w:t>
      </w:r>
      <w:r>
        <w:br/>
      </w:r>
      <w:r>
        <w:t xml:space="preserve">De</w:t>
      </w:r>
      <w:r>
        <w:t xml:space="preserve"> </w:t>
      </w:r>
      <w:r>
        <w:t xml:space="preserve">“</w:t>
      </w:r>
      <w:r>
        <w:t xml:space="preserve">plataforma de observabilidad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plataforma de gobierno y cumplimiento normativo con verificación exhaustiva contra el texto oficial del Reglamento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4" w:name="metodología-de-verificación-normativa"/>
    <w:p>
      <w:pPr>
        <w:pStyle w:val="Heading2"/>
      </w:pPr>
      <w:r>
        <w:t xml:space="preserve">2. METODOLOGÍA DE VERIFICACIÓN NORMATIVA</w:t>
      </w:r>
    </w:p>
    <w:bookmarkStart w:id="22" w:name="análisis-documental"/>
    <w:p>
      <w:pPr>
        <w:pStyle w:val="Heading3"/>
      </w:pPr>
      <w:r>
        <w:t xml:space="preserve">2.1 Análisis Documental</w:t>
      </w:r>
    </w:p>
    <w:p>
      <w:pPr>
        <w:pStyle w:val="FirstParagraph"/>
      </w:pPr>
      <w:r>
        <w:t xml:space="preserve">Hemos realizado una</w:t>
      </w:r>
      <w:r>
        <w:t xml:space="preserve"> </w:t>
      </w:r>
      <w:r>
        <w:rPr>
          <w:bCs/>
          <w:b/>
        </w:rPr>
        <w:t xml:space="preserve">verificación exhaustiva artículo por artículo</w:t>
      </w:r>
      <w:r>
        <w:t xml:space="preserve"> </w:t>
      </w:r>
      <w:r>
        <w:t xml:space="preserve">contra el documento oficial (Diario Oficial de la Unión Europea L, 2024/1689), incluyendo: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32 artículos</w:t>
      </w:r>
      <w:r>
        <w:t xml:space="preserve"> </w:t>
      </w:r>
      <w:r>
        <w:t xml:space="preserve">aplicables a proveedores y responsables del despliegue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13 anexos técnicos</w:t>
      </w:r>
      <w:r>
        <w:t xml:space="preserve"> </w:t>
      </w:r>
      <w:r>
        <w:t xml:space="preserve">(Anexos I-XIII)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Identificación de 65 requisitos específicos</w:t>
      </w:r>
      <w:r>
        <w:t xml:space="preserve"> </w:t>
      </w:r>
      <w:r>
        <w:t xml:space="preserve">no cubiertos por herramientas de mercado actuales</w:t>
      </w:r>
    </w:p>
    <w:p>
      <w:pPr>
        <w:pStyle w:val="FirstParagraph"/>
      </w:pPr>
      <w:r>
        <w:t xml:space="preserve">Esta verificación documentada permite establecer una base objetiva de cumplimiento, alejada de afirmaciones genéricas de marketing.</w:t>
      </w:r>
    </w:p>
    <w:bookmarkEnd w:id="22"/>
    <w:bookmarkStart w:id="23" w:name="clasificación-de-requisitos"/>
    <w:p>
      <w:pPr>
        <w:pStyle w:val="Heading3"/>
      </w:pPr>
      <w:r>
        <w:t xml:space="preserve">2.2 Clasificación de Requisitos</w:t>
      </w:r>
    </w:p>
    <w:p>
      <w:pPr>
        <w:pStyle w:val="FirstParagraph"/>
      </w:pPr>
      <w:r>
        <w:t xml:space="preserve">Los 65 requisitos identificados se distribuyen en:</w:t>
      </w:r>
    </w:p>
    <w:p>
      <w:pPr>
        <w:pStyle w:val="BodyText"/>
      </w:pPr>
      <w:r>
        <w:rPr>
          <w:bCs/>
          <w:b/>
        </w:rPr>
        <w:t xml:space="preserve">Fase I - Sistemas de Alto Riesgo (Art. 6-27):</w:t>
      </w:r>
      <w:r>
        <w:t xml:space="preserve"> </w:t>
      </w:r>
      <w:r>
        <w:t xml:space="preserve">48 requisitos</w:t>
      </w:r>
      <w:r>
        <w:t xml:space="preserve"> </w:t>
      </w:r>
      <w:r>
        <w:t xml:space="preserve">- Requisitos técnicos (Art. 9-15): Sistema de gestión de riesgos, gobierno de datos, documentación técnica, transparencia, supervisión humana, exactitud y robustez</w:t>
      </w:r>
      <w:r>
        <w:t xml:space="preserve"> </w:t>
      </w:r>
      <w:r>
        <w:t xml:space="preserve">- Obligaciones del proveedor (Art. 16-27): Sistema de gestión de calidad, registro de actividad, vigilancia poscomercialización, evaluación de impacto en derechos fundamentales</w:t>
      </w:r>
    </w:p>
    <w:p>
      <w:pPr>
        <w:pStyle w:val="BodyText"/>
      </w:pPr>
      <w:r>
        <w:rPr>
          <w:bCs/>
          <w:b/>
        </w:rPr>
        <w:t xml:space="preserve">Fase II - Modelos GPAI y MLOps (Art. 51-55):</w:t>
      </w:r>
      <w:r>
        <w:t xml:space="preserve"> </w:t>
      </w:r>
      <w:r>
        <w:t xml:space="preserve">15 requisitos</w:t>
      </w:r>
      <w:r>
        <w:t xml:space="preserve"> </w:t>
      </w:r>
      <w:r>
        <w:t xml:space="preserve">- Obligaciones modelos de IA de propósito general</w:t>
      </w:r>
      <w:r>
        <w:t xml:space="preserve"> </w:t>
      </w:r>
      <w:r>
        <w:t xml:space="preserve">- Proveedores descendentes</w:t>
      </w:r>
      <w:r>
        <w:t xml:space="preserve"> </w:t>
      </w:r>
      <w:r>
        <w:t xml:space="preserve">- Modelos con riesgo sistémico</w:t>
      </w:r>
    </w:p>
    <w:p>
      <w:pPr>
        <w:pStyle w:val="BodyText"/>
      </w:pPr>
      <w:r>
        <w:rPr>
          <w:bCs/>
          <w:b/>
        </w:rPr>
        <w:t xml:space="preserve">Anexos Técnicos:</w:t>
      </w:r>
      <w:r>
        <w:t xml:space="preserve"> </w:t>
      </w:r>
      <w:r>
        <w:t xml:space="preserve">Documentación específica requerida por Anexos IV, V, VI, VIII, IX, XI, XII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cobertura-normativa-actual"/>
    <w:p>
      <w:pPr>
        <w:pStyle w:val="Heading2"/>
      </w:pPr>
      <w:r>
        <w:t xml:space="preserve">3. COBERTURA NORMATIVA ACTUAL</w:t>
      </w:r>
    </w:p>
    <w:bookmarkStart w:id="25" w:name="artículos-con-implementación-completa"/>
    <w:p>
      <w:pPr>
        <w:pStyle w:val="Heading3"/>
      </w:pPr>
      <w:r>
        <w:t xml:space="preserve">3.1 Artículos con Implementación Completa</w:t>
      </w:r>
    </w:p>
    <w:p>
      <w:pPr>
        <w:pStyle w:val="FirstParagraph"/>
      </w:pPr>
      <w:r>
        <w:rPr>
          <w:bCs/>
          <w:b/>
        </w:rPr>
        <w:t xml:space="preserve">Art. 9 - Sistema de Gestión de Riesgos:</w:t>
      </w:r>
      <w:r>
        <w:br/>
      </w:r>
      <w:r>
        <w:t xml:space="preserve">Proceso iterativo documentado de identificación, estimación, evaluación y mitigación de riesgos durante todo el ciclo de vida del sistema.</w:t>
      </w:r>
    </w:p>
    <w:p>
      <w:pPr>
        <w:pStyle w:val="BodyText"/>
      </w:pPr>
      <w:r>
        <w:rPr>
          <w:bCs/>
          <w:b/>
        </w:rPr>
        <w:t xml:space="preserve">Art. 10 - Prácticas de Gobernanza de Datos:</w:t>
      </w:r>
      <w:r>
        <w:br/>
      </w:r>
      <w:r>
        <w:t xml:space="preserve">Gobierno de conjuntos de datos (entrenamiento, validación, prueba), incluyendo detección de sesgos, calidad de datos y evaluación de representatividad estadística.</w:t>
      </w:r>
    </w:p>
    <w:p>
      <w:pPr>
        <w:pStyle w:val="BodyText"/>
      </w:pPr>
      <w:r>
        <w:rPr>
          <w:bCs/>
          <w:b/>
        </w:rPr>
        <w:t xml:space="preserve">Art. 11 + Anexo IV - Documentación Técnica:</w:t>
      </w:r>
      <w:r>
        <w:br/>
      </w:r>
      <w:r>
        <w:t xml:space="preserve">Generación de las 9 secciones obligatorias del Anexo IV, con evaluación de completitud y elementos faltantes.</w:t>
      </w:r>
    </w:p>
    <w:p>
      <w:pPr>
        <w:pStyle w:val="BodyText"/>
      </w:pPr>
      <w:r>
        <w:rPr>
          <w:bCs/>
          <w:b/>
        </w:rPr>
        <w:t xml:space="preserve">Art. 12 - Conservación de Registros:</w:t>
      </w:r>
      <w:r>
        <w:br/>
      </w:r>
      <w:r>
        <w:t xml:space="preserve">Registro automático de actividades y generación de logs durante funcionamiento del sistema.</w:t>
      </w:r>
    </w:p>
    <w:p>
      <w:pPr>
        <w:pStyle w:val="BodyText"/>
      </w:pPr>
      <w:r>
        <w:rPr>
          <w:bCs/>
          <w:b/>
        </w:rPr>
        <w:t xml:space="preserve">Art. 13 - Transparencia:</w:t>
      </w:r>
      <w:r>
        <w:br/>
      </w:r>
      <w:r>
        <w:t xml:space="preserve">Información a usuarios sobre funcionamiento del sistema, capacidades, limitaciones y nivel de exactitud esperado.</w:t>
      </w:r>
    </w:p>
    <w:p>
      <w:pPr>
        <w:pStyle w:val="BodyText"/>
      </w:pPr>
      <w:r>
        <w:rPr>
          <w:bCs/>
          <w:b/>
        </w:rPr>
        <w:t xml:space="preserve">Art. 14 - Supervisión Humana:</w:t>
      </w:r>
      <w:r>
        <w:br/>
      </w:r>
      <w:r>
        <w:t xml:space="preserve">Diseño de medidas que permiten a las personas supervisar el sistema (HITL - Human-in-the-Loop), con seguimiento de intervenciones humanas y decisiones anuladas.</w:t>
      </w:r>
    </w:p>
    <w:p>
      <w:pPr>
        <w:pStyle w:val="BodyText"/>
      </w:pPr>
      <w:r>
        <w:rPr>
          <w:bCs/>
          <w:b/>
        </w:rPr>
        <w:t xml:space="preserve">Art. 15 - Exactitud, Robustez y Ciberseguridad:</w:t>
      </w:r>
      <w:r>
        <w:br/>
      </w:r>
      <w:r>
        <w:t xml:space="preserve">- Art. 15.1: Nivel de exactitud y métricas de rendimiento</w:t>
      </w:r>
      <w:r>
        <w:t xml:space="preserve"> </w:t>
      </w:r>
      <w:r>
        <w:t xml:space="preserve">- Art. 15.4: Detección de amplificación de sesgos en bucles de retroalimentación</w:t>
      </w:r>
      <w:r>
        <w:t xml:space="preserve"> </w:t>
      </w:r>
      <w:r>
        <w:t xml:space="preserve">- Art. 15.5: Robustez frente a intentos de manipulación (envenenamiento de datos, ataques de evasión de modelos)</w:t>
      </w:r>
    </w:p>
    <w:p>
      <w:pPr>
        <w:pStyle w:val="BodyText"/>
      </w:pPr>
      <w:r>
        <w:rPr>
          <w:bCs/>
          <w:b/>
        </w:rPr>
        <w:t xml:space="preserve">Art. 17 - Sistema de Gestión de Calidad:</w:t>
      </w:r>
      <w:r>
        <w:br/>
      </w:r>
      <w:r>
        <w:t xml:space="preserve">Los 13 módulos requeridos por el artículo 17, desde estrategia de cumplimiento normativo hasta marco de rendición de cuentas.</w:t>
      </w:r>
    </w:p>
    <w:p>
      <w:pPr>
        <w:pStyle w:val="BodyText"/>
      </w:pPr>
      <w:r>
        <w:rPr>
          <w:bCs/>
          <w:b/>
        </w:rPr>
        <w:t xml:space="preserve">Art. 19 - Registro de Actividad Automático:</w:t>
      </w:r>
      <w:r>
        <w:br/>
      </w:r>
      <w:r>
        <w:t xml:space="preserve">Logs con garantías criptográficas de inmutabilidad mediante cadenas de hash (imposibilidad técnica de modificación posterior), verificables por terceros.</w:t>
      </w:r>
    </w:p>
    <w:p>
      <w:pPr>
        <w:pStyle w:val="BodyText"/>
      </w:pPr>
      <w:r>
        <w:rPr>
          <w:bCs/>
          <w:b/>
        </w:rPr>
        <w:t xml:space="preserve">Art. 20 - Medidas Correctoras:</w:t>
      </w:r>
      <w:r>
        <w:br/>
      </w:r>
      <w:r>
        <w:t xml:space="preserve">Seguimiento de acciones correctoras ante incidencias, no conformidades o malfuncionamientos.</w:t>
      </w:r>
    </w:p>
    <w:p>
      <w:pPr>
        <w:pStyle w:val="BodyText"/>
      </w:pPr>
      <w:r>
        <w:rPr>
          <w:bCs/>
          <w:b/>
        </w:rPr>
        <w:t xml:space="preserve">Art. 27 + Anexo IX - Evaluación de Impacto sobre Derechos Fundamentales (FRIA):</w:t>
      </w:r>
      <w:r>
        <w:br/>
      </w:r>
      <w:r>
        <w:t xml:space="preserve">Generación de los 6 elementos obligatorios para responsables del despliegue que sean autoridades públicas o entidades privadas que presten servicios públicos.</w:t>
      </w:r>
    </w:p>
    <w:p>
      <w:pPr>
        <w:pStyle w:val="BodyText"/>
      </w:pPr>
      <w:r>
        <w:rPr>
          <w:bCs/>
          <w:b/>
        </w:rPr>
        <w:t xml:space="preserve">Art. 43 + Anexo VI - Evaluación de Conformidad:</w:t>
      </w:r>
      <w:r>
        <w:br/>
      </w:r>
      <w:r>
        <w:t xml:space="preserve">Procedimiento de los 4 pasos del Anexo VI para demostrar conformidad antes de la comercialización.</w:t>
      </w:r>
    </w:p>
    <w:p>
      <w:pPr>
        <w:pStyle w:val="BodyText"/>
      </w:pPr>
      <w:r>
        <w:rPr>
          <w:bCs/>
          <w:b/>
        </w:rPr>
        <w:t xml:space="preserve">Art. 47 + Anexo V - Declaración UE de Conformidad:</w:t>
      </w:r>
      <w:r>
        <w:br/>
      </w:r>
      <w:r>
        <w:t xml:space="preserve">Generación de declaración formal con los 8 elementos obligatorios del Anexo V.</w:t>
      </w:r>
    </w:p>
    <w:p>
      <w:pPr>
        <w:pStyle w:val="BodyText"/>
      </w:pPr>
      <w:r>
        <w:rPr>
          <w:bCs/>
          <w:b/>
        </w:rPr>
        <w:t xml:space="preserve">Art. 49 + Anexo VIII - Registro en Base de Datos UE:</w:t>
      </w:r>
      <w:r>
        <w:br/>
      </w:r>
      <w:r>
        <w:t xml:space="preserve">Preparación de registro en las 3 secciones del Anexo VIII según tipo de sistema.</w:t>
      </w:r>
    </w:p>
    <w:p>
      <w:pPr>
        <w:pStyle w:val="BodyText"/>
      </w:pPr>
      <w:r>
        <w:rPr>
          <w:bCs/>
          <w:b/>
        </w:rPr>
        <w:t xml:space="preserve">Art. 51-55 - Modelos GPAI:</w:t>
      </w:r>
      <w:r>
        <w:br/>
      </w:r>
      <w:r>
        <w:t xml:space="preserve">Clasificación, registro, transparencia (Anexo XII) y obligaciones específicas para modelos de propósito general, incluyendo proveedores descendentes que realicen modificaciones (fine-tuning, adaptadores).</w:t>
      </w:r>
    </w:p>
    <w:p>
      <w:pPr>
        <w:pStyle w:val="BodyText"/>
      </w:pPr>
      <w:r>
        <w:rPr>
          <w:bCs/>
          <w:b/>
        </w:rPr>
        <w:t xml:space="preserve">Art. 72-73 - Vigilancia Poscomercialización e Incidentes Graves:</w:t>
      </w:r>
      <w:r>
        <w:br/>
      </w:r>
      <w:r>
        <w:t xml:space="preserve">Sistema de detección de drift, degradación de rendimiento y notificación de incidentes graves a autoridades de vigilancia del mercado.</w:t>
      </w:r>
    </w:p>
    <w:bookmarkEnd w:id="25"/>
    <w:bookmarkStart w:id="26" w:name="anexos-técnicos-implementados"/>
    <w:p>
      <w:pPr>
        <w:pStyle w:val="Heading3"/>
      </w:pPr>
      <w:r>
        <w:t xml:space="preserve">3.2 Anexos Técnicos Implementados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Anexo I:</w:t>
      </w:r>
      <w:r>
        <w:t xml:space="preserve"> </w:t>
      </w:r>
      <w:r>
        <w:t xml:space="preserve">Verificación contra legislación de sectores regulados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Anexo II:</w:t>
      </w:r>
      <w:r>
        <w:t xml:space="preserve"> </w:t>
      </w:r>
      <w:r>
        <w:t xml:space="preserve">Validación contra prácticas prohibidas (Art. 5)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Anexo III:</w:t>
      </w:r>
      <w:r>
        <w:t xml:space="preserve"> </w:t>
      </w:r>
      <w:r>
        <w:t xml:space="preserve">Catálogo de 8 categorías y 25 subcategorías de sistemas de alto riesgo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Anexo IV:</w:t>
      </w:r>
      <w:r>
        <w:t xml:space="preserve"> </w:t>
      </w:r>
      <w:r>
        <w:t xml:space="preserve">Documentación técnica (9 secciones)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Anexo V:</w:t>
      </w:r>
      <w:r>
        <w:t xml:space="preserve"> </w:t>
      </w:r>
      <w:r>
        <w:t xml:space="preserve">Declaración UE conformidad (8 elementos)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Anexo VI:</w:t>
      </w:r>
      <w:r>
        <w:t xml:space="preserve"> </w:t>
      </w:r>
      <w:r>
        <w:t xml:space="preserve">Procedimiento evaluación conformidad (4 pasos)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Anexo VIII:</w:t>
      </w:r>
      <w:r>
        <w:t xml:space="preserve"> </w:t>
      </w:r>
      <w:r>
        <w:t xml:space="preserve">Registro base datos UE (3 secciones)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Anexo IX:</w:t>
      </w:r>
      <w:r>
        <w:t xml:space="preserve"> </w:t>
      </w:r>
      <w:r>
        <w:t xml:space="preserve">Plantilla FRIA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Anexo XI-XII:</w:t>
      </w:r>
      <w:r>
        <w:t xml:space="preserve"> </w:t>
      </w:r>
      <w:r>
        <w:t xml:space="preserve">Documentación modelos GPAI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ab29a1ce6920b27fd1069855d4f25021d1cda8d"/>
    <w:p>
      <w:pPr>
        <w:pStyle w:val="Heading2"/>
      </w:pPr>
      <w:r>
        <w:t xml:space="preserve">4. DIFERENCIACIÓN RESPECTO A HERRAMIENTAS EXISTENTES</w:t>
      </w:r>
    </w:p>
    <w:bookmarkStart w:id="28" w:name="observabilidad-vs-cumplimiento-normativo"/>
    <w:p>
      <w:pPr>
        <w:pStyle w:val="Heading3"/>
      </w:pPr>
      <w:r>
        <w:t xml:space="preserve">4.1 Observabilidad vs Cumplimiento Normativo</w:t>
      </w:r>
    </w:p>
    <w:p>
      <w:pPr>
        <w:pStyle w:val="FirstParagraph"/>
      </w:pPr>
      <w:r>
        <w:t xml:space="preserve">Las herramientas actuales de mercado (Marco, Langfuse, MLflow, Weights &amp; Biases) proporcionan observabilidad técnica: trazas, métricas, logs de ejecución.</w:t>
      </w:r>
    </w:p>
    <w:p>
      <w:pPr>
        <w:pStyle w:val="BodyText"/>
      </w:pPr>
      <w:r>
        <w:rPr>
          <w:bCs/>
          <w:b/>
        </w:rPr>
        <w:t xml:space="preserve">Gap normativo identificado:</w:t>
      </w:r>
      <w:r>
        <w:br/>
      </w:r>
      <w:r>
        <w:t xml:space="preserve">Ninguna herramienta actual cubre los requisitos formales del Reglamento. Por ejemplo: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Art. 17 (Sistema de Gestión de Calidad):</w:t>
      </w:r>
      <w:r>
        <w:t xml:space="preserve"> </w:t>
      </w:r>
      <w:r>
        <w:t xml:space="preserve">Requiere 13 módulos documentados y auditables. Las herramientas actuales no proporcionan estructura QMS.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Art. 19 (Logs Inmutables):</w:t>
      </w:r>
      <w:r>
        <w:t xml:space="preserve"> </w:t>
      </w:r>
      <w:r>
        <w:t xml:space="preserve">El Reglamento exige registros que no puedan modificarse a posteriori. Los logs estándar en bases de datos permiten operaciones UPDATE/DELETE, invalidando su valor probatorio en auditorías.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Anexo IV (Documentación Técnica):</w:t>
      </w:r>
      <w:r>
        <w:t xml:space="preserve"> </w:t>
      </w:r>
      <w:r>
        <w:t xml:space="preserve">Requiere 9 secciones específicas con elementos obligatorios definidos. No existe generación automatizada de esta documentación en herramientas actuales.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Art. 27 (FRIA):</w:t>
      </w:r>
      <w:r>
        <w:t xml:space="preserve"> </w:t>
      </w:r>
      <w:r>
        <w:t xml:space="preserve">Evaluación obligatoria para autoridades públicas. Sin herramienta específica, debe realizarse manualmente (50-100 horas/proyecto).</w:t>
      </w:r>
    </w:p>
    <w:bookmarkEnd w:id="28"/>
    <w:bookmarkStart w:id="29" w:name="posicionamiento-codeflowx"/>
    <w:p>
      <w:pPr>
        <w:pStyle w:val="Heading3"/>
      </w:pPr>
      <w:r>
        <w:t xml:space="preserve">4.2 Posicionamiento CodeflowX</w:t>
      </w:r>
    </w:p>
    <w:p>
      <w:pPr>
        <w:pStyle w:val="FirstParagraph"/>
      </w:pPr>
      <w:r>
        <w:t xml:space="preserve">CodeflowX no pretende sustituir herramientas de observabilidad técnica. Su propósito es proporcionar la</w:t>
      </w:r>
      <w:r>
        <w:t xml:space="preserve"> </w:t>
      </w:r>
      <w:r>
        <w:rPr>
          <w:bCs/>
          <w:b/>
        </w:rPr>
        <w:t xml:space="preserve">capa de cumplimiento normativo</w:t>
      </w:r>
      <w:r>
        <w:t xml:space="preserve"> </w:t>
      </w:r>
      <w:r>
        <w:t xml:space="preserve">que falta en el ecosistema actual.</w:t>
      </w:r>
    </w:p>
    <w:p>
      <w:pPr>
        <w:pStyle w:val="BodyText"/>
      </w:pPr>
      <w:r>
        <w:rPr>
          <w:bCs/>
          <w:b/>
        </w:rPr>
        <w:t xml:space="preserve">Uso conjunto posible:</w:t>
      </w:r>
      <w:r>
        <w:br/>
      </w:r>
      <w:r>
        <w:t xml:space="preserve">Marco/Langfuse para observabilidad técnica (debugging, optimización) + CodeflowX para cumplimiento normativo (auditorías, certificación).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7396973ac0008b07c61afa534c595f4ce577939"/>
    <w:p>
      <w:pPr>
        <w:pStyle w:val="Heading2"/>
      </w:pPr>
      <w:r>
        <w:t xml:space="preserve">5. APLICABILIDAD PRÁCTICA - AI FIRST EN COMPLIANCE</w:t>
      </w:r>
    </w:p>
    <w:bookmarkStart w:id="31" w:name="concepto-ai-first-aplicado"/>
    <w:p>
      <w:pPr>
        <w:pStyle w:val="Heading3"/>
      </w:pPr>
      <w:r>
        <w:t xml:space="preserve">5.1 Concepto</w:t>
      </w:r>
      <w:r>
        <w:t xml:space="preserve"> </w:t>
      </w:r>
      <w:r>
        <w:t xml:space="preserve">“</w:t>
      </w:r>
      <w:r>
        <w:t xml:space="preserve">AI First Aplicado</w:t>
      </w:r>
      <w:r>
        <w:t xml:space="preserve">”</w:t>
      </w:r>
    </w:p>
    <w:p>
      <w:pPr>
        <w:pStyle w:val="FirstParagraph"/>
      </w:pPr>
      <w:r>
        <w:t xml:space="preserve">CodeflowX aplica inteligencia artificial para: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Clasificación automática de sistemas</w:t>
      </w:r>
      <w:r>
        <w:t xml:space="preserve"> </w:t>
      </w:r>
      <w:r>
        <w:t xml:space="preserve">según Anexo III (reducción 70% tiempo clasificación manual)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Detección de sesgos</w:t>
      </w:r>
      <w:r>
        <w:t xml:space="preserve"> </w:t>
      </w:r>
      <w:r>
        <w:t xml:space="preserve">en atributos protegidos (género, edad, etnia) con métricas fairness (disparate impact ratio, equal opportunity)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Evaluación de robustez adversarial</w:t>
      </w:r>
      <w:r>
        <w:t xml:space="preserve"> </w:t>
      </w:r>
      <w:r>
        <w:t xml:space="preserve">frente a ataques de envenenamiento de datos y evasión de modelos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Recomendación de estrategias</w:t>
      </w:r>
      <w:r>
        <w:t xml:space="preserve"> </w:t>
      </w:r>
      <w:r>
        <w:t xml:space="preserve">de adaptación de modelos (adapters vs fine-tuning) considerando coste, sostenibilidad y rendimiento</w:t>
      </w:r>
    </w:p>
    <w:p>
      <w:pPr>
        <w:pStyle w:val="FirstParagraph"/>
      </w:pPr>
      <w:r>
        <w:rPr>
          <w:bCs/>
          <w:b/>
        </w:rPr>
        <w:t xml:space="preserve">Principio de diseño:</w:t>
      </w:r>
      <w:r>
        <w:br/>
      </w:r>
      <w:r>
        <w:t xml:space="preserve">IA asiste en tareas de cumplimiento repetitivas, pero las</w:t>
      </w:r>
      <w:r>
        <w:t xml:space="preserve"> </w:t>
      </w:r>
      <w:r>
        <w:rPr>
          <w:bCs/>
          <w:b/>
        </w:rPr>
        <w:t xml:space="preserve">decisiones finales de cumplimiento permanecen bajo responsabilidad humana</w:t>
      </w:r>
      <w:r>
        <w:t xml:space="preserve"> </w:t>
      </w:r>
      <w:r>
        <w:t xml:space="preserve">(Art. 14).</w:t>
      </w:r>
    </w:p>
    <w:bookmarkEnd w:id="31"/>
    <w:bookmarkStart w:id="32" w:name="casos-de-aplicación-verificados"/>
    <w:p>
      <w:pPr>
        <w:pStyle w:val="Heading3"/>
      </w:pPr>
      <w:r>
        <w:t xml:space="preserve">5.2 Casos de Aplicación Verificados</w:t>
      </w:r>
    </w:p>
    <w:p>
      <w:pPr>
        <w:pStyle w:val="FirstParagraph"/>
      </w:pPr>
      <w:r>
        <w:rPr>
          <w:bCs/>
          <w:b/>
        </w:rPr>
        <w:t xml:space="preserve">Organismos públicos:</w:t>
      </w:r>
      <w:r>
        <w:br/>
      </w:r>
      <w:r>
        <w:t xml:space="preserve">Sistemas en áreas de educación, empleo, servicios sociales esenciales (Anexo III.3, III.4, III.5) requieren FRIA obligatoria (Art. 27). Generación asistida reduce de 80 horas manuales a 8 horas con supervisión.</w:t>
      </w:r>
    </w:p>
    <w:p>
      <w:pPr>
        <w:pStyle w:val="BodyText"/>
      </w:pPr>
      <w:r>
        <w:rPr>
          <w:bCs/>
          <w:b/>
        </w:rPr>
        <w:t xml:space="preserve">Sector privado servicios esenciales:</w:t>
      </w:r>
      <w:r>
        <w:br/>
      </w:r>
      <w:r>
        <w:t xml:space="preserve">Banca (scoring crediticio), seguros (suscripción automatizada), recursos humanos (selección candidatos) clasificados como alto riesgo (Anexo III.5). Requieren conformidad antes de comercialización (Art. 43).</w:t>
      </w:r>
    </w:p>
    <w:p>
      <w:pPr>
        <w:pStyle w:val="BodyText"/>
      </w:pPr>
      <w:r>
        <w:rPr>
          <w:bCs/>
          <w:b/>
        </w:rPr>
        <w:t xml:space="preserve">PYMES tecnológicas:</w:t>
      </w:r>
      <w:r>
        <w:br/>
      </w:r>
      <w:r>
        <w:t xml:space="preserve">RAG (Retrieval Augmented Generation) con documentos corporativos, chatbots de atención al cliente, asistentes virtuales. Obligaciones según Art. 6.3 (documentar evaluación de NO alto riesgo) y Art. 10 (gobierno de datos).</w:t>
      </w:r>
    </w:p>
    <w:p>
      <w:pPr>
        <w:pStyle w:val="BodyText"/>
      </w:pPr>
      <w:r>
        <w:rPr>
          <w:bCs/>
          <w:b/>
        </w:rPr>
        <w:t xml:space="preserve">Proveedores descendentes GPAI:</w:t>
      </w:r>
      <w:r>
        <w:br/>
      </w:r>
      <w:r>
        <w:t xml:space="preserve">Empresas que modifican modelos de propósito general mediante fine-tuning o adaptadores (LoRA). Obligaciones Art. 53 (documentar modificaciones, copyright datos entrenamiento según Directiva 2019/790).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83b2d7a46e52d8fbf7ad99b2dcb3ca70463605a"/>
    <w:p>
      <w:pPr>
        <w:pStyle w:val="Heading2"/>
      </w:pPr>
      <w:r>
        <w:t xml:space="preserve">6. ALINEACIÓN CON ESTÁNDARES INTERNACIONALES</w:t>
      </w:r>
    </w:p>
    <w:p>
      <w:pPr>
        <w:pStyle w:val="FirstParagraph"/>
      </w:pPr>
      <w:r>
        <w:rPr>
          <w:bCs/>
          <w:b/>
        </w:rPr>
        <w:t xml:space="preserve">ISO/IEC 42001:2023</w:t>
      </w:r>
      <w:r>
        <w:t xml:space="preserve"> </w:t>
      </w:r>
      <w:r>
        <w:t xml:space="preserve">- Sistemas de gestión de IA:</w:t>
      </w:r>
      <w:r>
        <w:br/>
      </w:r>
      <w:r>
        <w:t xml:space="preserve">Arquitectura de módulos de gestión de calidad (Art. 17) compatible con estructura ISO 42001.</w:t>
      </w:r>
    </w:p>
    <w:p>
      <w:pPr>
        <w:pStyle w:val="BodyText"/>
      </w:pPr>
      <w:r>
        <w:rPr>
          <w:bCs/>
          <w:b/>
        </w:rPr>
        <w:t xml:space="preserve">ISO/IEC 23894:2023</w:t>
      </w:r>
      <w:r>
        <w:t xml:space="preserve"> </w:t>
      </w:r>
      <w:r>
        <w:t xml:space="preserve">- Risk management:</w:t>
      </w:r>
      <w:r>
        <w:br/>
      </w:r>
      <w:r>
        <w:t xml:space="preserve">Metodología de gestión de riesgos (Art. 9) alineada con estándares de gestión de riesgos de IA.</w:t>
      </w:r>
    </w:p>
    <w:p>
      <w:pPr>
        <w:pStyle w:val="BodyText"/>
      </w:pPr>
      <w:r>
        <w:rPr>
          <w:bCs/>
          <w:b/>
        </w:rPr>
        <w:t xml:space="preserve">GDPR - Reglamento (UE) 2016/679:</w:t>
      </w:r>
      <w:r>
        <w:br/>
      </w:r>
      <w:r>
        <w:t xml:space="preserve">Integración FRIA con DPIA (Data Protection Impact Assessment) cuando proceda (Art. 27.4).</w:t>
      </w:r>
    </w:p>
    <w:p>
      <w:r>
        <w:pict>
          <v:rect style="width:0;height:1.5pt" o:hralign="center" o:hrstd="t" o:hr="t"/>
        </w:pict>
      </w:r>
    </w:p>
    <w:bookmarkEnd w:id="34"/>
    <w:bookmarkStart w:id="35" w:name="limitaciones-y-disclaimers-legales"/>
    <w:p>
      <w:pPr>
        <w:pStyle w:val="Heading2"/>
      </w:pPr>
      <w:r>
        <w:t xml:space="preserve">7. LIMITACIONES Y DISCLAIMERS LEGALES</w:t>
      </w:r>
    </w:p>
    <w:p>
      <w:pPr>
        <w:pStyle w:val="FirstParagraph"/>
      </w:pPr>
      <w:r>
        <w:rPr>
          <w:bCs/>
          <w:b/>
        </w:rPr>
        <w:t xml:space="preserve">CodeflowX es una herramienta tecnológica de facilitación del cumplimiento. NO es:</w:t>
      </w:r>
    </w:p>
    <w:p>
      <w:pPr>
        <w:numPr>
          <w:ilvl w:val="0"/>
          <w:numId w:val="1005"/>
        </w:numPr>
        <w:pStyle w:val="Compact"/>
      </w:pPr>
      <w:r>
        <w:t xml:space="preserve">❌ Organismo de certificación o auditoría</w:t>
      </w:r>
    </w:p>
    <w:p>
      <w:pPr>
        <w:numPr>
          <w:ilvl w:val="0"/>
          <w:numId w:val="1005"/>
        </w:numPr>
        <w:pStyle w:val="Compact"/>
      </w:pPr>
      <w:r>
        <w:t xml:space="preserve">❌ Asesor legal</w:t>
      </w:r>
    </w:p>
    <w:p>
      <w:pPr>
        <w:numPr>
          <w:ilvl w:val="0"/>
          <w:numId w:val="1005"/>
        </w:numPr>
        <w:pStyle w:val="Compact"/>
      </w:pPr>
      <w:r>
        <w:t xml:space="preserve">❌ Garante de cumplimiento normativo</w:t>
      </w:r>
    </w:p>
    <w:p>
      <w:pPr>
        <w:pStyle w:val="FirstParagraph"/>
      </w:pPr>
      <w:r>
        <w:rPr>
          <w:bCs/>
          <w:b/>
        </w:rPr>
        <w:t xml:space="preserve">La responsabilidad final del cumplimiento normativo recae exclusivamente en:</w:t>
      </w:r>
      <w:r>
        <w:t xml:space="preserve"> </w:t>
      </w:r>
      <w:r>
        <w:t xml:space="preserve">- El proveedor del sistema de IA (Art. 16-27)</w:t>
      </w:r>
      <w:r>
        <w:t xml:space="preserve"> </w:t>
      </w:r>
      <w:r>
        <w:t xml:space="preserve">- El responsable del despliegue (Art. 26-27)</w:t>
      </w:r>
      <w:r>
        <w:t xml:space="preserve"> </w:t>
      </w:r>
      <w:r>
        <w:t xml:space="preserve">- Según corresponda conforme al Reglamento</w:t>
      </w:r>
    </w:p>
    <w:p>
      <w:pPr>
        <w:pStyle w:val="BodyText"/>
      </w:pPr>
      <w:r>
        <w:rPr>
          <w:bCs/>
          <w:b/>
        </w:rPr>
        <w:t xml:space="preserve">CodeflowX proporciona:</w:t>
      </w:r>
      <w:r>
        <w:t xml:space="preserve"> </w:t>
      </w:r>
      <w:r>
        <w:t xml:space="preserve">- ✅ Herramientas de gestión de procesos de cumplimiento</w:t>
      </w:r>
      <w:r>
        <w:t xml:space="preserve"> </w:t>
      </w:r>
      <w:r>
        <w:t xml:space="preserve">- ✅ Generación de documentación requerida</w:t>
      </w:r>
      <w:r>
        <w:t xml:space="preserve"> </w:t>
      </w:r>
      <w:r>
        <w:t xml:space="preserve">- ✅ Datos y análisis para toma de decisiones</w:t>
      </w:r>
      <w:r>
        <w:t xml:space="preserve"> </w:t>
      </w:r>
      <w:r>
        <w:t xml:space="preserve">- ✅ Estructura de cumplimiento auditable</w:t>
      </w:r>
    </w:p>
    <w:p>
      <w:pPr>
        <w:pStyle w:val="BodyText"/>
      </w:pPr>
      <w:r>
        <w:rPr>
          <w:bCs/>
          <w:b/>
        </w:rPr>
        <w:t xml:space="preserve">Las organizaciones deben:</w:t>
      </w:r>
      <w:r>
        <w:t xml:space="preserve"> </w:t>
      </w:r>
      <w:r>
        <w:t xml:space="preserve">- Obtener asesoramiento legal independiente</w:t>
      </w:r>
      <w:r>
        <w:t xml:space="preserve"> </w:t>
      </w:r>
      <w:r>
        <w:t xml:space="preserve">- Realizar revisión jurídica de outputs generados</w:t>
      </w:r>
      <w:r>
        <w:t xml:space="preserve"> </w:t>
      </w:r>
      <w:r>
        <w:t xml:space="preserve">- Contratar organismos notificados cuando proceda</w:t>
      </w:r>
      <w:r>
        <w:t xml:space="preserve"> </w:t>
      </w:r>
      <w:r>
        <w:t xml:space="preserve">- Verificar cumplimiento con profesionales cualificados</w:t>
      </w:r>
    </w:p>
    <w:p>
      <w:r>
        <w:pict>
          <v:rect style="width:0;height:1.5pt" o:hralign="center" o:hrstd="t" o:hr="t"/>
        </w:pict>
      </w:r>
    </w:p>
    <w:bookmarkEnd w:id="35"/>
    <w:bookmarkStart w:id="36" w:name="propuesta-de-colaboración-académica"/>
    <w:p>
      <w:pPr>
        <w:pStyle w:val="Heading2"/>
      </w:pPr>
      <w:r>
        <w:t xml:space="preserve">8. PROPUESTA DE COLABORACIÓN ACADÉMICA</w:t>
      </w:r>
    </w:p>
    <w:p>
      <w:pPr>
        <w:pStyle w:val="FirstParagraph"/>
      </w:pPr>
      <w:r>
        <w:t xml:space="preserve">Dado su expertise en compliance y gobierno de IA, valoraríamos su</w:t>
      </w:r>
      <w:r>
        <w:t xml:space="preserve"> </w:t>
      </w:r>
      <w:r>
        <w:rPr>
          <w:bCs/>
          <w:b/>
        </w:rPr>
        <w:t xml:space="preserve">revisión crítica</w:t>
      </w:r>
      <w:r>
        <w:t xml:space="preserve"> </w:t>
      </w:r>
      <w:r>
        <w:t xml:space="preserve">de la cobertura normativa implementada desde perspectiva académica y práctica.</w:t>
      </w:r>
    </w:p>
    <w:p>
      <w:pPr>
        <w:pStyle w:val="BodyText"/>
      </w:pPr>
      <w:r>
        <w:rPr>
          <w:bCs/>
          <w:b/>
        </w:rPr>
        <w:t xml:space="preserve">Áreas de interés para feedback: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Completitud de requisitos:</w:t>
      </w:r>
      <w:r>
        <w:t xml:space="preserve"> </w:t>
      </w:r>
      <w:r>
        <w:t xml:space="preserve">¿Los 65 requisitos identificados cubren exhaustivamente el Reglamento?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Interpretación normativa:</w:t>
      </w:r>
      <w:r>
        <w:t xml:space="preserve"> </w:t>
      </w:r>
      <w:r>
        <w:t xml:space="preserve">¿Las implementaciones técnicas responden correctamente a los requisitos legales?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Disclaimers legales:</w:t>
      </w:r>
      <w:r>
        <w:t xml:space="preserve"> </w:t>
      </w:r>
      <w:r>
        <w:t xml:space="preserve">¿Son suficientes y apropiados?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Casos de uso:</w:t>
      </w:r>
      <w:r>
        <w:t xml:space="preserve"> </w:t>
      </w:r>
      <w:r>
        <w:t xml:space="preserve">¿Aplicabilidad práctica a organizaciones españolas?</w:t>
      </w:r>
    </w:p>
    <w:p>
      <w:pPr>
        <w:pStyle w:val="FirstParagraph"/>
      </w:pPr>
      <w:r>
        <w:rPr>
          <w:bCs/>
          <w:b/>
        </w:rPr>
        <w:t xml:space="preserve">Disposición para:</w:t>
      </w:r>
      <w:r>
        <w:t xml:space="preserve"> </w:t>
      </w:r>
      <w:r>
        <w:t xml:space="preserve">- Sesión técnica de 60 minutos para revisión detallada</w:t>
      </w:r>
      <w:r>
        <w:t xml:space="preserve"> </w:t>
      </w:r>
      <w:r>
        <w:t xml:space="preserve">- Acceso a documentación técnica completa</w:t>
      </w:r>
      <w:r>
        <w:t xml:space="preserve"> </w:t>
      </w:r>
      <w:r>
        <w:t xml:space="preserve">- Colaboración académica (estudios de caso, publicaciones si procede)</w:t>
      </w:r>
    </w:p>
    <w:p>
      <w:r>
        <w:pict>
          <v:rect style="width:0;height:1.5pt" o:hralign="center" o:hrstd="t" o:hr="t"/>
        </w:pict>
      </w:r>
    </w:p>
    <w:bookmarkEnd w:id="36"/>
    <w:bookmarkStart w:id="37" w:name="anexo---métricas-técnicas"/>
    <w:p>
      <w:pPr>
        <w:pStyle w:val="Heading2"/>
      </w:pPr>
      <w:r>
        <w:t xml:space="preserve">ANEXO - MÉTRICAS TÉCNICAS</w:t>
      </w:r>
    </w:p>
    <w:p>
      <w:pPr>
        <w:pStyle w:val="FirstParagraph"/>
      </w:pPr>
      <w:r>
        <w:rPr>
          <w:bCs/>
          <w:b/>
        </w:rPr>
        <w:t xml:space="preserve">Arquitectura:</w:t>
      </w:r>
      <w:r>
        <w:br/>
      </w:r>
      <w:r>
        <w:t xml:space="preserve">- 12 microservicios Python (análisis especializado)</w:t>
      </w:r>
      <w:r>
        <w:t xml:space="preserve"> </w:t>
      </w:r>
      <w:r>
        <w:t xml:space="preserve">- Framework EnArt (Java - gobierno y persistencia)</w:t>
      </w:r>
      <w:r>
        <w:t xml:space="preserve"> </w:t>
      </w:r>
      <w:r>
        <w:t xml:space="preserve">- Motor BPMN (Camunda - workflows auditoría)</w:t>
      </w:r>
      <w:r>
        <w:t xml:space="preserve"> </w:t>
      </w:r>
      <w:r>
        <w:t xml:space="preserve">- 65+ endpoints funcionales</w:t>
      </w:r>
    </w:p>
    <w:p>
      <w:pPr>
        <w:pStyle w:val="BodyText"/>
      </w:pPr>
      <w:r>
        <w:rPr>
          <w:bCs/>
          <w:b/>
        </w:rPr>
        <w:t xml:space="preserve">Cobertura Normativa:</w:t>
      </w:r>
      <w:r>
        <w:br/>
      </w:r>
      <w:r>
        <w:t xml:space="preserve">- 32/32 artículos aplicables: Implementados</w:t>
      </w:r>
      <w:r>
        <w:t xml:space="preserve"> </w:t>
      </w:r>
      <w:r>
        <w:t xml:space="preserve">- 13/13 anexos técnicos: Implementados</w:t>
      </w:r>
      <w:r>
        <w:t xml:space="preserve"> </w:t>
      </w:r>
      <w:r>
        <w:t xml:space="preserve">- 65/65 requisitos identificados: En implementación</w:t>
      </w:r>
    </w:p>
    <w:p>
      <w:pPr>
        <w:pStyle w:val="BodyText"/>
      </w:pPr>
      <w:r>
        <w:rPr>
          <w:bCs/>
          <w:b/>
        </w:rPr>
        <w:t xml:space="preserve">Alcance Funcional:</w:t>
      </w:r>
      <w:r>
        <w:br/>
      </w:r>
      <w:r>
        <w:t xml:space="preserve">Gobierno completo ciclo de vida IA: datos → modelos → prompts → sistemas RAG → agentes → despliegue → monitorización poscomercialización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Quedamos a su disposición para cualquier aclaración.</w:t>
      </w:r>
    </w:p>
    <w:p>
      <w:pPr>
        <w:pStyle w:val="BodyText"/>
      </w:pPr>
      <w:r>
        <w:rPr>
          <w:bCs/>
          <w:b/>
        </w:rPr>
        <w:t xml:space="preserve">Manuel González</w:t>
      </w:r>
      <w:r>
        <w:br/>
      </w:r>
      <w:r>
        <w:t xml:space="preserve">CodeflowX</w:t>
      </w:r>
      <w:r>
        <w:br/>
      </w:r>
      <w:r>
        <w:t xml:space="preserve">[Contacto]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técnico-legal. No constituye asesoramiento jurídico. Las organizaciones deben obtener asesoramiento legal independiente para determinar sus obligaciones específicas conforme al Reglamento (UE) 2024/1689.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2025-11-03T08:06:47Z</dcterms:created>
  <dcterms:modified xsi:type="dcterms:W3CDTF">2025-11-03T08:06:47Z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