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deflowx---resumen-ejecutivo-para-ctos"/>
    <w:p>
      <w:pPr>
        <w:pStyle w:val="Heading1"/>
      </w:pPr>
      <w:r>
        <w:t xml:space="preserve">CODEFLOWX - RESUMEN EJECUTIVO PARA CTOs</w:t>
      </w:r>
    </w:p>
    <w:bookmarkStart w:id="20" w:name="Xbd759bc8b1c9ec2be1c862d0f5344d44477f10a"/>
    <w:p>
      <w:pPr>
        <w:pStyle w:val="Heading2"/>
      </w:pPr>
      <w:r>
        <w:t xml:space="preserve">Plataforma Gobierno IA + Compliance EU AI Act - Programa Partners Tech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Destinatario:</w:t>
      </w:r>
      <w:r>
        <w:t xml:space="preserve"> </w:t>
      </w:r>
      <w:r>
        <w:t xml:space="preserve">CTOs consultoras tecnológicas, startups, PYMES tech desarrollando proyectos IA para clientes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3 diapositivas - Oportunidad Partner Tecnológico</w:t>
      </w:r>
    </w:p>
    <w:p>
      <w:r>
        <w:pict>
          <v:rect style="width:0;height:1.5pt" o:hralign="center" o:hrstd="t" o:hr="t"/>
        </w:pict>
      </w:r>
    </w:p>
    <w:bookmarkEnd w:id="20"/>
    <w:bookmarkStart w:id="25" w:name="X5ee0631bff2c9c5ea4221fc99d21b571c0bac3e"/>
    <w:p>
      <w:pPr>
        <w:pStyle w:val="Heading2"/>
      </w:pPr>
      <w:r>
        <w:t xml:space="preserve">DIAPOSITIVA 1: OPORTUNIDAD DE NEGOCIO COMPLIANCE</w:t>
      </w:r>
    </w:p>
    <w:bookmarkStart w:id="21" w:name="el-problema-de-tus-clientes"/>
    <w:p>
      <w:pPr>
        <w:pStyle w:val="Heading3"/>
      </w:pPr>
      <w:r>
        <w:rPr>
          <w:bCs/>
          <w:b/>
        </w:rPr>
        <w:t xml:space="preserve">El Problema de Tus Clientes</w:t>
      </w:r>
    </w:p>
    <w:p>
      <w:pPr>
        <w:pStyle w:val="FirstParagraph"/>
      </w:pPr>
      <w:r>
        <w:t xml:space="preserve">Tus clientes desarrollan o contratan proyectos IA (chatbots, RAG, asistentes, agentes) pero: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Clientes enterprise preguntan:</w:t>
      </w:r>
      <w:r>
        <w:t xml:space="preserve"> </w:t>
      </w:r>
      <w:r>
        <w:t xml:space="preserve">“</w:t>
      </w:r>
      <w:r>
        <w:t xml:space="preserve">¿Cumple EU AI Act?</w:t>
      </w:r>
      <w:r>
        <w:t xml:space="preserve">”</w:t>
      </w:r>
      <w:r>
        <w:t xml:space="preserve"> </w:t>
      </w:r>
      <w:r>
        <w:t xml:space="preserve">→ No saben qué responder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Deben contratar consultores</w:t>
      </w:r>
      <w:r>
        <w:t xml:space="preserve"> </w:t>
      </w:r>
      <w:r>
        <w:t xml:space="preserve">compliance → 50-150K€ por proyecto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Tiempo compliance manual:</w:t>
      </w:r>
      <w:r>
        <w:t xml:space="preserve"> </w:t>
      </w:r>
      <w:r>
        <w:t xml:space="preserve">3-6 meses → Retrasa proyectos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Riesgo legal:</w:t>
      </w:r>
      <w:r>
        <w:t xml:space="preserve"> </w:t>
      </w:r>
      <w:r>
        <w:t xml:space="preserve">Multas hasta 35M€ o 7% facturación global (Art. 99)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Pierden deals grandes:</w:t>
      </w:r>
      <w:r>
        <w:t xml:space="preserve"> </w:t>
      </w:r>
      <w:r>
        <w:t xml:space="preserve">Bancos, seguros, salud exigen compliance certificable</w:t>
      </w:r>
    </w:p>
    <w:bookmarkEnd w:id="21"/>
    <w:bookmarkStart w:id="22" w:name="tu-oportunidad-como-partner-codeflowx"/>
    <w:p>
      <w:pPr>
        <w:pStyle w:val="Heading3"/>
      </w:pPr>
      <w:r>
        <w:rPr>
          <w:bCs/>
          <w:b/>
        </w:rPr>
        <w:t xml:space="preserve">Tu Oportunidad como Partner CodeflowX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Nuevo servicio:</w:t>
      </w:r>
      <w:r>
        <w:t xml:space="preserve"> </w:t>
      </w:r>
      <w:r>
        <w:t xml:space="preserve">Ofrece</w:t>
      </w:r>
      <w:r>
        <w:t xml:space="preserve"> </w:t>
      </w:r>
      <w:r>
        <w:t xml:space="preserve">“</w:t>
      </w:r>
      <w:r>
        <w:t xml:space="preserve">Proyectos IA Compliance-Ready</w:t>
      </w:r>
      <w:r>
        <w:t xml:space="preserve">”</w:t>
      </w:r>
      <w:r>
        <w:t xml:space="preserve"> </w:t>
      </w:r>
      <w:r>
        <w:t xml:space="preserve">con valor añadido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Margen incrementado:</w:t>
      </w:r>
      <w:r>
        <w:t xml:space="preserve"> </w:t>
      </w:r>
      <w:r>
        <w:t xml:space="preserve">Cobra 20-40% más por compliance integrado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Diferenciación:</w:t>
      </w:r>
      <w:r>
        <w:t xml:space="preserve"> </w:t>
      </w:r>
      <w:r>
        <w:t xml:space="preserve">Única consultora en tu zona con compliance automatizado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Recurrencia:</w:t>
      </w:r>
      <w:r>
        <w:t xml:space="preserve"> </w:t>
      </w:r>
      <w:r>
        <w:t xml:space="preserve">Clientes necesitan compliance ongoing (no one-time)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Cross-sell:</w:t>
      </w:r>
      <w:r>
        <w:t xml:space="preserve"> </w:t>
      </w:r>
      <w:r>
        <w:t xml:space="preserve">Vende compliance a clientes existentes con IA sin proteger</w:t>
      </w:r>
    </w:p>
    <w:bookmarkEnd w:id="22"/>
    <w:bookmarkStart w:id="23" w:name="cobertura-normativa-completa"/>
    <w:p>
      <w:pPr>
        <w:pStyle w:val="Heading3"/>
      </w:pPr>
      <w:r>
        <w:rPr>
          <w:bCs/>
          <w:b/>
        </w:rPr>
        <w:t xml:space="preserve">Cobertura Normativa Completa</w:t>
      </w:r>
    </w:p>
    <w:p>
      <w:pPr>
        <w:pStyle w:val="FirstParagraph"/>
      </w:pPr>
      <w:r>
        <w:rPr>
          <w:bCs/>
          <w:b/>
        </w:rPr>
        <w:t xml:space="preserve">EU AI Act - 32 artículos aplicables implementados:</w:t>
      </w:r>
    </w:p>
    <w:p>
      <w:pPr>
        <w:pStyle w:val="BodyText"/>
      </w:pPr>
      <w:r>
        <w:rPr>
          <w:bCs/>
          <w:b/>
        </w:rPr>
        <w:t xml:space="preserve">Requisitos Sistemas Alto Riesgo (Art. 6-15):</w:t>
      </w:r>
      <w:r>
        <w:t xml:space="preserve"> </w:t>
      </w:r>
      <w:r>
        <w:t xml:space="preserve">- Art. 9: Sistema de gestión de riesgos iterativo</w:t>
      </w:r>
      <w:r>
        <w:t xml:space="preserve"> </w:t>
      </w:r>
      <w:r>
        <w:t xml:space="preserve">- Art. 10: Gobernanza datos (calidad, representatividad, bias)</w:t>
      </w:r>
      <w:r>
        <w:t xml:space="preserve"> </w:t>
      </w:r>
      <w:r>
        <w:t xml:space="preserve">- Art. 11 + Anexo IV: Documentación técnica completa</w:t>
      </w:r>
      <w:r>
        <w:t xml:space="preserve"> </w:t>
      </w:r>
      <w:r>
        <w:t xml:space="preserve">- Art. 12: Registro eventos (logs inmutables)</w:t>
      </w:r>
      <w:r>
        <w:t xml:space="preserve"> </w:t>
      </w:r>
      <w:r>
        <w:t xml:space="preserve">- Art. 13: Transparencia y suministro información usuarios</w:t>
      </w:r>
      <w:r>
        <w:t xml:space="preserve"> </w:t>
      </w:r>
      <w:r>
        <w:t xml:space="preserve">- Art. 14: Supervisión humana (HITL integrado)</w:t>
      </w:r>
      <w:r>
        <w:t xml:space="preserve"> </w:t>
      </w:r>
      <w:r>
        <w:t xml:space="preserve">- Art. 15: Exactitud, robustez, ciberseguridad, adversarial robustness</w:t>
      </w:r>
    </w:p>
    <w:p>
      <w:pPr>
        <w:pStyle w:val="BodyText"/>
      </w:pPr>
      <w:r>
        <w:rPr>
          <w:bCs/>
          <w:b/>
        </w:rPr>
        <w:t xml:space="preserve">Obligaciones Proveedor (Art. 16-27):</w:t>
      </w:r>
      <w:r>
        <w:t xml:space="preserve"> </w:t>
      </w:r>
      <w:r>
        <w:t xml:space="preserve">- Art. 16: Sistema de gestión de calidad (QMS - 13 módulos)</w:t>
      </w:r>
      <w:r>
        <w:t xml:space="preserve"> </w:t>
      </w:r>
      <w:r>
        <w:t xml:space="preserve">- Art. 17: Documentación técnica actualizada automáticamente</w:t>
      </w:r>
      <w:r>
        <w:t xml:space="preserve"> </w:t>
      </w:r>
      <w:r>
        <w:t xml:space="preserve">- Art. 19: Logs inmutables con cryptographic hash chains</w:t>
      </w:r>
      <w:r>
        <w:t xml:space="preserve"> </w:t>
      </w:r>
      <w:r>
        <w:t xml:space="preserve">- Art. 20: Acciones correctivas automatizadas</w:t>
      </w:r>
      <w:r>
        <w:t xml:space="preserve"> </w:t>
      </w:r>
      <w:r>
        <w:t xml:space="preserve">- Art. 25: Cooperación autoridades competentes</w:t>
      </w:r>
      <w:r>
        <w:t xml:space="preserve"> </w:t>
      </w:r>
      <w:r>
        <w:t xml:space="preserve">- Art. 26: Obligaciones representantes autorizados</w:t>
      </w:r>
      <w:r>
        <w:t xml:space="preserve"> </w:t>
      </w:r>
      <w:r>
        <w:t xml:space="preserve">- Art. 27 + Anexo IX: FRIA (Fundamental Rights Impact Assessment) para organismos públicos</w:t>
      </w:r>
    </w:p>
    <w:p>
      <w:pPr>
        <w:pStyle w:val="BodyText"/>
      </w:pPr>
      <w:r>
        <w:rPr>
          <w:bCs/>
          <w:b/>
        </w:rPr>
        <w:t xml:space="preserve">Evaluación Conformidad (Art. 43-49):</w:t>
      </w:r>
      <w:r>
        <w:t xml:space="preserve"> </w:t>
      </w:r>
      <w:r>
        <w:t xml:space="preserve">- Art. 43 + Anexo VI: Procedimientos evaluación conformidad</w:t>
      </w:r>
      <w:r>
        <w:t xml:space="preserve"> </w:t>
      </w:r>
      <w:r>
        <w:t xml:space="preserve">- Art. 47 + Anexo V: Declaración UE de conformidad</w:t>
      </w:r>
      <w:r>
        <w:t xml:space="preserve"> </w:t>
      </w:r>
      <w:r>
        <w:t xml:space="preserve">- Art. 49 + Anexo VIII: Registro BBDD UE</w:t>
      </w:r>
    </w:p>
    <w:p>
      <w:pPr>
        <w:pStyle w:val="BodyText"/>
      </w:pPr>
      <w:r>
        <w:rPr>
          <w:bCs/>
          <w:b/>
        </w:rPr>
        <w:t xml:space="preserve">GPAI - Modelos Propósito General (Art. 51-55):</w:t>
      </w:r>
      <w:r>
        <w:t xml:space="preserve"> </w:t>
      </w:r>
      <w:r>
        <w:t xml:space="preserve">- Art. 53: Documentación técnica modelos (Anexo XI)</w:t>
      </w:r>
      <w:r>
        <w:t xml:space="preserve"> </w:t>
      </w:r>
      <w:r>
        <w:t xml:space="preserve">- Art. 53: Política cumplimiento copyright (Anexo XII)</w:t>
      </w:r>
      <w:r>
        <w:t xml:space="preserve"> </w:t>
      </w:r>
      <w:r>
        <w:t xml:space="preserve">- Art. 53: Resumen datos entrenamiento</w:t>
      </w:r>
      <w:r>
        <w:t xml:space="preserve"> </w:t>
      </w:r>
      <w:r>
        <w:t xml:space="preserve">- Art. 55: Riesgo sistémico (si &gt;10^25 FLOPS)</w:t>
      </w:r>
    </w:p>
    <w:p>
      <w:pPr>
        <w:pStyle w:val="BodyText"/>
      </w:pPr>
      <w:r>
        <w:rPr>
          <w:bCs/>
          <w:b/>
        </w:rPr>
        <w:t xml:space="preserve">Total: 65 requisitos específicos cubiertos</w:t>
      </w:r>
    </w:p>
    <w:bookmarkEnd w:id="23"/>
    <w:bookmarkStart w:id="24" w:name="gobierno-integral-ciclo-vida-ia"/>
    <w:p>
      <w:pPr>
        <w:pStyle w:val="Heading3"/>
      </w:pPr>
      <w:r>
        <w:rPr>
          <w:bCs/>
          <w:b/>
        </w:rPr>
        <w:t xml:space="preserve">Gobierno Integral Ciclo Vida IA</w:t>
      </w:r>
    </w:p>
    <w:p>
      <w:pPr>
        <w:pStyle w:val="FirstParagraph"/>
      </w:pPr>
      <w:r>
        <w:t xml:space="preserve">CodeflowX gobierna TODO en un solo lugar (vs herramientas que solo observan):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Datos:</w:t>
      </w:r>
      <w:r>
        <w:t xml:space="preserve"> </w:t>
      </w:r>
      <w:r>
        <w:t xml:space="preserve">Training, validation, test, bias detection, data poisoning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Modelos:</w:t>
      </w:r>
      <w:r>
        <w:t xml:space="preserve"> </w:t>
      </w:r>
      <w:r>
        <w:t xml:space="preserve">Base, adaptados (LoRA/QLoRA), fine-tuned, cuantizados, merged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Prompts:</w:t>
      </w:r>
      <w:r>
        <w:t xml:space="preserve"> </w:t>
      </w:r>
      <w:r>
        <w:t xml:space="preserve">Versionado, seguridad (PII/jailbreak), efectividad, A/B testing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Agentes:</w:t>
      </w:r>
      <w:r>
        <w:t xml:space="preserve"> </w:t>
      </w:r>
      <w:r>
        <w:t xml:space="preserve">Decisiones, supervisión humana (HITL), tool calling audit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RAG:</w:t>
      </w:r>
      <w:r>
        <w:t xml:space="preserve"> </w:t>
      </w:r>
      <w:r>
        <w:t xml:space="preserve">Knowledge bases, retrieval quality, citations, chunking strategies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Despliegue:</w:t>
      </w:r>
      <w:r>
        <w:t xml:space="preserve"> </w:t>
      </w:r>
      <w:r>
        <w:t xml:space="preserve">Drift detection, vigilancia poscomercialización (Art. 72)</w:t>
      </w:r>
    </w:p>
    <w:p>
      <w:pPr>
        <w:pStyle w:val="FirstParagraph"/>
      </w:pPr>
      <w:r>
        <w:rPr>
          <w:bCs/>
          <w:b/>
        </w:rPr>
        <w:t xml:space="preserve">Diferenciador clave:</w:t>
      </w:r>
      <w:r>
        <w:t xml:space="preserve"> </w:t>
      </w:r>
      <w:r>
        <w:t xml:space="preserve">No es observabilidad adaptada, es compliance nativo.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336a1f49b63b181256ad88e7084e8201580aa57"/>
    <w:p>
      <w:pPr>
        <w:pStyle w:val="Heading2"/>
      </w:pPr>
      <w:r>
        <w:t xml:space="preserve">DIAPOSITIVA 2: MODELO DE PARTNER - TU BENEFICIO</w:t>
      </w:r>
    </w:p>
    <w:bookmarkStart w:id="26" w:name="qué-ganas-como-partner-codeflowx"/>
    <w:p>
      <w:pPr>
        <w:pStyle w:val="Heading3"/>
      </w:pPr>
      <w:r>
        <w:rPr>
          <w:bCs/>
          <w:b/>
        </w:rPr>
        <w:t xml:space="preserve">Qué Ganas como Partner CodeflowX</w:t>
      </w:r>
    </w:p>
    <w:p>
      <w:pPr>
        <w:pStyle w:val="FirstParagraph"/>
      </w:pPr>
      <w:r>
        <w:rPr>
          <w:bCs/>
          <w:b/>
        </w:rPr>
        <w:t xml:space="preserve">1. Revenue Recurrente:</w:t>
      </w:r>
      <w:r>
        <w:t xml:space="preserve"> </w:t>
      </w:r>
      <w:r>
        <w:t xml:space="preserve">- Margen partner: 20-40% sobre licencias cliente</w:t>
      </w:r>
      <w:r>
        <w:t xml:space="preserve"> </w:t>
      </w:r>
      <w:r>
        <w:t xml:space="preserve">- Clientes pagan suscripción anual → Tu ingreso recurrente</w:t>
      </w:r>
      <w:r>
        <w:t xml:space="preserve"> </w:t>
      </w:r>
      <w:r>
        <w:t xml:space="preserve">- Upsell servicios profesionales (integración, formación, custom)</w:t>
      </w:r>
    </w:p>
    <w:p>
      <w:pPr>
        <w:pStyle w:val="BodyText"/>
      </w:pPr>
      <w:r>
        <w:rPr>
          <w:bCs/>
          <w:b/>
        </w:rPr>
        <w:t xml:space="preserve">2. Diferenciación Comercial:</w:t>
      </w:r>
      <w:r>
        <w:t xml:space="preserve"> </w:t>
      </w:r>
      <w:r>
        <w:t xml:space="preserve">- Único partner en tu región con compliance automatizado</w:t>
      </w:r>
      <w:r>
        <w:t xml:space="preserve"> </w:t>
      </w:r>
      <w:r>
        <w:t xml:space="preserve">- Responde</w:t>
      </w:r>
      <w:r>
        <w:t xml:space="preserve"> </w:t>
      </w:r>
      <w:r>
        <w:t xml:space="preserve">“</w:t>
      </w:r>
      <w:r>
        <w:t xml:space="preserve">SÍ</w:t>
      </w:r>
      <w:r>
        <w:t xml:space="preserve">”</w:t>
      </w:r>
      <w:r>
        <w:t xml:space="preserve"> </w:t>
      </w:r>
      <w:r>
        <w:t xml:space="preserve">a clientes enterprise cuando preguntan compliance</w:t>
      </w:r>
      <w:r>
        <w:t xml:space="preserve"> </w:t>
      </w:r>
      <w:r>
        <w:t xml:space="preserve">- Gana deals que antes perdías por falta compliance</w:t>
      </w:r>
    </w:p>
    <w:p>
      <w:pPr>
        <w:pStyle w:val="BodyText"/>
      </w:pPr>
      <w:r>
        <w:rPr>
          <w:bCs/>
          <w:b/>
        </w:rPr>
        <w:t xml:space="preserve">3. Servicios Profesionales Adicionales:</w:t>
      </w:r>
      <w:r>
        <w:t xml:space="preserve"> </w:t>
      </w:r>
      <w:r>
        <w:t xml:space="preserve">- Cobras integración CodeflowX en stack cliente (5-15K€)</w:t>
      </w:r>
      <w:r>
        <w:t xml:space="preserve"> </w:t>
      </w:r>
      <w:r>
        <w:t xml:space="preserve">- Cobras formación equipos cliente (2-5K€)</w:t>
      </w:r>
      <w:r>
        <w:t xml:space="preserve"> </w:t>
      </w:r>
      <w:r>
        <w:t xml:space="preserve">- Cobras soporte ongoing (retainer mensual)</w:t>
      </w:r>
    </w:p>
    <w:p>
      <w:pPr>
        <w:pStyle w:val="BodyText"/>
      </w:pPr>
      <w:r>
        <w:rPr>
          <w:bCs/>
          <w:b/>
        </w:rPr>
        <w:t xml:space="preserve">4. Soporte Completo CodeflowX:</w:t>
      </w:r>
      <w:r>
        <w:t xml:space="preserve"> </w:t>
      </w:r>
      <w:r>
        <w:t xml:space="preserve">- Formación técnica partner (certificación 2 días)</w:t>
      </w:r>
      <w:r>
        <w:t xml:space="preserve"> </w:t>
      </w:r>
      <w:r>
        <w:t xml:space="preserve">- Materiales venta (decks, demos, casos uso)</w:t>
      </w:r>
      <w:r>
        <w:t xml:space="preserve"> </w:t>
      </w:r>
      <w:r>
        <w:t xml:space="preserve">- Soporte técnico para tus integraciones</w:t>
      </w:r>
      <w:r>
        <w:t xml:space="preserve"> </w:t>
      </w:r>
      <w:r>
        <w:t xml:space="preserve">- Account manager dedicado</w:t>
      </w:r>
    </w:p>
    <w:bookmarkEnd w:id="26"/>
    <w:bookmarkStart w:id="27" w:name="cómo-funciona-el-partner-program"/>
    <w:p>
      <w:pPr>
        <w:pStyle w:val="Heading3"/>
      </w:pPr>
      <w:r>
        <w:rPr>
          <w:bCs/>
          <w:b/>
        </w:rPr>
        <w:t xml:space="preserve">Cómo Funciona el Partner Program</w:t>
      </w:r>
    </w:p>
    <w:p>
      <w:pPr>
        <w:pStyle w:val="FirstParagraph"/>
      </w:pPr>
      <w:r>
        <w:rPr>
          <w:bCs/>
          <w:b/>
        </w:rPr>
        <w:t xml:space="preserve">Paso 1 - Onboarding Partner (Semana 1-2):</w:t>
      </w:r>
      <w:r>
        <w:t xml:space="preserve"> </w:t>
      </w:r>
      <w:r>
        <w:t xml:space="preserve">- Certificación técnica tu equipo (2 días presencial/online)</w:t>
      </w:r>
      <w:r>
        <w:t xml:space="preserve"> </w:t>
      </w:r>
      <w:r>
        <w:t xml:space="preserve">- Setup cuenta partner + sandbox demo</w:t>
      </w:r>
      <w:r>
        <w:t xml:space="preserve"> </w:t>
      </w:r>
      <w:r>
        <w:t xml:space="preserve">- Materiales comerciales + pricing</w:t>
      </w:r>
    </w:p>
    <w:p>
      <w:pPr>
        <w:pStyle w:val="BodyText"/>
      </w:pPr>
      <w:r>
        <w:rPr>
          <w:bCs/>
          <w:b/>
        </w:rPr>
        <w:t xml:space="preserve">Paso 2 - Primeros Clientes (Mes 1-2):</w:t>
      </w:r>
      <w:r>
        <w:t xml:space="preserve"> </w:t>
      </w:r>
      <w:r>
        <w:t xml:space="preserve">- Identificas 2-3 clientes piloto (te ayudamos)</w:t>
      </w:r>
      <w:r>
        <w:t xml:space="preserve"> </w:t>
      </w:r>
      <w:r>
        <w:t xml:space="preserve">- Implementas con soporte CodeflowX</w:t>
      </w:r>
      <w:r>
        <w:t xml:space="preserve"> </w:t>
      </w:r>
      <w:r>
        <w:t xml:space="preserve">- Cierras primeros deals</w:t>
      </w:r>
    </w:p>
    <w:p>
      <w:pPr>
        <w:pStyle w:val="BodyText"/>
      </w:pPr>
      <w:r>
        <w:rPr>
          <w:bCs/>
          <w:b/>
        </w:rPr>
        <w:t xml:space="preserve">Paso 3 - Escala (Mes 3+):</w:t>
      </w:r>
      <w:r>
        <w:t xml:space="preserve"> </w:t>
      </w:r>
      <w:r>
        <w:t xml:space="preserve">- Pipeline comercial partner</w:t>
      </w:r>
      <w:r>
        <w:t xml:space="preserve"> </w:t>
      </w:r>
      <w:r>
        <w:t xml:space="preserve">- Revenue recurrente consolidado</w:t>
      </w:r>
      <w:r>
        <w:t xml:space="preserve"> </w:t>
      </w:r>
      <w:r>
        <w:t xml:space="preserve">- Upsell servicios profesionales</w:t>
      </w:r>
    </w:p>
    <w:bookmarkEnd w:id="27"/>
    <w:bookmarkStart w:id="28" w:name="integración-técnica-con-tu-stack"/>
    <w:p>
      <w:pPr>
        <w:pStyle w:val="Heading3"/>
      </w:pPr>
      <w:r>
        <w:rPr>
          <w:bCs/>
          <w:b/>
        </w:rPr>
        <w:t xml:space="preserve">Integración Técnica con Tu Stack</w:t>
      </w:r>
    </w:p>
    <w:p>
      <w:pPr>
        <w:pStyle w:val="FirstParagraph"/>
      </w:pPr>
      <w:r>
        <w:rPr>
          <w:bCs/>
          <w:b/>
        </w:rPr>
        <w:t xml:space="preserve">Se Integra con TODO lo que Ya Usas:</w:t>
      </w:r>
    </w:p>
    <w:p>
      <w:pPr>
        <w:pStyle w:val="BodyText"/>
      </w:pPr>
      <w:r>
        <w:rPr>
          <w:bCs/>
          <w:b/>
        </w:rPr>
        <w:t xml:space="preserve">APIs Modelos:</w:t>
      </w:r>
      <w:r>
        <w:t xml:space="preserve"> </w:t>
      </w:r>
      <w:r>
        <w:t xml:space="preserve">- OpenAI (GPT-4, GPT-3.5), Anthropic (Claude), Azure OpenAI</w:t>
      </w:r>
      <w:r>
        <w:t xml:space="preserve"> </w:t>
      </w:r>
      <w:r>
        <w:t xml:space="preserve">- Google Gemini, Cohere, Mistral</w:t>
      </w:r>
      <w:r>
        <w:t xml:space="preserve"> </w:t>
      </w:r>
      <w:r>
        <w:t xml:space="preserve">- Modelos open-source (HuggingFace, Ollama, vLLM)</w:t>
      </w:r>
    </w:p>
    <w:p>
      <w:pPr>
        <w:pStyle w:val="BodyText"/>
      </w:pPr>
      <w:r>
        <w:rPr>
          <w:bCs/>
          <w:b/>
        </w:rPr>
        <w:t xml:space="preserve">Frameworks IA:</w:t>
      </w:r>
      <w:r>
        <w:t xml:space="preserve"> </w:t>
      </w:r>
      <w:r>
        <w:t xml:space="preserve">- LangChain, LlamaIndex (RAG)</w:t>
      </w:r>
      <w:r>
        <w:t xml:space="preserve"> </w:t>
      </w:r>
      <w:r>
        <w:t xml:space="preserve">- AutoGen, CrewAI (agentes multi-agente)</w:t>
      </w:r>
      <w:r>
        <w:t xml:space="preserve"> </w:t>
      </w:r>
      <w:r>
        <w:t xml:space="preserve">- LangGraph (workflows complejos)</w:t>
      </w:r>
      <w:r>
        <w:t xml:space="preserve"> </w:t>
      </w:r>
      <w:r>
        <w:t xml:space="preserve">- Haystack, Semantic Kernel</w:t>
      </w:r>
    </w:p>
    <w:p>
      <w:pPr>
        <w:pStyle w:val="BodyText"/>
      </w:pPr>
      <w:r>
        <w:rPr>
          <w:bCs/>
          <w:b/>
        </w:rPr>
        <w:t xml:space="preserve">Backends Cliente:</w:t>
      </w:r>
      <w:r>
        <w:t xml:space="preserve"> </w:t>
      </w:r>
      <w:r>
        <w:t xml:space="preserve">- Python: FastAPI, Flask, Django</w:t>
      </w:r>
      <w:r>
        <w:t xml:space="preserve"> </w:t>
      </w:r>
      <w:r>
        <w:t xml:space="preserve">- Java: Spring Boot, Quarkus</w:t>
      </w:r>
      <w:r>
        <w:t xml:space="preserve"> </w:t>
      </w:r>
      <w:r>
        <w:t xml:space="preserve">- Node.js: Express, NestJS</w:t>
      </w:r>
      <w:r>
        <w:t xml:space="preserve"> </w:t>
      </w:r>
      <w:r>
        <w:t xml:space="preserve">- Frontend: React, Next.js, Vue</w:t>
      </w:r>
    </w:p>
    <w:bookmarkEnd w:id="28"/>
    <w:bookmarkStart w:id="29" w:name="arquitectura-integración"/>
    <w:p>
      <w:pPr>
        <w:pStyle w:val="Heading3"/>
      </w:pPr>
      <w:r>
        <w:rPr>
          <w:bCs/>
          <w:b/>
        </w:rPr>
        <w:t xml:space="preserve">Arquitectura Integración</w:t>
      </w:r>
    </w:p>
    <w:p>
      <w:pPr>
        <w:pStyle w:val="FirstParagraph"/>
      </w:pPr>
      <w:r>
        <w:rPr>
          <w:bCs/>
          <w:b/>
        </w:rPr>
        <w:t xml:space="preserve">Opción 1 - Cloud CodeflowX (70% casos):</w:t>
      </w:r>
      <w:r>
        <w:t xml:space="preserve"> </w:t>
      </w:r>
      <w:r>
        <w:t xml:space="preserve">- Cliente llama APIs REST CodeflowX</w:t>
      </w:r>
      <w:r>
        <w:t xml:space="preserve"> </w:t>
      </w:r>
      <w:r>
        <w:t xml:space="preserve">- SDKs disponibles: Python, Java, JavaScript</w:t>
      </w:r>
      <w:r>
        <w:t xml:space="preserve"> </w:t>
      </w:r>
      <w:r>
        <w:t xml:space="preserve">- Datos en territorio europeo (Frankfurt/Madrid)</w:t>
      </w:r>
      <w:r>
        <w:t xml:space="preserve"> </w:t>
      </w:r>
      <w:r>
        <w:t xml:space="preserve">- Setup: 1-2 semanas</w:t>
      </w:r>
    </w:p>
    <w:p>
      <w:pPr>
        <w:pStyle w:val="BodyText"/>
      </w:pPr>
      <w:r>
        <w:rPr>
          <w:bCs/>
          <w:b/>
        </w:rPr>
        <w:t xml:space="preserve">Opción 2 - On-Premise Cliente (20% casos - regulados):</w:t>
      </w:r>
      <w:r>
        <w:t xml:space="preserve"> </w:t>
      </w:r>
      <w:r>
        <w:t xml:space="preserve">- Despliegue Kubernetes completo en infra cliente</w:t>
      </w:r>
      <w:r>
        <w:t xml:space="preserve"> </w:t>
      </w:r>
      <w:r>
        <w:t xml:space="preserve">- Control total cliente (bancos, salud, gobierno)</w:t>
      </w:r>
      <w:r>
        <w:t xml:space="preserve"> </w:t>
      </w:r>
      <w:r>
        <w:t xml:space="preserve">- Setup: 2-4 semanas</w:t>
      </w:r>
    </w:p>
    <w:p>
      <w:pPr>
        <w:pStyle w:val="BodyText"/>
      </w:pPr>
      <w:r>
        <w:rPr>
          <w:bCs/>
          <w:b/>
        </w:rPr>
        <w:t xml:space="preserve">Opción 3 - Híbrida (10% casos):</w:t>
      </w:r>
      <w:r>
        <w:t xml:space="preserve"> </w:t>
      </w:r>
      <w:r>
        <w:t xml:space="preserve">- Compliance cloud CodeflowX</w:t>
      </w:r>
      <w:r>
        <w:t xml:space="preserve"> </w:t>
      </w:r>
      <w:r>
        <w:t xml:space="preserve">- Inferencia on-premise cliente</w:t>
      </w:r>
      <w:r>
        <w:t xml:space="preserve"> </w:t>
      </w:r>
      <w:r>
        <w:t xml:space="preserve">- Best of both worlds</w:t>
      </w:r>
    </w:p>
    <w:bookmarkEnd w:id="29"/>
    <w:bookmarkStart w:id="30" w:name="infraestructura-técnica-codeflowx"/>
    <w:p>
      <w:pPr>
        <w:pStyle w:val="Heading3"/>
      </w:pPr>
      <w:r>
        <w:rPr>
          <w:bCs/>
          <w:b/>
        </w:rPr>
        <w:t xml:space="preserve">Infraestructura Técnica CodeflowX</w:t>
      </w:r>
    </w:p>
    <w:p>
      <w:pPr>
        <w:pStyle w:val="FirstParagraph"/>
      </w:pPr>
      <w:r>
        <w:rPr>
          <w:bCs/>
          <w:b/>
        </w:rPr>
        <w:t xml:space="preserve">Stack Kubernetes Completo:</w:t>
      </w:r>
    </w:p>
    <w:p>
      <w:pPr>
        <w:pStyle w:val="BodyText"/>
      </w:pPr>
      <w:r>
        <w:rPr>
          <w:bCs/>
          <w:b/>
        </w:rPr>
        <w:t xml:space="preserve">Capa Aplicación:</w:t>
      </w:r>
      <w:r>
        <w:t xml:space="preserve"> </w:t>
      </w:r>
      <w:r>
        <w:t xml:space="preserve">- 20+ microservicios (Python FastAPI + Java Spring Boot)</w:t>
      </w:r>
      <w:r>
        <w:t xml:space="preserve"> </w:t>
      </w:r>
      <w:r>
        <w:t xml:space="preserve">- 22 workflows BPMN automatizados (Camunda)</w:t>
      </w:r>
      <w:r>
        <w:t xml:space="preserve"> </w:t>
      </w:r>
      <w:r>
        <w:t xml:space="preserve">- 120+ reglas negocio (motor Drools)</w:t>
      </w:r>
      <w:r>
        <w:t xml:space="preserve"> </w:t>
      </w:r>
      <w:r>
        <w:t xml:space="preserve">- 489 entidades normalizadas</w:t>
      </w:r>
      <w:r>
        <w:t xml:space="preserve"> </w:t>
      </w:r>
      <w:r>
        <w:t xml:space="preserve">- ~750 pantallas UI gobierno completo</w:t>
      </w:r>
    </w:p>
    <w:p>
      <w:pPr>
        <w:pStyle w:val="BodyText"/>
      </w:pPr>
      <w:r>
        <w:rPr>
          <w:bCs/>
          <w:b/>
        </w:rPr>
        <w:t xml:space="preserve">Capa Persistencia y Datos:</w:t>
      </w:r>
      <w:r>
        <w:t xml:space="preserve"> </w:t>
      </w:r>
      <w:r>
        <w:t xml:space="preserve">- PostgreSQL (datos relacionales, alta disponibilidad)</w:t>
      </w:r>
      <w:r>
        <w:t xml:space="preserve"> </w:t>
      </w:r>
      <w:r>
        <w:t xml:space="preserve">- Qdrant (bases datos vectoriales para RAG)</w:t>
      </w:r>
      <w:r>
        <w:t xml:space="preserve"> </w:t>
      </w:r>
      <w:r>
        <w:t xml:space="preserve">- OpenSearch (logs, auditoría, búsqueda)</w:t>
      </w:r>
    </w:p>
    <w:p>
      <w:pPr>
        <w:pStyle w:val="BodyText"/>
      </w:pPr>
      <w:r>
        <w:rPr>
          <w:bCs/>
          <w:b/>
        </w:rPr>
        <w:t xml:space="preserve">Capa Monitorización:</w:t>
      </w:r>
      <w:r>
        <w:t xml:space="preserve"> </w:t>
      </w:r>
      <w:r>
        <w:t xml:space="preserve">- Prometheus + Grafana (métricas real-time)</w:t>
      </w:r>
      <w:r>
        <w:t xml:space="preserve"> </w:t>
      </w:r>
      <w:r>
        <w:t xml:space="preserve">- Logs inmutables (Art. 19 compliance)</w:t>
      </w:r>
      <w:r>
        <w:t xml:space="preserve"> </w:t>
      </w:r>
      <w:r>
        <w:t xml:space="preserve">- Alerting automático</w:t>
      </w:r>
    </w:p>
    <w:p>
      <w:pPr>
        <w:pStyle w:val="BodyText"/>
      </w:pPr>
      <w:r>
        <w:rPr>
          <w:bCs/>
          <w:b/>
        </w:rPr>
        <w:t xml:space="preserve">Capa Mensajería:</w:t>
      </w:r>
      <w:r>
        <w:t xml:space="preserve"> </w:t>
      </w:r>
      <w:r>
        <w:t xml:space="preserve">- RabbitMQ (workflows síncronos)</w:t>
      </w:r>
      <w:r>
        <w:t xml:space="preserve"> </w:t>
      </w:r>
      <w:r>
        <w:t xml:space="preserve">- Kafka (eventos asíncronos, alta volumetría)</w:t>
      </w:r>
    </w:p>
    <w:p>
      <w:pPr>
        <w:pStyle w:val="BodyText"/>
      </w:pPr>
      <w:r>
        <w:rPr>
          <w:bCs/>
          <w:b/>
        </w:rPr>
        <w:t xml:space="preserve">Capa Inferencia:</w:t>
      </w:r>
      <w:r>
        <w:t xml:space="preserve"> </w:t>
      </w:r>
      <w:r>
        <w:t xml:space="preserve">- Servidores propios LLMs (Llama, Mistral, etc.)</w:t>
      </w:r>
      <w:r>
        <w:t xml:space="preserve"> </w:t>
      </w:r>
      <w:r>
        <w:t xml:space="preserve">- Embeddings (multilingual)</w:t>
      </w:r>
      <w:r>
        <w:t xml:space="preserve"> </w:t>
      </w:r>
      <w:r>
        <w:t xml:space="preserve">- Audio, imagen (OCR, transcripción)</w:t>
      </w:r>
    </w:p>
    <w:p>
      <w:pPr>
        <w:pStyle w:val="BodyText"/>
      </w:pPr>
      <w:r>
        <w:rPr>
          <w:bCs/>
          <w:b/>
        </w:rPr>
        <w:t xml:space="preserve">Seguridad y Soberanía:</w:t>
      </w:r>
      <w:r>
        <w:t xml:space="preserve"> </w:t>
      </w:r>
      <w:r>
        <w:t xml:space="preserve">- Kubernetes namespaces aislados estrictamente</w:t>
      </w:r>
      <w:r>
        <w:t xml:space="preserve"> </w:t>
      </w:r>
      <w:r>
        <w:t xml:space="preserve">- Sin acceso multi-tenant clouds públicos genéricos</w:t>
      </w:r>
      <w:r>
        <w:t xml:space="preserve"> </w:t>
      </w:r>
      <w:r>
        <w:t xml:space="preserve">- Datos procesados y almacenados en territorio UE</w:t>
      </w:r>
      <w:r>
        <w:t xml:space="preserve"> </w:t>
      </w:r>
      <w:r>
        <w:t xml:space="preserve">- Auditoría completa accesos (Art. 12, Art. 19)</w:t>
      </w:r>
    </w:p>
    <w:p>
      <w:pPr>
        <w:pStyle w:val="BodyText"/>
      </w:pPr>
      <w:r>
        <w:rPr>
          <w:bCs/>
          <w:b/>
        </w:rPr>
        <w:t xml:space="preserve">Barrera entrada competencia:</w:t>
      </w:r>
      <w:r>
        <w:t xml:space="preserve"> </w:t>
      </w:r>
      <w:r>
        <w:t xml:space="preserve">12+ meses ingeniería especializada, no es adaptación herramienta existente.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diapositiva-3-casos-uso-programa-partner"/>
    <w:p>
      <w:pPr>
        <w:pStyle w:val="Heading2"/>
      </w:pPr>
      <w:r>
        <w:t xml:space="preserve">DIAPOSITIVA 3: CASOS USO + PROGRAMA PARTNER</w:t>
      </w:r>
    </w:p>
    <w:bookmarkStart w:id="32" w:name="Xbb5111e4196e1a2344df547dfb14670174362a2"/>
    <w:p>
      <w:pPr>
        <w:pStyle w:val="Heading3"/>
      </w:pPr>
      <w:r>
        <w:rPr>
          <w:bCs/>
          <w:b/>
        </w:rPr>
        <w:t xml:space="preserve">Casos de Uso Típicos (Tus Clientes Potenciales)</w:t>
      </w:r>
    </w:p>
    <w:p>
      <w:pPr>
        <w:pStyle w:val="FirstParagraph"/>
      </w:pPr>
      <w:r>
        <w:rPr>
          <w:bCs/>
          <w:b/>
        </w:rPr>
        <w:t xml:space="preserve">Sector Financiero:</w:t>
      </w:r>
      <w:r>
        <w:t xml:space="preserve"> </w:t>
      </w:r>
      <w:r>
        <w:t xml:space="preserve">- Chatbot atención cliente con GPT-4 →</w:t>
      </w:r>
      <w:r>
        <w:t xml:space="preserve"> </w:t>
      </w:r>
      <w:r>
        <w:rPr>
          <w:bCs/>
          <w:b/>
        </w:rPr>
        <w:t xml:space="preserve">Art. 6 Alto Riesgo</w:t>
      </w:r>
      <w:r>
        <w:t xml:space="preserve"> </w:t>
      </w:r>
      <w:r>
        <w:t xml:space="preserve">→ Requiere compliance</w:t>
      </w:r>
      <w:r>
        <w:t xml:space="preserve"> </w:t>
      </w:r>
      <w:r>
        <w:t xml:space="preserve">- Sistema scoring crediticio con ML →</w:t>
      </w:r>
      <w:r>
        <w:t xml:space="preserve"> </w:t>
      </w:r>
      <w:r>
        <w:rPr>
          <w:bCs/>
          <w:b/>
        </w:rPr>
        <w:t xml:space="preserve">Art. 6 Alto Riesgo</w:t>
      </w:r>
      <w:r>
        <w:t xml:space="preserve"> </w:t>
      </w:r>
      <w:r>
        <w:t xml:space="preserve">→ Auditable</w:t>
      </w:r>
      <w:r>
        <w:t xml:space="preserve"> </w:t>
      </w:r>
      <w:r>
        <w:t xml:space="preserve">- Detección fraude con anomaly detection → Requiere explicabilidad (Art. 13)</w:t>
      </w:r>
    </w:p>
    <w:p>
      <w:pPr>
        <w:pStyle w:val="BodyText"/>
      </w:pPr>
      <w:r>
        <w:rPr>
          <w:bCs/>
          <w:b/>
        </w:rPr>
        <w:t xml:space="preserve">Sector Salud:</w:t>
      </w:r>
      <w:r>
        <w:t xml:space="preserve"> </w:t>
      </w:r>
      <w:r>
        <w:t xml:space="preserve">- Asistente diagnóstico con IA →</w:t>
      </w:r>
      <w:r>
        <w:t xml:space="preserve"> </w:t>
      </w:r>
      <w:r>
        <w:rPr>
          <w:bCs/>
          <w:b/>
        </w:rPr>
        <w:t xml:space="preserve">Art. 6 Alto Riesgo (Anexo III.5.c)</w:t>
      </w:r>
      <w:r>
        <w:t xml:space="preserve"> </w:t>
      </w:r>
      <w:r>
        <w:t xml:space="preserve">→ Compliance crítico</w:t>
      </w:r>
      <w:r>
        <w:t xml:space="preserve"> </w:t>
      </w:r>
      <w:r>
        <w:t xml:space="preserve">- RAG con historiales médicos → Requiere trazabilidad (Art. 12, Art. 19)</w:t>
      </w:r>
      <w:r>
        <w:t xml:space="preserve"> </w:t>
      </w:r>
      <w:r>
        <w:t xml:space="preserve">- Chatbot pacientes → Requiere transparencia (Art. 13)</w:t>
      </w:r>
    </w:p>
    <w:p>
      <w:pPr>
        <w:pStyle w:val="BodyText"/>
      </w:pPr>
      <w:r>
        <w:rPr>
          <w:bCs/>
          <w:b/>
        </w:rPr>
        <w:t xml:space="preserve">Sector RRHH:</w:t>
      </w:r>
      <w:r>
        <w:t xml:space="preserve"> </w:t>
      </w:r>
      <w:r>
        <w:t xml:space="preserve">- Screening CVs con NLP →</w:t>
      </w:r>
      <w:r>
        <w:t xml:space="preserve"> </w:t>
      </w:r>
      <w:r>
        <w:rPr>
          <w:bCs/>
          <w:b/>
        </w:rPr>
        <w:t xml:space="preserve">Art. 6 Alto Riesgo (Anexo III.4)</w:t>
      </w:r>
      <w:r>
        <w:t xml:space="preserve"> </w:t>
      </w:r>
      <w:r>
        <w:t xml:space="preserve">→ Compliance obligatorio</w:t>
      </w:r>
      <w:r>
        <w:t xml:space="preserve"> </w:t>
      </w:r>
      <w:r>
        <w:t xml:space="preserve">- Evaluación desempeño con IA → Requiere supervisión humana (Art. 14)</w:t>
      </w:r>
      <w:r>
        <w:t xml:space="preserve"> </w:t>
      </w:r>
      <w:r>
        <w:t xml:space="preserve">- Chatbot onboarding empleados → Requiere logs inmutables (Art. 19)</w:t>
      </w:r>
    </w:p>
    <w:p>
      <w:pPr>
        <w:pStyle w:val="BodyText"/>
      </w:pPr>
      <w:r>
        <w:rPr>
          <w:bCs/>
          <w:b/>
        </w:rPr>
        <w:t xml:space="preserve">Sector Legal:</w:t>
      </w:r>
      <w:r>
        <w:t xml:space="preserve"> </w:t>
      </w:r>
      <w:r>
        <w:t xml:space="preserve">- RAG con jurisprudencia para despachos → Requiere citations (Art. 13)</w:t>
      </w:r>
      <w:r>
        <w:t xml:space="preserve"> </w:t>
      </w:r>
      <w:r>
        <w:t xml:space="preserve">- Análisis contratos con LLM → Requiere explicabilidad</w:t>
      </w:r>
      <w:r>
        <w:t xml:space="preserve"> </w:t>
      </w:r>
      <w:r>
        <w:t xml:space="preserve">- Chatbot consultas legales → Transparencia (Art. 52 - usuarios saben que es IA)</w:t>
      </w:r>
    </w:p>
    <w:p>
      <w:pPr>
        <w:pStyle w:val="BodyText"/>
      </w:pPr>
      <w:r>
        <w:rPr>
          <w:bCs/>
          <w:b/>
        </w:rPr>
        <w:t xml:space="preserve">Sector Público:</w:t>
      </w:r>
      <w:r>
        <w:t xml:space="preserve"> </w:t>
      </w:r>
      <w:r>
        <w:t xml:space="preserve">- Cualquier sistema IA →</w:t>
      </w:r>
      <w:r>
        <w:t xml:space="preserve"> </w:t>
      </w:r>
      <w:r>
        <w:rPr>
          <w:bCs/>
          <w:b/>
        </w:rPr>
        <w:t xml:space="preserve">Requiere FRIA (Art. 27 + Anexo IX)</w:t>
      </w:r>
      <w:r>
        <w:t xml:space="preserve"> </w:t>
      </w:r>
      <w:r>
        <w:t xml:space="preserve">→ CodeflowX automatiza</w:t>
      </w:r>
      <w:r>
        <w:t xml:space="preserve"> </w:t>
      </w:r>
      <w:r>
        <w:t xml:space="preserve">- Atención ciudadano con chatbot → Transparencia + supervisión humana</w:t>
      </w:r>
      <w:r>
        <w:t xml:space="preserve"> </w:t>
      </w:r>
      <w:r>
        <w:t xml:space="preserve">- Sistemas decisión administrativa → Alto Riesgo (Anexo III.8)</w:t>
      </w:r>
    </w:p>
    <w:p>
      <w:pPr>
        <w:pStyle w:val="BodyText"/>
      </w:pPr>
      <w:r>
        <w:rPr>
          <w:bCs/>
          <w:b/>
        </w:rPr>
        <w:t xml:space="preserve">Startups SaaS B2B:</w:t>
      </w:r>
      <w:r>
        <w:t xml:space="preserve"> </w:t>
      </w:r>
      <w:r>
        <w:t xml:space="preserve">- Asistente IA dentro producto → Clientes enterprise exigen compliance</w:t>
      </w:r>
      <w:r>
        <w:t xml:space="preserve"> </w:t>
      </w:r>
      <w:r>
        <w:t xml:space="preserve">- RAG con documentos corporativos → Logs inmutables (Art. 19)</w:t>
      </w:r>
      <w:r>
        <w:t xml:space="preserve"> </w:t>
      </w:r>
      <w:r>
        <w:t xml:space="preserve">- Agentes automatización tareas → Supervisión humana (Art. 14)</w:t>
      </w:r>
    </w:p>
    <w:bookmarkEnd w:id="32"/>
    <w:bookmarkStart w:id="33" w:name="Xa57f893390c7f0548dd387605151de91728b21a"/>
    <w:p>
      <w:pPr>
        <w:pStyle w:val="Heading3"/>
      </w:pPr>
      <w:r>
        <w:rPr>
          <w:bCs/>
          <w:b/>
        </w:rPr>
        <w:t xml:space="preserve">Números Reales - Reducción Carga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121"/>
        <w:gridCol w:w="212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(Art. 11 + Anexo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FRIA (Art. 27 + Anexo 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50-80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QMS setup (Art.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120-200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conformidad (Anexo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inmutables (Art.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 horas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horas (incluido)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ahorro promedio:</w:t>
      </w:r>
      <w:r>
        <w:t xml:space="preserve"> </w:t>
      </w:r>
      <w:r>
        <w:rPr>
          <w:bCs/>
          <w:b/>
        </w:rPr>
        <w:t xml:space="preserve">70-80% tiempo compliance</w:t>
      </w:r>
    </w:p>
    <w:bookmarkEnd w:id="33"/>
    <w:bookmarkStart w:id="34" w:name="condiciones-partner-program"/>
    <w:p>
      <w:pPr>
        <w:pStyle w:val="Heading3"/>
      </w:pPr>
      <w:r>
        <w:rPr>
          <w:bCs/>
          <w:b/>
        </w:rPr>
        <w:t xml:space="preserve">Condiciones Partner Program</w:t>
      </w:r>
    </w:p>
    <w:p>
      <w:pPr>
        <w:pStyle w:val="FirstParagraph"/>
      </w:pPr>
      <w:r>
        <w:rPr>
          <w:bCs/>
          <w:b/>
        </w:rPr>
        <w:t xml:space="preserve">Requisitos Partner:</w:t>
      </w:r>
      <w:r>
        <w:t xml:space="preserve"> </w:t>
      </w:r>
      <w:r>
        <w:t xml:space="preserve">- Equipo técnico (1+ developers)</w:t>
      </w:r>
      <w:r>
        <w:t xml:space="preserve"> </w:t>
      </w:r>
      <w:r>
        <w:t xml:space="preserve">- Cartera clientes potenciales con proyectos IA</w:t>
      </w:r>
      <w:r>
        <w:t xml:space="preserve"> </w:t>
      </w:r>
      <w:r>
        <w:t xml:space="preserve">- Certificación técnica CodeflowX (2 días)</w:t>
      </w:r>
      <w:r>
        <w:t xml:space="preserve"> </w:t>
      </w:r>
      <w:r>
        <w:t xml:space="preserve">- Compromiso 2+ clientes primer trimestre</w:t>
      </w:r>
    </w:p>
    <w:p>
      <w:pPr>
        <w:pStyle w:val="BodyText"/>
      </w:pPr>
      <w:r>
        <w:rPr>
          <w:bCs/>
          <w:b/>
        </w:rPr>
        <w:t xml:space="preserve">Beneficios Partner:</w:t>
      </w:r>
      <w:r>
        <w:t xml:space="preserve"> </w:t>
      </w:r>
      <w:r>
        <w:t xml:space="preserve">- Margen 20-40% sobre licencias cliente</w:t>
      </w:r>
      <w:r>
        <w:t xml:space="preserve"> </w:t>
      </w:r>
      <w:r>
        <w:t xml:space="preserve">- Territorios protegidos (exclusividad regional opcional)</w:t>
      </w:r>
      <w:r>
        <w:t xml:space="preserve"> </w:t>
      </w:r>
      <w:r>
        <w:t xml:space="preserve">- Soporte técnico prioritario</w:t>
      </w:r>
      <w:r>
        <w:t xml:space="preserve"> </w:t>
      </w:r>
      <w:r>
        <w:t xml:space="preserve">- Co-marketing (webinars, eventos)</w:t>
      </w:r>
      <w:r>
        <w:t xml:space="preserve"> </w:t>
      </w:r>
      <w:r>
        <w:t xml:space="preserve">- MDF (Marketing Development Funds) para early adopters</w:t>
      </w:r>
    </w:p>
    <w:p>
      <w:pPr>
        <w:pStyle w:val="BodyText"/>
      </w:pPr>
      <w:r>
        <w:rPr>
          <w:bCs/>
          <w:b/>
        </w:rPr>
        <w:t xml:space="preserve">Inversión Cliente Final:</w:t>
      </w:r>
      <w:r>
        <w:t xml:space="preserve"> </w:t>
      </w:r>
      <w:r>
        <w:t xml:space="preserve">- Licencia anual CodeflowX (según volumetría)</w:t>
      </w:r>
      <w:r>
        <w:t xml:space="preserve"> </w:t>
      </w:r>
      <w:r>
        <w:t xml:space="preserve">- Setup + integración (cobras tú como servicio profesional)</w:t>
      </w:r>
      <w:r>
        <w:t xml:space="preserve"> </w:t>
      </w:r>
      <w:r>
        <w:t xml:space="preserve">- Formación equipos (cobras tú)</w:t>
      </w:r>
      <w:r>
        <w:t xml:space="preserve"> </w:t>
      </w:r>
      <w:r>
        <w:t xml:space="preserve">- Soporte ongoing (cobras tú retainer o incluido en licencia)</w:t>
      </w:r>
    </w:p>
    <w:bookmarkEnd w:id="34"/>
    <w:bookmarkStart w:id="35" w:name="timeline-urgencia-eu-ai-act"/>
    <w:p>
      <w:pPr>
        <w:pStyle w:val="Heading3"/>
      </w:pPr>
      <w:r>
        <w:rPr>
          <w:bCs/>
          <w:b/>
        </w:rPr>
        <w:t xml:space="preserve">Timeline Urgencia EU AI Act</w:t>
      </w:r>
    </w:p>
    <w:p>
      <w:pPr>
        <w:pStyle w:val="FirstParagraph"/>
      </w:pPr>
      <w:r>
        <w:rPr>
          <w:bCs/>
          <w:b/>
        </w:rPr>
        <w:t xml:space="preserve">Fechas límite cumplimiento: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febrero 2025:</w:t>
      </w:r>
      <w:r>
        <w:t xml:space="preserve"> </w:t>
      </w:r>
      <w:r>
        <w:t xml:space="preserve">Capítulos I y II (sistemas prohibidos Art. 5) -</w:t>
      </w:r>
      <w:r>
        <w:t xml:space="preserve"> </w:t>
      </w:r>
      <w:r>
        <w:rPr>
          <w:bCs/>
          <w:b/>
        </w:rPr>
        <w:t xml:space="preserve">3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2025:</w:t>
      </w:r>
      <w:r>
        <w:t xml:space="preserve"> </w:t>
      </w:r>
      <w:r>
        <w:t xml:space="preserve">GPAI Capítulo V (Art. 51-55) -</w:t>
      </w:r>
      <w:r>
        <w:t xml:space="preserve"> </w:t>
      </w:r>
      <w:r>
        <w:rPr>
          <w:bCs/>
          <w:b/>
        </w:rPr>
        <w:t xml:space="preserve">9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2026:</w:t>
      </w:r>
      <w:r>
        <w:t xml:space="preserve"> </w:t>
      </w:r>
      <w:r>
        <w:t xml:space="preserve">Aplicación general del Reglamento -</w:t>
      </w:r>
      <w:r>
        <w:t xml:space="preserve"> </w:t>
      </w:r>
      <w:r>
        <w:rPr>
          <w:bCs/>
          <w:b/>
        </w:rPr>
        <w:t xml:space="preserve">21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2027:</w:t>
      </w:r>
      <w:r>
        <w:t xml:space="preserve"> </w:t>
      </w:r>
      <w:r>
        <w:t xml:space="preserve">Sistemas alto riesgo Art. 6 y obligaciones -</w:t>
      </w:r>
      <w:r>
        <w:t xml:space="preserve"> </w:t>
      </w:r>
      <w:r>
        <w:rPr>
          <w:bCs/>
          <w:b/>
        </w:rPr>
        <w:t xml:space="preserve">32 MESES</w:t>
      </w:r>
    </w:p>
    <w:p>
      <w:pPr>
        <w:pStyle w:val="BodyText"/>
      </w:pPr>
      <w:r>
        <w:rPr>
          <w:bCs/>
          <w:b/>
        </w:rPr>
        <w:t xml:space="preserve">Multas incumplimiento (Art. 99):</w:t>
      </w:r>
      <w:r>
        <w:t xml:space="preserve"> </w:t>
      </w:r>
      <w:r>
        <w:t xml:space="preserve">- Hasta</w:t>
      </w:r>
      <w:r>
        <w:t xml:space="preserve"> </w:t>
      </w:r>
      <w:r>
        <w:rPr>
          <w:bCs/>
          <w:b/>
        </w:rPr>
        <w:t xml:space="preserve">35M€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7% facturación global anual</w:t>
      </w:r>
      <w:r>
        <w:t xml:space="preserve"> </w:t>
      </w:r>
      <w:r>
        <w:t xml:space="preserve">- Enforcement: Autoridades nacionales (AEPD en España) ya preparándose</w:t>
      </w:r>
      <w:r>
        <w:t xml:space="preserve"> </w:t>
      </w:r>
      <w:r>
        <w:t xml:space="preserve">- Primeras auditorías esperadas Q2 2025</w:t>
      </w:r>
    </w:p>
    <w:p>
      <w:pPr>
        <w:pStyle w:val="BodyText"/>
      </w:pPr>
      <w:r>
        <w:rPr>
          <w:bCs/>
          <w:b/>
        </w:rPr>
        <w:t xml:space="preserve">Oportunidad comercial:</w:t>
      </w:r>
      <w:r>
        <w:t xml:space="preserve"> </w:t>
      </w:r>
      <w:r>
        <w:t xml:space="preserve">- Tus clientes AHORA preguntan compliance</w:t>
      </w:r>
      <w:r>
        <w:t xml:space="preserve"> </w:t>
      </w:r>
      <w:r>
        <w:t xml:space="preserve">- Competencia sin respuesta → Tú SÍ tienes solución</w:t>
      </w:r>
      <w:r>
        <w:t xml:space="preserve"> </w:t>
      </w:r>
      <w:r>
        <w:t xml:space="preserve">- First-mover advantage en tu región</w:t>
      </w:r>
    </w:p>
    <w:p>
      <w:r>
        <w:pict>
          <v:rect style="width:0;height:1.5pt" o:hralign="center" o:hrstd="t" o:hr="t"/>
        </w:pict>
      </w:r>
    </w:p>
    <w:bookmarkEnd w:id="35"/>
    <w:bookmarkStart w:id="36" w:name="próximos-pasos---convertirte-en-partner"/>
    <w:p>
      <w:pPr>
        <w:pStyle w:val="Heading3"/>
      </w:pPr>
      <w:r>
        <w:rPr>
          <w:bCs/>
          <w:b/>
        </w:rPr>
        <w:t xml:space="preserve">Próximos Pasos - Convertirte en Partner</w:t>
      </w:r>
    </w:p>
    <w:p>
      <w:pPr>
        <w:pStyle w:val="FirstParagraph"/>
      </w:pPr>
      <w:r>
        <w:rPr>
          <w:bCs/>
          <w:b/>
        </w:rPr>
        <w:t xml:space="preserve">1. Demo Técnica (30 min):</w:t>
      </w:r>
      <w:r>
        <w:t xml:space="preserve"> </w:t>
      </w:r>
      <w:r>
        <w:t xml:space="preserve">- Vemos tu stack actual</w:t>
      </w:r>
      <w:r>
        <w:t xml:space="preserve"> </w:t>
      </w:r>
      <w:r>
        <w:t xml:space="preserve">- Evaluamos fit con tus clientes</w:t>
      </w:r>
      <w:r>
        <w:t xml:space="preserve"> </w:t>
      </w:r>
      <w:r>
        <w:t xml:space="preserve">- Explicamos programa partner detallado</w:t>
      </w:r>
    </w:p>
    <w:p>
      <w:pPr>
        <w:pStyle w:val="BodyText"/>
      </w:pPr>
      <w:r>
        <w:rPr>
          <w:bCs/>
          <w:b/>
        </w:rPr>
        <w:t xml:space="preserve">2. Certificación Técnica (2 días):</w:t>
      </w:r>
      <w:r>
        <w:t xml:space="preserve"> </w:t>
      </w:r>
      <w:r>
        <w:t xml:space="preserve">- Formación arquitectura CodeflowX</w:t>
      </w:r>
      <w:r>
        <w:t xml:space="preserve"> </w:t>
      </w:r>
      <w:r>
        <w:t xml:space="preserve">- Casos uso e integraciones</w:t>
      </w:r>
      <w:r>
        <w:t xml:space="preserve"> </w:t>
      </w:r>
      <w:r>
        <w:t xml:space="preserve">- Sandbox para pruebas</w:t>
      </w:r>
    </w:p>
    <w:p>
      <w:pPr>
        <w:pStyle w:val="BodyText"/>
      </w:pPr>
      <w:r>
        <w:rPr>
          <w:bCs/>
          <w:b/>
        </w:rPr>
        <w:t xml:space="preserve">3. Onboarding Comercial (1 día):</w:t>
      </w:r>
      <w:r>
        <w:t xml:space="preserve"> </w:t>
      </w:r>
      <w:r>
        <w:t xml:space="preserve">- Materiales venta (decks, demos, pricing)</w:t>
      </w:r>
      <w:r>
        <w:t xml:space="preserve"> </w:t>
      </w:r>
      <w:r>
        <w:t xml:space="preserve">- Estrategia identificación clientes</w:t>
      </w:r>
      <w:r>
        <w:t xml:space="preserve"> </w:t>
      </w:r>
      <w:r>
        <w:t xml:space="preserve">- Account manager dedicado asignado</w:t>
      </w:r>
    </w:p>
    <w:p>
      <w:pPr>
        <w:pStyle w:val="BodyText"/>
      </w:pPr>
      <w:r>
        <w:rPr>
          <w:bCs/>
          <w:b/>
        </w:rPr>
        <w:t xml:space="preserve">4. Primeros Clientes (Mes 1-2):</w:t>
      </w:r>
      <w:r>
        <w:t xml:space="preserve"> </w:t>
      </w:r>
      <w:r>
        <w:t xml:space="preserve">- Implementación piloto con soporte</w:t>
      </w:r>
      <w:r>
        <w:t xml:space="preserve"> </w:t>
      </w:r>
      <w:r>
        <w:t xml:space="preserve">- Revenue primeros deals</w:t>
      </w:r>
      <w:r>
        <w:t xml:space="preserve"> </w:t>
      </w:r>
      <w:r>
        <w:t xml:space="preserve">- Escalado pipeline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tacto-partner-program"/>
    <w:p>
      <w:pPr>
        <w:pStyle w:val="Heading2"/>
      </w:pPr>
      <w:r>
        <w:t xml:space="preserve">CONTACTO PARTNER PROGRAM</w:t>
      </w:r>
    </w:p>
    <w:p>
      <w:pPr>
        <w:pStyle w:val="FirstParagraph"/>
      </w:pPr>
      <w:r>
        <w:rPr>
          <w:bCs/>
          <w:b/>
        </w:rPr>
        <w:t xml:space="preserve">Solicitar información partner:</w:t>
      </w:r>
      <w:r>
        <w:br/>
      </w:r>
      <w:r>
        <w:t xml:space="preserve">Email: partners@codeflowx.com</w:t>
      </w:r>
      <w:r>
        <w:br/>
      </w:r>
      <w:r>
        <w:t xml:space="preserve">Teléfono: [teléfono]</w:t>
      </w:r>
      <w:r>
        <w:br/>
      </w:r>
      <w:r>
        <w:t xml:space="preserve">Calendly demo: [link]</w:t>
      </w:r>
    </w:p>
    <w:p>
      <w:pPr>
        <w:pStyle w:val="BodyText"/>
      </w:pPr>
      <w:r>
        <w:rPr>
          <w:bCs/>
          <w:b/>
        </w:rPr>
        <w:t xml:space="preserve">Preguntas técnicas integración:</w:t>
      </w:r>
      <w:r>
        <w:br/>
      </w:r>
      <w:r>
        <w:t xml:space="preserve">Email: tech@codeflowx.com</w:t>
      </w:r>
    </w:p>
    <w:p>
      <w:pPr>
        <w:pStyle w:val="BodyText"/>
      </w:pPr>
      <w:r>
        <w:rPr>
          <w:bCs/>
          <w:b/>
        </w:rPr>
        <w:t xml:space="preserve">Early Adopters Partners (Q1 2025):</w:t>
      </w:r>
      <w:r>
        <w:br/>
      </w:r>
      <w:r>
        <w:t xml:space="preserve">Condiciones especiales primeros 10 partners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CodeflowX - De España para Europa</w:t>
      </w:r>
      <w:r>
        <w:br/>
      </w:r>
      <w:r>
        <w:rPr>
          <w:bCs/>
          <w:b/>
        </w:rPr>
        <w:t xml:space="preserve">Infraestructura europea, compliance europeo, soberanía garantizada</w:t>
      </w:r>
      <w:r>
        <w:br/>
      </w:r>
      <w:r>
        <w:rPr>
          <w:bCs/>
          <w:b/>
        </w:rPr>
        <w:t xml:space="preserve">Partner Program - Crece con nosotros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2025-11-03T08:04:27Z</dcterms:created>
  <dcterms:modified xsi:type="dcterms:W3CDTF">2025-11-03T08:04:27Z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