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deflowx---resumen-ejecutivo"/>
    <w:p>
      <w:pPr>
        <w:pStyle w:val="Heading1"/>
      </w:pPr>
      <w:r>
        <w:t xml:space="preserve">CODEFLOWX - RESUMEN EJECUTIVO</w:t>
      </w:r>
    </w:p>
    <w:bookmarkStart w:id="20" w:name="X415fcc2fbca7cf8aab20527f979ddc0349e4807"/>
    <w:p>
      <w:pPr>
        <w:pStyle w:val="Heading2"/>
      </w:pPr>
      <w:r>
        <w:t xml:space="preserve">Gobierno Integral de IA y Compliance Reglamento (UE) 2024/1689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Destinatario:</w:t>
      </w:r>
      <w:r>
        <w:t xml:space="preserve"> </w:t>
      </w:r>
      <w:r>
        <w:t xml:space="preserve">Profesionales jurídicos, consultores compliance, bufetes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3 diapositivas - Presentación ejecutiva</w:t>
      </w:r>
      <w:r>
        <w:br/>
      </w:r>
      <w:r>
        <w:rPr>
          <w:bCs/>
          <w:b/>
        </w:rPr>
        <w:t xml:space="preserve">Diferenciador:</w:t>
      </w:r>
      <w:r>
        <w:t xml:space="preserve"> </w:t>
      </w:r>
      <w:r>
        <w:t xml:space="preserve">Única plataforma con gobierno completo del ciclo de vida de IA en territorio europeo</w:t>
      </w:r>
    </w:p>
    <w:p>
      <w:r>
        <w:pict>
          <v:rect style="width:0;height:1.5pt" o:hralign="center" o:hrstd="t" o:hr="t"/>
        </w:pict>
      </w:r>
    </w:p>
    <w:bookmarkEnd w:id="20"/>
    <w:bookmarkStart w:id="24" w:name="X70e77f827ea39010a72b23cc751a0a81c71dcc8"/>
    <w:p>
      <w:pPr>
        <w:pStyle w:val="Heading2"/>
      </w:pPr>
      <w:r>
        <w:t xml:space="preserve">DIAPOSITIVA 1: COBERTURA NORMATIVA REGLAMENTO UE 2024/1689</w:t>
      </w:r>
    </w:p>
    <w:bookmarkStart w:id="21" w:name="Xb37167e2a82ae0c420a28999a20c57aa0d19074"/>
    <w:p>
      <w:pPr>
        <w:pStyle w:val="Heading3"/>
      </w:pPr>
      <w:r>
        <w:rPr>
          <w:bCs/>
          <w:b/>
        </w:rPr>
        <w:t xml:space="preserve">Verificación Exhaustiva Contra Texto Oficial</w:t>
      </w:r>
    </w:p>
    <w:p>
      <w:pPr>
        <w:pStyle w:val="FirstParagraph"/>
      </w:pPr>
      <w:r>
        <w:rPr>
          <w:bCs/>
          <w:b/>
        </w:rPr>
        <w:t xml:space="preserve">Metodología:</w:t>
      </w:r>
      <w:r>
        <w:t xml:space="preserve"> </w:t>
      </w:r>
      <w:r>
        <w:t xml:space="preserve">Análisis artículo por artículo del Diario Oficial de la Unión Europea L, 2024/1689</w:t>
      </w:r>
    </w:p>
    <w:p>
      <w:pPr>
        <w:pStyle w:val="BodyText"/>
      </w:pPr>
      <w:r>
        <w:rPr>
          <w:bCs/>
          <w:b/>
        </w:rPr>
        <w:t xml:space="preserve">Resultados: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32 artículos</w:t>
      </w:r>
      <w:r>
        <w:t xml:space="preserve"> </w:t>
      </w:r>
      <w:r>
        <w:t xml:space="preserve">aplicables a proveedores y responsables del despliegue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13 anexos técnicos</w:t>
      </w:r>
      <w:r>
        <w:t xml:space="preserve"> </w:t>
      </w:r>
      <w:r>
        <w:t xml:space="preserve">(Anexos I-XIII)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65 requisitos específicos</w:t>
      </w:r>
      <w:r>
        <w:t xml:space="preserve"> </w:t>
      </w:r>
      <w:r>
        <w:t xml:space="preserve">identificados y cubiertos</w:t>
      </w:r>
    </w:p>
    <w:bookmarkEnd w:id="21"/>
    <w:bookmarkStart w:id="22" w:name="obligaciones-principales-cubiertas"/>
    <w:p>
      <w:pPr>
        <w:pStyle w:val="Heading3"/>
      </w:pPr>
      <w:r>
        <w:rPr>
          <w:bCs/>
          <w:b/>
        </w:rPr>
        <w:t xml:space="preserve">Obligaciones Principales Cubiertas:</w:t>
      </w:r>
    </w:p>
    <w:p>
      <w:pPr>
        <w:pStyle w:val="FirstParagraph"/>
      </w:pPr>
      <w:r>
        <w:rPr>
          <w:bCs/>
          <w:b/>
        </w:rPr>
        <w:t xml:space="preserve">Sistemas de Alto Riesgo (Título III - Art. 6-27):</w:t>
      </w:r>
      <w:r>
        <w:t xml:space="preserve"> </w:t>
      </w:r>
      <w:r>
        <w:t xml:space="preserve">- Art. 9: Sistema de gestión de riesgos iterativo</w:t>
      </w:r>
      <w:r>
        <w:t xml:space="preserve"> </w:t>
      </w:r>
      <w:r>
        <w:t xml:space="preserve">- Art. 10: Gobernanza de datos de entrenamiento, validación y prueba</w:t>
      </w:r>
      <w:r>
        <w:t xml:space="preserve"> </w:t>
      </w:r>
      <w:r>
        <w:t xml:space="preserve">- Art. 11 + Anexo IV: Documentación técnica (9 secciones obligatorias)</w:t>
      </w:r>
      <w:r>
        <w:t xml:space="preserve"> </w:t>
      </w:r>
      <w:r>
        <w:t xml:space="preserve">- Art. 17: Sistema de gestión de calidad (13 módulos integrados)</w:t>
      </w:r>
      <w:r>
        <w:t xml:space="preserve"> </w:t>
      </w:r>
      <w:r>
        <w:t xml:space="preserve">- Art. 19: Registro de actividad inmutable y auditable</w:t>
      </w:r>
      <w:r>
        <w:t xml:space="preserve"> </w:t>
      </w:r>
      <w:r>
        <w:t xml:space="preserve">- Art. 27 + Anexo IX: Evaluación de impacto sobre derechos fundamentales (FRIA)</w:t>
      </w:r>
      <w:r>
        <w:t xml:space="preserve"> </w:t>
      </w:r>
      <w:r>
        <w:t xml:space="preserve">- Art. 43 + Anexo VI: Evaluación de conformidad (4 pasos)</w:t>
      </w:r>
      <w:r>
        <w:t xml:space="preserve"> </w:t>
      </w:r>
      <w:r>
        <w:t xml:space="preserve">- Art. 47 + Anexo V: Declaración UE de conformidad (8 elementos)</w:t>
      </w:r>
      <w:r>
        <w:t xml:space="preserve"> </w:t>
      </w:r>
      <w:r>
        <w:t xml:space="preserve">- Art. 49 + Anexo VIII: Registro en base de datos UE (3 secciones)</w:t>
      </w:r>
    </w:p>
    <w:p>
      <w:pPr>
        <w:pStyle w:val="BodyText"/>
      </w:pPr>
      <w:r>
        <w:rPr>
          <w:bCs/>
          <w:b/>
        </w:rPr>
        <w:t xml:space="preserve">Modelos GPAI (Capítulo V - Art. 51-55):</w:t>
      </w:r>
      <w:r>
        <w:t xml:space="preserve"> </w:t>
      </w:r>
      <w:r>
        <w:t xml:space="preserve">- Art. 51: Clasificación modelos propósito general (umbral 10²⁵ FLOPs)</w:t>
      </w:r>
      <w:r>
        <w:t xml:space="preserve"> </w:t>
      </w:r>
      <w:r>
        <w:t xml:space="preserve">- Art. 53: Obligaciones proveedores GPAI y proveedores descendentes</w:t>
      </w:r>
      <w:r>
        <w:t xml:space="preserve"> </w:t>
      </w:r>
      <w:r>
        <w:t xml:space="preserve">- Art. 55: Modelos con riesgo sistémico</w:t>
      </w:r>
      <w:r>
        <w:t xml:space="preserve"> </w:t>
      </w:r>
      <w:r>
        <w:t xml:space="preserve">- Anexos XI-XII: Documentación técnica y transparencia</w:t>
      </w:r>
    </w:p>
    <w:p>
      <w:pPr>
        <w:pStyle w:val="BodyText"/>
      </w:pPr>
      <w:r>
        <w:rPr>
          <w:bCs/>
          <w:b/>
        </w:rPr>
        <w:t xml:space="preserve">Vigilancia Poscomercialización:</w:t>
      </w:r>
      <w:r>
        <w:t xml:space="preserve"> </w:t>
      </w:r>
      <w:r>
        <w:t xml:space="preserve">- Art. 72: Sistema de vigilancia continua</w:t>
      </w:r>
      <w:r>
        <w:t xml:space="preserve"> </w:t>
      </w:r>
      <w:r>
        <w:t xml:space="preserve">- Art. 73: Notificación de incidentes graves a autoridades</w:t>
      </w:r>
    </w:p>
    <w:bookmarkEnd w:id="22"/>
    <w:bookmarkStart w:id="23" w:name="alineación-con-normativa-complementaria"/>
    <w:p>
      <w:pPr>
        <w:pStyle w:val="Heading3"/>
      </w:pPr>
      <w:r>
        <w:rPr>
          <w:bCs/>
          <w:b/>
        </w:rPr>
        <w:t xml:space="preserve">Alineación con Normativa Complementaria:</w:t>
      </w:r>
    </w:p>
    <w:p>
      <w:pPr>
        <w:numPr>
          <w:ilvl w:val="0"/>
          <w:numId w:val="1001"/>
        </w:numPr>
        <w:pStyle w:val="Compact"/>
      </w:pPr>
      <w:r>
        <w:t xml:space="preserve">Reglamento (UE) 2016/679 (RGPD): Integración completa</w:t>
      </w:r>
    </w:p>
    <w:p>
      <w:pPr>
        <w:numPr>
          <w:ilvl w:val="0"/>
          <w:numId w:val="1001"/>
        </w:numPr>
        <w:pStyle w:val="Compact"/>
      </w:pPr>
      <w:r>
        <w:t xml:space="preserve">ISO/IEC 42001:2023: Sistema de gestión de IA</w:t>
      </w:r>
    </w:p>
    <w:p>
      <w:pPr>
        <w:numPr>
          <w:ilvl w:val="0"/>
          <w:numId w:val="1001"/>
        </w:numPr>
        <w:pStyle w:val="Compact"/>
      </w:pPr>
      <w:r>
        <w:t xml:space="preserve">ISO/IEC 23894:2023: Gestión de riesgos de IA</w:t>
      </w:r>
    </w:p>
    <w:p>
      <w:pPr>
        <w:numPr>
          <w:ilvl w:val="0"/>
          <w:numId w:val="1001"/>
        </w:numPr>
        <w:pStyle w:val="Compact"/>
      </w:pPr>
      <w:r>
        <w:t xml:space="preserve">Directiva (UE) 2019/790: Derechos de autor (Art. 53.1.c)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cb33a81fc416cc1c436aa2377c7d67109e3a61"/>
    <w:p>
      <w:pPr>
        <w:pStyle w:val="Heading2"/>
      </w:pPr>
      <w:r>
        <w:t xml:space="preserve">DIAPOSITIVA 2: APLICABILIDAD PRÁCTICA - CASOS REALES</w:t>
      </w:r>
    </w:p>
    <w:bookmarkStart w:id="25" w:name="Xd9276b08d4e6a1305ba18cf327ad6d86a855d68"/>
    <w:p>
      <w:pPr>
        <w:pStyle w:val="Heading3"/>
      </w:pPr>
      <w:r>
        <w:rPr>
          <w:bCs/>
          <w:b/>
        </w:rPr>
        <w:t xml:space="preserve">Diferenciación: Gobierno Integral vs Monitorización Parcial</w:t>
      </w:r>
    </w:p>
    <w:p>
      <w:pPr>
        <w:pStyle w:val="FirstParagraph"/>
      </w:pPr>
      <w:r>
        <w:rPr>
          <w:bCs/>
          <w:b/>
        </w:rPr>
        <w:t xml:space="preserve">Única plataforma con gobierno completo del ciclo de vida de 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4364"/>
        <w:gridCol w:w="17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Soluciones Cloud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 de Modelos</w:t>
            </w:r>
            <w:r>
              <w:t xml:space="preserve"> </w:t>
            </w:r>
            <w:r>
              <w:t xml:space="preserve">(base, adaptados, fine-tuned, merged)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 de Prompts</w:t>
            </w:r>
            <w:r>
              <w:t xml:space="preserve"> </w:t>
            </w:r>
            <w:r>
              <w:t xml:space="preserve">(versionado, efectividad,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 de Agentes</w:t>
            </w:r>
            <w:r>
              <w:t xml:space="preserve"> </w:t>
            </w:r>
            <w:r>
              <w:t xml:space="preserve">(decisiones, supervisión humana)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 de RAG</w:t>
            </w:r>
            <w:r>
              <w:t xml:space="preserve"> </w:t>
            </w:r>
            <w:r>
              <w:t xml:space="preserve">(knowledge bases, retrieval, citations)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 de Datos</w:t>
            </w:r>
            <w:r>
              <w:t xml:space="preserve"> </w:t>
            </w:r>
            <w:r>
              <w:t xml:space="preserve">(training, validation, test,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17 - QMS (13 módulos integrados)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19 - Logs inmutables probatorios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Logs modificables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Garantía criptográfica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27 - FRIA organismos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49 - Registro BBDD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Infraestructura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Soberanía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Jurisdicción extraeuropea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Territorio UE</w:t>
            </w:r>
          </w:p>
        </w:tc>
      </w:tr>
    </w:tbl>
    <w:p>
      <w:pPr>
        <w:pStyle w:val="BodyText"/>
      </w:pPr>
      <w:r>
        <w:rPr>
          <w:bCs/>
          <w:b/>
        </w:rPr>
        <w:t xml:space="preserve">Diferenciador clave:</w:t>
      </w:r>
      <w:r>
        <w:t xml:space="preserve"> </w:t>
      </w:r>
      <w:r>
        <w:t xml:space="preserve">CodeflowX gobierna</w:t>
      </w:r>
      <w:r>
        <w:t xml:space="preserve"> </w:t>
      </w:r>
      <w:r>
        <w:rPr>
          <w:bCs/>
          <w:b/>
        </w:rPr>
        <w:t xml:space="preserve">TODO el stack de IA en un solo lugar</w:t>
      </w:r>
      <w:r>
        <w:t xml:space="preserve"> </w:t>
      </w:r>
      <w:r>
        <w:t xml:space="preserve">(modelos, adaptadores, prompts, agentes, RAG, datos), no solo monitoriza componentes aislados.</w:t>
      </w:r>
    </w:p>
    <w:bookmarkEnd w:id="25"/>
    <w:bookmarkStart w:id="26" w:name="sectores-de-aplicación"/>
    <w:p>
      <w:pPr>
        <w:pStyle w:val="Heading3"/>
      </w:pPr>
      <w:r>
        <w:rPr>
          <w:bCs/>
          <w:b/>
        </w:rPr>
        <w:t xml:space="preserve">Sectores de Aplicación</w:t>
      </w:r>
    </w:p>
    <w:p>
      <w:pPr>
        <w:pStyle w:val="FirstParagraph"/>
      </w:pPr>
      <w:r>
        <w:rPr>
          <w:bCs/>
          <w:b/>
        </w:rPr>
        <w:t xml:space="preserve">Organismos Públicos:</w:t>
      </w:r>
      <w:r>
        <w:t xml:space="preserve"> </w:t>
      </w:r>
      <w:r>
        <w:t xml:space="preserve">- Sistemas educativos (evaluación estudiantes) - Anexo III.3</w:t>
      </w:r>
      <w:r>
        <w:t xml:space="preserve"> </w:t>
      </w:r>
      <w:r>
        <w:t xml:space="preserve">- Empleo y gestión laboral (selección candidatos) - Anexo III.4</w:t>
      </w:r>
      <w:r>
        <w:t xml:space="preserve"> </w:t>
      </w:r>
      <w:r>
        <w:t xml:space="preserve">- Servicios sociales esenciales (asignación prestaciones) - Anexo III.5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Obligación FRIA:</w:t>
      </w:r>
      <w:r>
        <w:t xml:space="preserve"> </w:t>
      </w:r>
      <w:r>
        <w:t xml:space="preserve">Art. 27.1 - Evaluación impacto derechos fundamentales antes del despliegue</w:t>
      </w:r>
    </w:p>
    <w:p>
      <w:pPr>
        <w:pStyle w:val="BodyText"/>
      </w:pPr>
      <w:r>
        <w:rPr>
          <w:bCs/>
          <w:b/>
        </w:rPr>
        <w:t xml:space="preserve">Sector Privado Servicios Esenciales:</w:t>
      </w:r>
      <w:r>
        <w:t xml:space="preserve"> </w:t>
      </w:r>
      <w:r>
        <w:t xml:space="preserve">- Banca: Scoring crediticio, evaluación solvencia (Anexo III.5.b)</w:t>
      </w:r>
      <w:r>
        <w:t xml:space="preserve"> </w:t>
      </w:r>
      <w:r>
        <w:t xml:space="preserve">- Seguros: Suscripción y tarificación automatizada (Anexo III.5.b)</w:t>
      </w:r>
      <w:r>
        <w:t xml:space="preserve"> </w:t>
      </w:r>
      <w:r>
        <w:t xml:space="preserve">- Recursos humanos: Selección y filtrado candidatos (Anexo III.4)</w:t>
      </w:r>
    </w:p>
    <w:p>
      <w:pPr>
        <w:pStyle w:val="BodyText"/>
      </w:pPr>
      <w:r>
        <w:rPr>
          <w:bCs/>
          <w:b/>
        </w:rPr>
        <w:t xml:space="preserve">PYMES Tecnológicas:</w:t>
      </w:r>
      <w:r>
        <w:t xml:space="preserve"> </w:t>
      </w:r>
      <w:r>
        <w:t xml:space="preserve">- RAG (Retrieval Augmented Generation) con documentos corporativos</w:t>
      </w:r>
      <w:r>
        <w:t xml:space="preserve"> </w:t>
      </w:r>
      <w:r>
        <w:t xml:space="preserve">- Chatbots atención al cliente con modelos de lenguaje</w:t>
      </w:r>
      <w:r>
        <w:t xml:space="preserve"> </w:t>
      </w:r>
      <w:r>
        <w:t xml:space="preserve">- Asistentes virtuales especializados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Obligación:</w:t>
      </w:r>
      <w:r>
        <w:t xml:space="preserve"> </w:t>
      </w:r>
      <w:r>
        <w:t xml:space="preserve">Art. 6.3 - Documentar evaluación de NO alto riesgo</w:t>
      </w:r>
    </w:p>
    <w:p>
      <w:pPr>
        <w:pStyle w:val="BodyText"/>
      </w:pPr>
      <w:r>
        <w:rPr>
          <w:bCs/>
          <w:b/>
        </w:rPr>
        <w:t xml:space="preserve">Proveedores Descendentes (Art. 53.1.b):</w:t>
      </w:r>
      <w:r>
        <w:t xml:space="preserve"> </w:t>
      </w:r>
      <w:r>
        <w:t xml:space="preserve">- Empresas que modifican modelos GPAI mediante fine-tuning o adaptadores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Obligaciones:</w:t>
      </w:r>
      <w:r>
        <w:t xml:space="preserve"> </w:t>
      </w:r>
      <w:r>
        <w:t xml:space="preserve">Documentar modificaciones (Anexo XII), copyright datos (Art. 53.1.c)</w:t>
      </w:r>
    </w:p>
    <w:bookmarkEnd w:id="26"/>
    <w:bookmarkStart w:id="27" w:name="reducción-de-carga-administrativa"/>
    <w:p>
      <w:pPr>
        <w:pStyle w:val="Heading3"/>
      </w:pPr>
      <w:r>
        <w:rPr>
          <w:bCs/>
          <w:b/>
        </w:rPr>
        <w:t xml:space="preserve">Reducción de Carga Administrativa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FRIA completa (Art.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50-80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QMS (Art. 17)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120-200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 (Anexo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Las reducciones reflejan asistencia automatizada. La</w:t>
      </w:r>
      <w:r>
        <w:t xml:space="preserve"> </w:t>
      </w:r>
      <w:r>
        <w:rPr>
          <w:bCs/>
          <w:b/>
        </w:rPr>
        <w:t xml:space="preserve">revisión legal y decisiones finales permanecen bajo responsabilidad del proveedor/desplegador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ee6527d834095542097e5dd09f00020c97a70fb"/>
    <w:p>
      <w:pPr>
        <w:pStyle w:val="Heading2"/>
      </w:pPr>
      <w:r>
        <w:t xml:space="preserve">DIAPOSITIVA 3: LIMITACIONES Y POSICIONAMIENTO JURÍDICO</w:t>
      </w:r>
    </w:p>
    <w:bookmarkStart w:id="29" w:name="naturaleza-jurídica-de-la-herramienta"/>
    <w:p>
      <w:pPr>
        <w:pStyle w:val="Heading3"/>
      </w:pPr>
      <w:r>
        <w:rPr>
          <w:bCs/>
          <w:b/>
        </w:rPr>
        <w:t xml:space="preserve">⚠️ Naturaleza Jurídica de la Herramienta</w:t>
      </w:r>
    </w:p>
    <w:p>
      <w:pPr>
        <w:pStyle w:val="FirstParagraph"/>
      </w:pPr>
      <w:r>
        <w:rPr>
          <w:bCs/>
          <w:b/>
        </w:rPr>
        <w:t xml:space="preserve">CodeflowX ES:</w:t>
      </w:r>
      <w:r>
        <w:t xml:space="preserve"> </w:t>
      </w:r>
      <w:r>
        <w:t xml:space="preserve">- ✅ Plataforma tecnológica de</w:t>
      </w:r>
      <w:r>
        <w:t xml:space="preserve"> </w:t>
      </w:r>
      <w:r>
        <w:rPr>
          <w:bCs/>
          <w:b/>
        </w:rPr>
        <w:t xml:space="preserve">facilitación del cumplimiento</w:t>
      </w:r>
      <w:r>
        <w:t xml:space="preserve"> </w:t>
      </w:r>
      <w:r>
        <w:t xml:space="preserve">- ✅ Sistema de gestión de procesos normativos</w:t>
      </w:r>
      <w:r>
        <w:t xml:space="preserve"> </w:t>
      </w:r>
      <w:r>
        <w:t xml:space="preserve">- ✅ Generador de documentación requerida</w:t>
      </w:r>
      <w:r>
        <w:t xml:space="preserve"> </w:t>
      </w:r>
      <w:r>
        <w:t xml:space="preserve">- ✅ Herramienta de análisis y toma de decisiones</w:t>
      </w:r>
    </w:p>
    <w:p>
      <w:pPr>
        <w:pStyle w:val="BodyText"/>
      </w:pPr>
      <w:r>
        <w:rPr>
          <w:bCs/>
          <w:b/>
        </w:rPr>
        <w:t xml:space="preserve">CodeflowX NO ES:</w:t>
      </w:r>
      <w:r>
        <w:t xml:space="preserve"> </w:t>
      </w:r>
      <w:r>
        <w:t xml:space="preserve">- ❌ Organismo de certificación (conforme Anexo VII)</w:t>
      </w:r>
      <w:r>
        <w:t xml:space="preserve"> </w:t>
      </w:r>
      <w:r>
        <w:t xml:space="preserve">- ❌ Organismo notificado</w:t>
      </w:r>
      <w:r>
        <w:t xml:space="preserve"> </w:t>
      </w:r>
      <w:r>
        <w:t xml:space="preserve">- ❌ Asesor legal</w:t>
      </w:r>
      <w:r>
        <w:t xml:space="preserve"> </w:t>
      </w:r>
      <w:r>
        <w:t xml:space="preserve">- ❌ Garante de cumplimiento normativo</w:t>
      </w:r>
    </w:p>
    <w:bookmarkEnd w:id="29"/>
    <w:bookmarkStart w:id="30" w:name="responsabilidad-legal"/>
    <w:p>
      <w:pPr>
        <w:pStyle w:val="Heading3"/>
      </w:pPr>
      <w:r>
        <w:rPr>
          <w:bCs/>
          <w:b/>
        </w:rPr>
        <w:t xml:space="preserve">Responsabilidad Legal</w:t>
      </w:r>
    </w:p>
    <w:p>
      <w:pPr>
        <w:pStyle w:val="FirstParagraph"/>
      </w:pPr>
      <w:r>
        <w:t xml:space="preserve">Conforme a los artículos 16-27 del Reglamento, la</w:t>
      </w:r>
      <w:r>
        <w:t xml:space="preserve"> </w:t>
      </w:r>
      <w:r>
        <w:rPr>
          <w:bCs/>
          <w:b/>
        </w:rPr>
        <w:t xml:space="preserve">responsabilidad del cumplimiento normativo recae exclusivamente en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Proveedor del sistema de IA</w:t>
      </w:r>
      <w:r>
        <w:t xml:space="preserve"> </w:t>
      </w:r>
      <w:r>
        <w:t xml:space="preserve">(Art. 16): Obligaciones de diseño, desarrollo, documentación, conformidad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Responsable del despliegue</w:t>
      </w:r>
      <w:r>
        <w:t xml:space="preserve"> </w:t>
      </w:r>
      <w:r>
        <w:t xml:space="preserve">(Art. 26): Obligaciones de uso, supervisión humana, FRIA (si procede)</w:t>
      </w:r>
    </w:p>
    <w:p>
      <w:pPr>
        <w:pStyle w:val="FirstParagraph"/>
      </w:pPr>
      <w:r>
        <w:rPr>
          <w:bCs/>
          <w:b/>
        </w:rPr>
        <w:t xml:space="preserve">CodeflowX NO asume responsabilidad</w:t>
      </w:r>
      <w:r>
        <w:t xml:space="preserve"> </w:t>
      </w:r>
      <w:r>
        <w:t xml:space="preserve">por el cumplimiento final de sus usuarios. La plataforma proporciona herramientas, siendo</w:t>
      </w:r>
      <w:r>
        <w:t xml:space="preserve"> </w:t>
      </w:r>
      <w:r>
        <w:rPr>
          <w:bCs/>
          <w:b/>
        </w:rPr>
        <w:t xml:space="preserve">imperativo que las organizaciones</w:t>
      </w:r>
      <w:r>
        <w:t xml:space="preserve">:</w:t>
      </w:r>
      <w:r>
        <w:t xml:space="preserve"> </w:t>
      </w:r>
      <w:r>
        <w:t xml:space="preserve">- Obtengan asesoramiento jurídico independiente</w:t>
      </w:r>
      <w:r>
        <w:t xml:space="preserve"> </w:t>
      </w:r>
      <w:r>
        <w:t xml:space="preserve">- Realicen revisión legal de outputs generados</w:t>
      </w:r>
      <w:r>
        <w:t xml:space="preserve"> </w:t>
      </w:r>
      <w:r>
        <w:t xml:space="preserve">- Contraten organismos notificados cuando proceda (Art. 43.2)</w:t>
      </w:r>
      <w:r>
        <w:t xml:space="preserve"> </w:t>
      </w:r>
      <w:r>
        <w:t xml:space="preserve">- Verifiquen cumplimiento con profesionales cualificados</w:t>
      </w:r>
    </w:p>
    <w:bookmarkEnd w:id="30"/>
    <w:bookmarkStart w:id="31" w:name="X07d6c56e261739e0279711ecfc13e27d1805a99"/>
    <w:p>
      <w:pPr>
        <w:pStyle w:val="Heading3"/>
      </w:pPr>
      <w:r>
        <w:rPr>
          <w:bCs/>
          <w:b/>
        </w:rPr>
        <w:t xml:space="preserve">Diferenciación: Framework as Software para Cumplimiento Normativo</w:t>
      </w:r>
    </w:p>
    <w:p>
      <w:pPr>
        <w:pStyle w:val="FirstParagraph"/>
      </w:pPr>
      <w:r>
        <w:rPr>
          <w:bCs/>
          <w:b/>
        </w:rPr>
        <w:t xml:space="preserve">Magnitud del desarrollo:</w:t>
      </w:r>
    </w:p>
    <w:p>
      <w:pPr>
        <w:pStyle w:val="BodyText"/>
      </w:pPr>
      <w:r>
        <w:t xml:space="preserve">CodeflowX no es una herramienta de observabilidad adaptada a compliance. Es un</w:t>
      </w:r>
      <w:r>
        <w:t xml:space="preserve"> </w:t>
      </w:r>
      <w:r>
        <w:rPr>
          <w:bCs/>
          <w:b/>
        </w:rPr>
        <w:t xml:space="preserve">framework completo de cumplimiento normativo implementado como software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Arquitectura de Procesos y Datos: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22 procesos BPMN</w:t>
      </w:r>
      <w:r>
        <w:t xml:space="preserve"> </w:t>
      </w:r>
      <w:r>
        <w:t xml:space="preserve">operativos (17 governance base + 5 compliance EU AI Act)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120+ reglas de negocio</w:t>
      </w:r>
      <w:r>
        <w:t xml:space="preserve"> </w:t>
      </w:r>
      <w:r>
        <w:t xml:space="preserve">automatizadas (motor de reglas Drools)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65 flujos de validación</w:t>
      </w:r>
      <w:r>
        <w:t xml:space="preserve"> </w:t>
      </w:r>
      <w:r>
        <w:t xml:space="preserve">de cumplimiento normativo integrados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489 entidades</w:t>
      </w:r>
      <w:r>
        <w:t xml:space="preserve"> </w:t>
      </w:r>
      <w:r>
        <w:t xml:space="preserve">normalizadas (gobierno completo del ciclo de vida)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~750 pantallas de usuario</w:t>
      </w:r>
      <w:r>
        <w:t xml:space="preserve"> </w:t>
      </w:r>
      <w:r>
        <w:t xml:space="preserve">(interfaz completa gobierno IA)</w:t>
      </w:r>
    </w:p>
    <w:p>
      <w:pPr>
        <w:pStyle w:val="BodyText"/>
      </w:pPr>
      <w:r>
        <w:rPr>
          <w:bCs/>
          <w:b/>
        </w:rPr>
        <w:t xml:space="preserve">Infraestructura Tecnológica: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Servidores de inferencia propios</w:t>
      </w:r>
      <w:r>
        <w:t xml:space="preserve"> </w:t>
      </w:r>
      <w:r>
        <w:t xml:space="preserve">para evaluaciones de 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20+ microservicios especializados</w:t>
      </w:r>
      <w:r>
        <w:t xml:space="preserve"> </w:t>
      </w:r>
      <w:r>
        <w:t xml:space="preserve">(compliance, evaluación, governance, MLOps)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Infraestructura dedicada completa:</w:t>
      </w:r>
      <w:r>
        <w:t xml:space="preserve"> </w:t>
      </w:r>
      <w:r>
        <w:t xml:space="preserve">Bases de datos, almacenamiento vectorial, búsqueda, monitorización, mensajería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Despliegue:</w:t>
      </w:r>
      <w:r>
        <w:t xml:space="preserve"> </w:t>
      </w:r>
      <w:r>
        <w:t xml:space="preserve">- Opción A: Infraestructura propia CodeflowX en territorio europeo (</w:t>
      </w:r>
      <w:r>
        <w:rPr>
          <w:bCs/>
          <w:b/>
        </w:rPr>
        <w:t xml:space="preserve">soberanía garantizada</w:t>
      </w:r>
      <w:r>
        <w:t xml:space="preserve">)</w:t>
      </w:r>
      <w:r>
        <w:t xml:space="preserve"> </w:t>
      </w:r>
      <w:r>
        <w:t xml:space="preserve">- Opción B: Despliegue on-premise en infraestructura del cliente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Arquitectura de contenedores con aislamiento estricto, sin dependencia de clouds públicos multi-tenant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Integraciones:</w:t>
      </w:r>
      <w:r>
        <w:t xml:space="preserve"> </w:t>
      </w:r>
      <w:r>
        <w:t xml:space="preserve">APIs REST + SDKs multi-lenguaje para integración con sistemas del cliente</w:t>
      </w:r>
    </w:p>
    <w:p>
      <w:pPr>
        <w:pStyle w:val="BodyText"/>
      </w:pPr>
      <w:r>
        <w:rPr>
          <w:bCs/>
          <w:b/>
        </w:rPr>
        <w:t xml:space="preserve">Diferenciación fundamental:</w:t>
      </w:r>
    </w:p>
    <w:p>
      <w:pPr>
        <w:pStyle w:val="BodyText"/>
      </w:pPr>
      <w:r>
        <w:t xml:space="preserve">Las soluciones cloud externas proporcionan</w:t>
      </w:r>
      <w:r>
        <w:t xml:space="preserve"> </w:t>
      </w:r>
      <w:r>
        <w:rPr>
          <w:bCs/>
          <w:b/>
        </w:rPr>
        <w:t xml:space="preserve">monitorización técnica</w:t>
      </w:r>
      <w:r>
        <w:t xml:space="preserve"> </w:t>
      </w:r>
      <w:r>
        <w:t xml:space="preserve">de componentes aislados.</w:t>
      </w:r>
    </w:p>
    <w:p>
      <w:pPr>
        <w:pStyle w:val="BodyText"/>
      </w:pPr>
      <w:r>
        <w:t xml:space="preserve">CodeflowX proporciona</w:t>
      </w:r>
      <w:r>
        <w:t xml:space="preserve"> </w:t>
      </w:r>
      <w:r>
        <w:rPr>
          <w:bCs/>
          <w:b/>
        </w:rPr>
        <w:t xml:space="preserve">gobierno normativo integral</w:t>
      </w:r>
      <w:r>
        <w:t xml:space="preserve"> </w:t>
      </w:r>
      <w:r>
        <w:t xml:space="preserve">de todo el ciclo de vida: datos → modelos (base, adaptados, cuantizados, fusionados) → prompts → agentes → sistemas RAG → despliegue → vigilancia poscomercialización.</w:t>
      </w:r>
    </w:p>
    <w:p>
      <w:pPr>
        <w:pStyle w:val="BodyText"/>
      </w:pPr>
      <w:r>
        <w:rPr>
          <w:bCs/>
          <w:b/>
        </w:rPr>
        <w:t xml:space="preserve">Barrera de entrada para replicación:</w:t>
      </w:r>
      <w:r>
        <w:t xml:space="preserve"> </w:t>
      </w:r>
      <w:r>
        <w:t xml:space="preserve">El desarrollo de CodeflowX representa</w:t>
      </w:r>
      <w:r>
        <w:t xml:space="preserve"> </w:t>
      </w:r>
      <w:r>
        <w:rPr>
          <w:bCs/>
          <w:b/>
        </w:rPr>
        <w:t xml:space="preserve">12+ meses de ingeniería especializada</w:t>
      </w:r>
      <w:r>
        <w:t xml:space="preserve"> </w:t>
      </w:r>
      <w:r>
        <w:t xml:space="preserve">en cumplimiento normativo. No es adaptación de herramienta existente, sino desarrollo desde cero orientado a requisitos del Reglamento.</w:t>
      </w:r>
    </w:p>
    <w:p>
      <w:pPr>
        <w:pStyle w:val="BodyText"/>
      </w:pPr>
      <w:r>
        <w:rPr>
          <w:bCs/>
          <w:b/>
        </w:rPr>
        <w:t xml:space="preserve">Soberanía:</w:t>
      </w:r>
      <w:r>
        <w:t xml:space="preserve"> </w:t>
      </w:r>
      <w:r>
        <w:t xml:space="preserve">Datos procesados y almacenados en territorio europeo, cumpliendo requisitos adicionales de protección de datos.</w:t>
      </w:r>
    </w:p>
    <w:bookmarkEnd w:id="31"/>
    <w:bookmarkStart w:id="32" w:name="estado-actual-y-siguiente-fase"/>
    <w:p>
      <w:pPr>
        <w:pStyle w:val="Heading3"/>
      </w:pPr>
      <w:r>
        <w:rPr>
          <w:bCs/>
          <w:b/>
        </w:rPr>
        <w:t xml:space="preserve">Estado Actual y Siguiente Fase</w:t>
      </w:r>
    </w:p>
    <w:p>
      <w:pPr>
        <w:pStyle w:val="FirstParagraph"/>
      </w:pPr>
      <w:r>
        <w:rPr>
          <w:bCs/>
          <w:b/>
        </w:rPr>
        <w:t xml:space="preserve">Producción:</w:t>
      </w:r>
      <w:r>
        <w:t xml:space="preserve"> </w:t>
      </w:r>
      <w:r>
        <w:t xml:space="preserve">✅ Operativo desde 15 noviembre 2025</w:t>
      </w:r>
      <w:r>
        <w:br/>
      </w:r>
      <w:r>
        <w:rPr>
          <w:bCs/>
          <w:b/>
        </w:rPr>
        <w:t xml:space="preserve">Certificación:</w:t>
      </w:r>
      <w:r>
        <w:t xml:space="preserve"> </w:t>
      </w:r>
      <w:r>
        <w:t xml:space="preserve">Preparado para auditorías ISO 27001, ISO 42001 (Q1 2026)</w:t>
      </w:r>
      <w:r>
        <w:br/>
      </w:r>
      <w:r>
        <w:rPr>
          <w:bCs/>
          <w:b/>
        </w:rPr>
        <w:t xml:space="preserve">Dependencia Externa:</w:t>
      </w:r>
      <w:r>
        <w:t xml:space="preserve"> </w:t>
      </w:r>
      <w:r>
        <w:t xml:space="preserve">Art. 49 - Registro BBDD UE (infraestructura lista, integración pendiente publicación API oficial Comisión Europea, esperado Q2 2025)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tacto-profesional"/>
    <w:p>
      <w:pPr>
        <w:pStyle w:val="Heading2"/>
      </w:pPr>
      <w:r>
        <w:t xml:space="preserve">CONTACTO PROFESIONAL</w:t>
      </w:r>
    </w:p>
    <w:p>
      <w:pPr>
        <w:pStyle w:val="FirstParagraph"/>
      </w:pPr>
      <w:r>
        <w:rPr>
          <w:bCs/>
          <w:b/>
        </w:rPr>
        <w:t xml:space="preserve">Para información adicional, revisión técnica o colaboración:</w:t>
      </w:r>
    </w:p>
    <w:p>
      <w:pPr>
        <w:pStyle w:val="BodyText"/>
      </w:pPr>
      <w:r>
        <w:t xml:space="preserve">Manuel González</w:t>
      </w:r>
      <w:r>
        <w:br/>
      </w:r>
      <w:r>
        <w:t xml:space="preserve">CodeflowX</w:t>
      </w:r>
      <w:r>
        <w:br/>
      </w:r>
      <w:r>
        <w:t xml:space="preserve">Email: [contacto]</w:t>
      </w:r>
      <w:r>
        <w:br/>
      </w:r>
      <w:r>
        <w:t xml:space="preserve">Teléfono: [teléfono]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DISCLAIMER LEGAL:</w:t>
      </w:r>
      <w:r>
        <w:t xml:space="preserve"> </w:t>
      </w:r>
      <w:r>
        <w:t xml:space="preserve">Este documento describe capacidades de la plataforma tecnológica. No constituye asesoramiento jurídico. Las organizaciones deben obtener asesoramiento legal independiente para determinar obligaciones específicas conforme al Reglamento (UE) 2024/1689.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para:</w:t>
      </w:r>
      <w:r>
        <w:t xml:space="preserve"> </w:t>
      </w:r>
      <w:r>
        <w:t xml:space="preserve">Bufetes de abogados, consultores de compliance, asesores jurídicos especializados en IA y derecho tecnológico.</w:t>
      </w:r>
    </w:p>
    <w:p>
      <w:pPr>
        <w:pStyle w:val="Body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1.0 - Noviembre 2025</w:t>
      </w:r>
      <w:r>
        <w:br/>
      </w:r>
      <w:r>
        <w:rPr>
          <w:bCs/>
          <w:b/>
        </w:rPr>
        <w:t xml:space="preserve">Confidencial:</w:t>
      </w:r>
      <w:r>
        <w:t xml:space="preserve"> </w:t>
      </w:r>
      <w:r>
        <w:t xml:space="preserve">Uso profesional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2025-11-03T08:04:22Z</dcterms:created>
  <dcterms:modified xsi:type="dcterms:W3CDTF">2025-11-03T08:04:22Z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