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fdc3974fd4ffaa40f36c9874e17c88e1dff2147"/>
    <w:p>
      <w:pPr>
        <w:pStyle w:val="Heading1"/>
      </w:pPr>
      <w:r>
        <w:t xml:space="preserve">TARIFA INTERNA CODEFLOWX - NOVIEMBRE 2025</w:t>
      </w:r>
    </w:p>
    <w:bookmarkStart w:id="20" w:name="precios-referencia-españa-eur-sin-iva"/>
    <w:p>
      <w:pPr>
        <w:pStyle w:val="Heading2"/>
      </w:pPr>
      <w:r>
        <w:t xml:space="preserve">Precios Referencia España (EUR, sin IVA)</w:t>
      </w:r>
    </w:p>
    <w:p>
      <w:pPr>
        <w:pStyle w:val="FirstParagraph"/>
      </w:pPr>
      <w:r>
        <w:rPr>
          <w:bCs/>
          <w:b/>
        </w:rPr>
        <w:t xml:space="preserve">Confidencialidad:</w:t>
      </w:r>
      <w:r>
        <w:t xml:space="preserve"> </w:t>
      </w:r>
      <w:r>
        <w:t xml:space="preserve">Uso interno CodeflowX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Noviembre 2025</w:t>
      </w:r>
      <w:r>
        <w:br/>
      </w:r>
      <w:r>
        <w:rPr>
          <w:bCs/>
          <w:b/>
        </w:rPr>
        <w:t xml:space="preserve">Coste operativo base cloud:</w:t>
      </w:r>
      <w:r>
        <w:t xml:space="preserve"> </w:t>
      </w:r>
      <w:r>
        <w:t xml:space="preserve">35 €/mes por cliente (infraestructura SaaS)</w:t>
      </w:r>
    </w:p>
    <w:p>
      <w:r>
        <w:pict>
          <v:rect style="width:0;height:1.5pt" o:hralign="center" o:hrstd="t" o:hr="t"/>
        </w:pict>
      </w:r>
    </w:p>
    <w:bookmarkEnd w:id="20"/>
    <w:bookmarkStart w:id="21" w:name="objetivo"/>
    <w:p>
      <w:pPr>
        <w:pStyle w:val="Heading2"/>
      </w:pPr>
      <w:r>
        <w:t xml:space="preserve">🎯 Objetivo</w:t>
      </w:r>
    </w:p>
    <w:p>
      <w:pPr>
        <w:pStyle w:val="FirstParagraph"/>
      </w:pPr>
      <w:r>
        <w:t xml:space="preserve">Definir una estructura de precios interna que cubra: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Cloud Compliance</w:t>
      </w:r>
      <w:r>
        <w:t xml:space="preserve"> </w:t>
      </w:r>
      <w:r>
        <w:t xml:space="preserve">para empresas pequeñas/medianas (desarrolladores, agencias, consultoras)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OEM</w:t>
      </w:r>
      <w:r>
        <w:t xml:space="preserve"> </w:t>
      </w:r>
      <w:r>
        <w:t xml:space="preserve">para partners que quieren reempaquetar CodeflowX como parte de su oferta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Licenciamiento self-hosting (Corporate)</w:t>
      </w:r>
      <w:r>
        <w:t xml:space="preserve"> </w:t>
      </w:r>
      <w:r>
        <w:t xml:space="preserve">vendido a través de partners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Administraciones Públicas</w:t>
      </w:r>
      <w:r>
        <w:t xml:space="preserve"> </w:t>
      </w:r>
      <w:r>
        <w:t xml:space="preserve">diferenciando pequeños ayuntamientos y organismos grandes</w:t>
      </w:r>
    </w:p>
    <w:p>
      <w:pPr>
        <w:pStyle w:val="BodyText"/>
      </w:pPr>
      <w:r>
        <w:t xml:space="preserve">Los precios aseguran margen &gt;70% sobre el coste operativo cloud (35 €/mes) y establecen coherencia entre valor entregado y complejidad de soporte.</w:t>
      </w:r>
    </w:p>
    <w:p>
      <w:r>
        <w:pict>
          <v:rect style="width:0;height:1.5pt" o:hralign="center" o:hrstd="t" o:hr="t"/>
        </w:pict>
      </w:r>
    </w:p>
    <w:bookmarkEnd w:id="21"/>
    <w:bookmarkStart w:id="22" w:name="cloud-saas-gestionado-por-codeflowx"/>
    <w:p>
      <w:pPr>
        <w:pStyle w:val="Heading2"/>
      </w:pPr>
      <w:r>
        <w:t xml:space="preserve">🟢 CLOUD (SaaS gestionado por CodeflowX)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17"/>
        <w:gridCol w:w="1851"/>
        <w:gridCol w:w="1954"/>
        <w:gridCol w:w="1440"/>
        <w:gridCol w:w="925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(EUR/mes)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Infra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Compliance (Basic)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Freelance, microagencias (≤10 personas) que necesitan</w:t>
            </w:r>
            <w:r>
              <w:t xml:space="preserve"> </w:t>
            </w:r>
            <w:r>
              <w:rPr>
                <w:bCs/>
                <w:b/>
              </w:rPr>
              <w:t xml:space="preserve">cumplimiento esencial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Cs/>
                <w:b/>
              </w:rPr>
              <w:t xml:space="preserve">2 sistemas IA</w:t>
            </w:r>
            <w:r>
              <w:t xml:space="preserve"> </w:t>
            </w:r>
            <w:r>
              <w:t xml:space="preserve">(chatbots/agentes/RAG), checklists Art. 9-15, documentación Anexo IV básica, políticas Art. 50, FRIA templates, 2 usuarios, soporte email 48h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Governance (Professional)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70 € (2 instancias)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Agencias/consultoras 10-50 personas y software factories que necesitan</w:t>
            </w:r>
            <w:r>
              <w:t xml:space="preserve"> </w:t>
            </w:r>
            <w:r>
              <w:rPr>
                <w:bCs/>
                <w:b/>
              </w:rPr>
              <w:t xml:space="preserve">gobierno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Cs/>
                <w:b/>
              </w:rPr>
              <w:t xml:space="preserve">7 sistemas IA</w:t>
            </w:r>
            <w:r>
              <w:t xml:space="preserve">, workflows BPMN, evaluación métricas, monitorización 24/7, alertas desviaciones, reporting Art. 71, 12 usuarios, soporte prioritario 12h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Enterprise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799 €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105 € (3 instancias)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 SaaS y organizaciones con múltiples clientes internos. Incluye</w:t>
            </w:r>
            <w:r>
              <w:t xml:space="preserve"> </w:t>
            </w:r>
            <w:r>
              <w:rPr>
                <w:bCs/>
                <w:b/>
              </w:rPr>
              <w:t xml:space="preserve">solución completa</w:t>
            </w:r>
            <w:r>
              <w:t xml:space="preserve"> </w:t>
            </w:r>
            <w:r>
              <w:t xml:space="preserve">(cumplimiento + gobierno + evaluación + monitorización) multi-tenant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Multi-tenant (hasta</w:t>
            </w:r>
            <w:r>
              <w:t xml:space="preserve"> </w:t>
            </w:r>
            <w:r>
              <w:rPr>
                <w:bCs/>
                <w:b/>
              </w:rPr>
              <w:t xml:space="preserve">5 clientes externos</w:t>
            </w:r>
            <w:r>
              <w:t xml:space="preserve"> </w:t>
            </w:r>
            <w:r>
              <w:t xml:space="preserve">incluidos), marca blanca opcional, API configurables, dashboards agregados, SLA 99,5 %, soporte 4h, formación comercial, controles centralizados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Notas Cloud:</w:t>
      </w:r>
      <w:r>
        <w:t xml:space="preserve"> </w:t>
      </w:r>
      <w:r>
        <w:t xml:space="preserve">- Precios sin inferencia incluida. CodeflowX se integra con la infraestructura de modelos existente del cliente. Se ofrece un módulo opcional de servidores de inferencia (ver add-ons).</w:t>
      </w:r>
      <w:r>
        <w:t xml:space="preserve"> </w:t>
      </w:r>
      <w:r>
        <w:t xml:space="preserve">- Facturación mensual; pago anual anticipado (‑10 %).</w:t>
      </w:r>
      <w:r>
        <w:t xml:space="preserve"> </w:t>
      </w:r>
      <w:r>
        <w:t xml:space="preserve">- Número de sistemas IA = combinaciones de chatbots, agentes, RAG, scoring u otros flows gobernados. Packs adicionales disponibles.</w:t>
      </w:r>
      <w:r>
        <w:t xml:space="preserve"> </w:t>
      </w:r>
      <w:r>
        <w:t xml:space="preserve">- Upgrade/downgrade prorrateado en el mes corriente.</w:t>
      </w:r>
    </w:p>
    <w:p>
      <w:r>
        <w:pict>
          <v:rect style="width:0;height:1.5pt" o:hralign="center" o:hrstd="t" o:hr="t"/>
        </w:pict>
      </w:r>
    </w:p>
    <w:bookmarkEnd w:id="22"/>
    <w:bookmarkStart w:id="23" w:name="add-ons-cloud"/>
    <w:p>
      <w:pPr>
        <w:pStyle w:val="Heading2"/>
      </w:pPr>
      <w:r>
        <w:t xml:space="preserve">🧩 ADD-ONS CLOUD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08"/>
        <w:gridCol w:w="1408"/>
        <w:gridCol w:w="2816"/>
        <w:gridCol w:w="22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 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Onboarding guiado (2 semanas)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900 € único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/ 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inicial, mapeo procesos, primera auditoría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Integración SSO (Azure AD/Okta)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600 € único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Autenticación corporativa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 sistemas adicionales (3 sistemas)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90 € /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Amplía cobertura a más chatbots/agentes/RAG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 regulado (datos UE dedicados)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+90 € /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Workspace aislado multi-organización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Soporte 24/7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+150 € /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 dedicada incidentes críticos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Módulo servidores de inferencia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120 € / mes por instancia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Despliegue gestionado de</w:t>
            </w:r>
            <w:r>
              <w:t xml:space="preserve"> </w:t>
            </w:r>
            <w:r>
              <w:rPr>
                <w:rStyle w:val="VerbatimChar"/>
              </w:rPr>
              <w:t xml:space="preserve">leka-llm-interpreter</w:t>
            </w:r>
            <w:r>
              <w:t xml:space="preserve">, incluye modelos open-source, wrappers comerciales opcionales, routing inteligente. Costes API externos se facturan al cliente.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 clientes adicionales (5 tenants)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150 € /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Amplía el número de organizaciones servidas (de 5 en 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42f1c175969ab227eae698a74c83e639745d5cf"/>
    <w:p>
      <w:pPr>
        <w:pStyle w:val="Heading2"/>
      </w:pPr>
      <w:r>
        <w:t xml:space="preserve">🏢 CORPORATE SELF-HOST (Licencia anual vía partners)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2"/>
        <w:gridCol w:w="2001"/>
        <w:gridCol w:w="2175"/>
        <w:gridCol w:w="1044"/>
        <w:gridCol w:w="609"/>
        <w:gridCol w:w="15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Licencia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&amp;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Standard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24.000 €/año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4.800 €/año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nodos, 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certificado (25% margen)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o bare-metal, 5 sistemas IA incluidos, workflows personalizables, soporte L3 (SLA 8h), actualizaciones trimestrales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Enterprise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48.000 €/año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9.600 €/año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nodos, 500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Elite (30% margen)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Multi-entorno (dev/pre/prod), auditoría avanzada, integración SIEM/SOC, soporte L3 (SLA 4h), roadmap dedicado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Servicios adicionales Corporate:</w:t>
      </w:r>
      <w:r>
        <w:t xml:space="preserve"> </w:t>
      </w:r>
      <w:r>
        <w:t xml:space="preserve">- Implantación onsite (consultoría partner) recomendada 10-20k€</w:t>
      </w:r>
      <w:r>
        <w:t xml:space="preserve"> </w:t>
      </w:r>
      <w:r>
        <w:t xml:space="preserve">- Formación técnica certificada partner: 2.000 € (3 días)</w:t>
      </w:r>
      <w:r>
        <w:t xml:space="preserve"> </w:t>
      </w:r>
      <w:r>
        <w:t xml:space="preserve">- Auditoría anual cumplimiento: 3.500 € (opcional)</w:t>
      </w:r>
    </w:p>
    <w:p>
      <w:r>
        <w:pict>
          <v:rect style="width:0;height:1.5pt" o:hralign="center" o:hrstd="t" o:hr="t"/>
        </w:pict>
      </w:r>
    </w:p>
    <w:bookmarkEnd w:id="24"/>
    <w:bookmarkStart w:id="25" w:name="administraciones-públicas"/>
    <w:p>
      <w:pPr>
        <w:pStyle w:val="Heading2"/>
      </w:pPr>
      <w:r>
        <w:t xml:space="preserve">🏛️ ADMINISTRACIONES PÚBLICAS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6"/>
        <w:gridCol w:w="2093"/>
        <w:gridCol w:w="1911"/>
        <w:gridCol w:w="2002"/>
        <w:gridCol w:w="1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Licencia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Implantación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Ayuntamientos &lt;100.000 habitantes, organismos municipales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dedicado (SaaS región UE) o self-host básico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sistemas IA, FRIA integrada, soporte 12h, formación 1 día,</w:t>
            </w:r>
            <w:r>
              <w:t xml:space="preserve"> </w:t>
            </w:r>
            <w:r>
              <w:rPr>
                <w:bCs/>
                <w:b/>
              </w:rPr>
              <w:t xml:space="preserve">incluye cumplimiento + gobierno + evaluación + monitorización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Regional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Diputaciones, Comunidades Autónomas, hospitales regionales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 híbrido o cloud dedicado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sistemas IA, reporting Art. 71 automatizado, soporte 8h, formación 2 días,</w:t>
            </w:r>
            <w:r>
              <w:t xml:space="preserve"> </w:t>
            </w:r>
            <w:r>
              <w:rPr>
                <w:bCs/>
                <w:b/>
              </w:rPr>
              <w:t xml:space="preserve">solución integral (cumplimiento + gobierno + evaluación + monitorización)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National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Ministerios, agencias estatales, fuerzas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 clusters + alta 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sistemas IA, cumplimiento ENS Alto, soporte 4h, formación 3 días, auditoría anual incluida,</w:t>
            </w:r>
            <w:r>
              <w:t xml:space="preserve"> </w:t>
            </w:r>
            <w:r>
              <w:rPr>
                <w:bCs/>
                <w:b/>
              </w:rPr>
              <w:t xml:space="preserve">solución completa CodeflowX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Partners sector público:</w:t>
      </w:r>
      <w:r>
        <w:t xml:space="preserve"> </w:t>
      </w:r>
      <w:r>
        <w:t xml:space="preserve">- Venta obligatoria vía partner homologado (20-25% margen)</w:t>
      </w:r>
      <w:r>
        <w:t xml:space="preserve"> </w:t>
      </w:r>
      <w:r>
        <w:t xml:space="preserve">- Procesos RFP: incluir soporte técnico CodeflowX en preventa</w:t>
      </w:r>
      <w:r>
        <w:t xml:space="preserve"> </w:t>
      </w:r>
      <w:r>
        <w:t xml:space="preserve">- Descuento early adopter 10% si firma antes Abr 2026</w:t>
      </w:r>
    </w:p>
    <w:p>
      <w:r>
        <w:pict>
          <v:rect style="width:0;height:1.5pt" o:hralign="center" o:hrstd="t" o:hr="t"/>
        </w:pict>
      </w:r>
    </w:p>
    <w:bookmarkEnd w:id="25"/>
    <w:bookmarkStart w:id="26" w:name="tabla-comparativa-rápida"/>
    <w:p>
      <w:pPr>
        <w:pStyle w:val="Heading2"/>
      </w:pPr>
      <w:r>
        <w:t xml:space="preserve">🔄 TABLA COMPARATIVA RÁPIDA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1466"/>
        <w:gridCol w:w="1026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Márgenes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Freelance/microagencia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149 €/mes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sistema IA alto riesgo, compliance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Agencia/consultora mediana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399 €/mes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Directo/Partner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5 sistemas, workflows avanzados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SaaS (white-label)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799 €/mes +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Directo/Partner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blanca, multi-tenant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Self-host, soporte L3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 avanzadas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Elite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dedicado, 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Ayuntamiento pequeño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dedicado, FRIA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Organismo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 híbrido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Organismo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Elite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 Alto, auditoría incluida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upuestos-financieros"/>
    <w:p>
      <w:pPr>
        <w:pStyle w:val="Heading2"/>
      </w:pPr>
      <w:r>
        <w:t xml:space="preserve">📌 SUPUESTOS FINANCIEROS</w:t>
      </w:r>
    </w:p>
    <w:p>
      <w:pPr>
        <w:numPr>
          <w:ilvl w:val="0"/>
          <w:numId w:val="1001"/>
        </w:numPr>
        <w:pStyle w:val="Compact"/>
      </w:pPr>
      <w:r>
        <w:t xml:space="preserve">Coste operativo cloud fijo: 35 €/mes por instancia básica (Compute + almacenamiento + monitorización)</w:t>
      </w:r>
    </w:p>
    <w:p>
      <w:pPr>
        <w:numPr>
          <w:ilvl w:val="0"/>
          <w:numId w:val="1001"/>
        </w:numPr>
        <w:pStyle w:val="Compact"/>
      </w:pPr>
      <w:r>
        <w:t xml:space="preserve">Coste soporte medio: 1h/mes técnico N2 (valorado 35 €) → incluido en margen</w:t>
      </w:r>
    </w:p>
    <w:p>
      <w:pPr>
        <w:numPr>
          <w:ilvl w:val="0"/>
          <w:numId w:val="1001"/>
        </w:numPr>
        <w:pStyle w:val="Compact"/>
      </w:pPr>
      <w:r>
        <w:t xml:space="preserve">Descuentos máximos sin aprobación dirección:</w:t>
      </w:r>
    </w:p>
    <w:p>
      <w:pPr>
        <w:numPr>
          <w:ilvl w:val="1"/>
          <w:numId w:val="1002"/>
        </w:numPr>
        <w:pStyle w:val="Compact"/>
      </w:pPr>
      <w:r>
        <w:t xml:space="preserve">Cloud Basic/Professional: hasta 10% (anualidad)</w:t>
      </w:r>
    </w:p>
    <w:p>
      <w:pPr>
        <w:numPr>
          <w:ilvl w:val="1"/>
          <w:numId w:val="1002"/>
        </w:numPr>
        <w:pStyle w:val="Compact"/>
      </w:pPr>
      <w:r>
        <w:t xml:space="preserve">Cloud OEM: negociación caso a caso (mínimo 650 €/mes)</w:t>
      </w:r>
    </w:p>
    <w:p>
      <w:pPr>
        <w:numPr>
          <w:ilvl w:val="1"/>
          <w:numId w:val="1002"/>
        </w:numPr>
        <w:pStyle w:val="Compact"/>
      </w:pPr>
      <w:r>
        <w:t xml:space="preserve">Corporate/Public: hasta 15% si volumen ≥3 licencias</w:t>
      </w:r>
    </w:p>
    <w:p>
      <w:pPr>
        <w:numPr>
          <w:ilvl w:val="0"/>
          <w:numId w:val="1001"/>
        </w:numPr>
        <w:pStyle w:val="Compact"/>
      </w:pPr>
      <w:r>
        <w:t xml:space="preserve">Partners reciben margen estándar:</w:t>
      </w:r>
    </w:p>
    <w:p>
      <w:pPr>
        <w:numPr>
          <w:ilvl w:val="1"/>
          <w:numId w:val="1003"/>
        </w:numPr>
        <w:pStyle w:val="Compact"/>
      </w:pPr>
      <w:r>
        <w:t xml:space="preserve">OEM: comisión 15%</w:t>
      </w:r>
    </w:p>
    <w:p>
      <w:pPr>
        <w:numPr>
          <w:ilvl w:val="1"/>
          <w:numId w:val="1003"/>
        </w:numPr>
        <w:pStyle w:val="Compact"/>
      </w:pPr>
      <w:r>
        <w:t xml:space="preserve">Corporate Standard: 25%</w:t>
      </w:r>
    </w:p>
    <w:p>
      <w:pPr>
        <w:numPr>
          <w:ilvl w:val="1"/>
          <w:numId w:val="1003"/>
        </w:numPr>
        <w:pStyle w:val="Compact"/>
      </w:pPr>
      <w:r>
        <w:t xml:space="preserve">Corporate Enterprise: 30%</w:t>
      </w:r>
    </w:p>
    <w:p>
      <w:pPr>
        <w:numPr>
          <w:ilvl w:val="1"/>
          <w:numId w:val="1003"/>
        </w:numPr>
        <w:pStyle w:val="Compact"/>
      </w:pPr>
      <w:r>
        <w:t xml:space="preserve">Public sector: 20-25% según homologación</w:t>
      </w:r>
    </w:p>
    <w:p>
      <w:r>
        <w:pict>
          <v:rect style="width:0;height:1.5pt" o:hralign="center" o:hrstd="t" o:hr="t"/>
        </w:pict>
      </w:r>
    </w:p>
    <w:bookmarkEnd w:id="27"/>
    <w:bookmarkStart w:id="28" w:name="estrategia-comercial-resumida"/>
    <w:p>
      <w:pPr>
        <w:pStyle w:val="Heading2"/>
      </w:pPr>
      <w:r>
        <w:t xml:space="preserve">🚀 ESTRATEGIA COMERCIAL RESUMIDA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Basic</w:t>
      </w:r>
      <w:r>
        <w:t xml:space="preserve"> </w:t>
      </w:r>
      <w:r>
        <w:t xml:space="preserve">→ Captar volumen (meta 200 clientes año 1). Upsell a Professional.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Professional</w:t>
      </w:r>
      <w:r>
        <w:t xml:space="preserve"> </w:t>
      </w:r>
      <w:r>
        <w:t xml:space="preserve">→ Enfocado en agencias/consultoras mid-market (meta 120 clientes año 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OEM</w:t>
      </w:r>
      <w:r>
        <w:t xml:space="preserve"> </w:t>
      </w:r>
      <w:r>
        <w:t xml:space="preserve">→ 20 partners SaaS en 12 meses (metas 800€/mes + variable).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Corporate Self-host</w:t>
      </w:r>
      <w:r>
        <w:t xml:space="preserve"> </w:t>
      </w:r>
      <w:r>
        <w:t xml:space="preserve">→ 30 licencias Standard + 10 Enterprise vía partners (objetivo 1,44M€/año).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Sector</w:t>
      </w:r>
      <w:r>
        <w:t xml:space="preserve"> </w:t>
      </w:r>
      <w:r>
        <w:t xml:space="preserve">→ 40 licencias Local + 10 Regional + 3 National (objetivo 1,32M€/año).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Equipo Strategy &amp; Pricing</w:t>
      </w:r>
      <w:r>
        <w:br/>
      </w:r>
      <w:r>
        <w:rPr>
          <w:bCs/>
          <w:b/>
        </w:rPr>
        <w:t xml:space="preserve">Revisado por:</w:t>
      </w:r>
      <w:r>
        <w:t xml:space="preserve"> </w:t>
      </w:r>
      <w:r>
        <w:t xml:space="preserve">Dirección Comercial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Noviembre 2025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2025-11-07T00:44:00Z</dcterms:created>
  <dcterms:modified xsi:type="dcterms:W3CDTF">2025-11-07T00:44:00Z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