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Adopción</w:t>
      </w:r>
      <w:r>
        <w:t xml:space="preserve"> </w:t>
      </w:r>
      <w:r>
        <w:t xml:space="preserve">de</w:t>
      </w:r>
      <w:r>
        <w:t xml:space="preserve"> </w:t>
      </w:r>
      <w:r>
        <w:t xml:space="preserve">soluciones</w:t>
      </w:r>
      <w:r>
        <w:t xml:space="preserve"> </w:t>
      </w:r>
      <w:r>
        <w:t xml:space="preserve">de</w:t>
      </w:r>
      <w:r>
        <w:t xml:space="preserve"> </w:t>
      </w:r>
      <w:r>
        <w:t xml:space="preserve">IA</w:t>
      </w:r>
      <w:r>
        <w:t xml:space="preserve"> </w:t>
      </w:r>
      <w:r>
        <w:t xml:space="preserve">por</w:t>
      </w:r>
      <w:r>
        <w:t xml:space="preserve"> </w:t>
      </w:r>
      <w:r>
        <w:t xml:space="preserve">sector</w:t>
      </w:r>
      <w:r>
        <w:t xml:space="preserve"> </w:t>
      </w:r>
      <w:r>
        <w:t xml:space="preserve">en</w:t>
      </w:r>
      <w:r>
        <w:t xml:space="preserve"> </w:t>
      </w:r>
      <w:r>
        <w:t xml:space="preserve">España</w:t>
      </w:r>
    </w:p>
    <w:p>
      <w:pPr>
        <w:pStyle w:val="Author"/>
      </w:pPr>
      <w:r>
        <w:t xml:space="preserve">Equipo</w:t>
      </w:r>
      <w:r>
        <w:t xml:space="preserve"> </w:t>
      </w:r>
      <w:r>
        <w:t xml:space="preserve">Strategy</w:t>
      </w:r>
      <w:r>
        <w:t xml:space="preserve"> </w:t>
      </w:r>
      <w:r>
        <w:t xml:space="preserve">&amp;</w:t>
      </w:r>
      <w:r>
        <w:t xml:space="preserve"> </w:t>
      </w:r>
      <w:r>
        <w:t xml:space="preserve">Pricing</w:t>
      </w:r>
    </w:p>
    <w:p>
      <w:pPr>
        <w:pStyle w:val="Date"/>
      </w:pPr>
      <w:r>
        <w:t xml:space="preserve">Noviembre</w:t>
      </w:r>
      <w:r>
        <w:t xml:space="preserve"> </w:t>
      </w:r>
      <w:r>
        <w:t xml:space="preserve">2025</w:t>
      </w:r>
    </w:p>
    <w:bookmarkStart w:id="41" w:name="Xeaa5fb233ec4190dbaa9a686c37f494f03890a0"/>
    <w:p>
      <w:pPr>
        <w:pStyle w:val="Heading1"/>
      </w:pPr>
      <w:r>
        <w:t xml:space="preserve">Adopción de soluciones de IA por sector en España</w:t>
      </w:r>
    </w:p>
    <w:bookmarkStart w:id="20" w:name="resumen-ejecutivo"/>
    <w:p>
      <w:pPr>
        <w:pStyle w:val="Heading2"/>
      </w:pPr>
      <w:r>
        <w:t xml:space="preserve">0. Resumen ejecutivo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Penetración media nacional (empresas ≥10 empleados): 13,9 % en 2023</w:t>
      </w:r>
      <w:r>
        <w:t xml:space="preserve">,</w:t>
      </w:r>
      <w:r>
        <w:t xml:space="preserve"> </w:t>
      </w:r>
      <w:r>
        <w:rPr>
          <w:bCs/>
          <w:b/>
        </w:rPr>
        <w:t xml:space="preserve">15,8 % en 2024 (estimación ONTSI/Eurostat)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18,5 % proyectado para 2025</w:t>
      </w:r>
      <w:r>
        <w:t xml:space="preserve"> </w:t>
      </w:r>
      <w:r>
        <w:t xml:space="preserve">si se mantienen los planes de inversión vigentes.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Sectores con adopción líder (2023-2024):</w:t>
      </w:r>
      <w:r>
        <w:t xml:space="preserve"> </w:t>
      </w:r>
      <w:r>
        <w:t xml:space="preserve">Información y comunicaciones (29 → 32 %), Finanzas y seguros (25 → 27 %), Energía y utilities (23 → 25 %).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Sectores con mayor crecimiento YoY (2024):</w:t>
      </w:r>
      <w:r>
        <w:t xml:space="preserve"> </w:t>
      </w:r>
      <w:r>
        <w:t xml:space="preserve">Transporte (+6 pp vs 2022, +2 pp adicionales 2024e), Comercio (+5 pp, +2 pp 2024e) y Construcción (+4 pp, +2 pp 2024e) por ayudas públicas y casos de eficiencia operativa.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Drivers:</w:t>
      </w:r>
      <w:r>
        <w:t xml:space="preserve"> </w:t>
      </w:r>
      <w:r>
        <w:t xml:space="preserve">disponibilidad de datos operativos, presión regulatoria (finanzas, energía, administración pública), necesidad de automatizar atención al cliente (comercio, hostelería) y captación de talento.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Barreras comunes:</w:t>
      </w:r>
      <w:r>
        <w:t xml:space="preserve"> </w:t>
      </w:r>
      <w:r>
        <w:t xml:space="preserve">falta de talento, costes de implementación, dudas sobre cumplimiento EU AI Act/ENS y dependencia de proveedores.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Oportunidad CodeflowX:</w:t>
      </w:r>
      <w:r>
        <w:t xml:space="preserve"> </w:t>
      </w:r>
      <w:r>
        <w:t xml:space="preserve">ofrecer gobierno, evaluación y monitorización con despliegues ≤6 semanas en sectores que alcanzarán 15-20 % de adopción en 2025 pero carecen de soluciones de compliance integradas.</w:t>
      </w:r>
    </w:p>
    <w:bookmarkEnd w:id="20"/>
    <w:bookmarkStart w:id="21" w:name="fuentes-estadísticas-principales"/>
    <w:p>
      <w:pPr>
        <w:pStyle w:val="Heading2"/>
      </w:pPr>
      <w:r>
        <w:t xml:space="preserve">1. Fuentes estadísticas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77"/>
        <w:gridCol w:w="1893"/>
        <w:gridCol w:w="1893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Año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 – Encuesta sobre el uso de TIC y comercio electrónico en las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españolas ≥10 empleados, por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 (publicado oct-2024)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módulo experimental sobre IA (aprendizaje automático, NLP, reconocimiento imagen, etc.).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ONTSI – Indicadores de la Sociedad Digital en España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empresas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 adopción por sector y tamaño; ofrece tendencias y testimonios.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Eurostat – isoc_e_aisec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UE-27 vs España por 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comparación con media UE y evolución 2021-2023.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MITMA – Observatorio Transporte y Logística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 y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Incluye indicadores de digitalización y proyectos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España – Informe innovación financiera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Detalla proyectos de IA en scoring, fraude y cumplimiento.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Segittur – Informe Smart Tourist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Turismo y hostelería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de uso IA generativa en destinos turísticos.</w:t>
            </w:r>
          </w:p>
        </w:tc>
      </w:tr>
    </w:tbl>
    <w:bookmarkEnd w:id="21"/>
    <w:bookmarkStart w:id="22" w:name="X48dc2f827a6ecd56ca0a0c69205cf41c328ae91"/>
    <w:p>
      <w:pPr>
        <w:pStyle w:val="Heading2"/>
      </w:pPr>
      <w:r>
        <w:t xml:space="preserve">2. Tabla comparativa de adopción de IA por sector (España, 2023-2025)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0"/>
        <w:gridCol w:w="484"/>
        <w:gridCol w:w="1131"/>
        <w:gridCol w:w="1212"/>
        <w:gridCol w:w="2262"/>
        <w:gridCol w:w="1212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(proy.)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Principales usos 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 UE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y comunicaciones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Automatización soporte, analítica predictiva, IA generativa contenidos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Crecimiento sostenido; startups IA empujan adopción.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financieras y de seguros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Scoring, AML, gestión documental,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y EU AI Act aceleran proyectos gobierno.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Suministro energía, agua y residuos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predictivo, smart grids, forecasting demanda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 y transición energética impulsan.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 pública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expedientes, chatbots ciudadanos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en comunidades autónomas y grandes ciudades.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Educación (privada/concertada, formación)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Analítica aprendizaje, tutores IA, proctoring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Pilotos IA generativa en universidades privadas.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 manufacturera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visión, mantenimiento predictivo, 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Subvenciones Industria 4.0 aceleran pymes.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profesionales, científicas y técnicas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avanzado, consultoría, legaltech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Legaltech supera 12 % adopción 2024e.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Comercio mayorista y minorista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Recomendadores, pricing dinámico, chatbots postventa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Digital II y marketplaces.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 y almacenamiento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Optimización rutas, visión hubs, asistentes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Logística 3PL escala pilotos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administrativas y servicios auxiliares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RPA + IA, documentación, 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BPO demandan compliance multi-cliente.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Gemelos digitales, seguridad obra, 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Fondos MRR + requisitos BIM.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Hostelería y restauración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Chatbots reservas, marketing personalizado,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 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Destinos turísticos inteligentes.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Notas metodológicas:</w:t>
      </w:r>
      <w:r>
        <w:t xml:space="preserve"> </w:t>
      </w:r>
      <w:r>
        <w:t xml:space="preserve">2023 = dato oficial INE/Eurostat. 2024 (est.) = interpolación ONTSI 2024 + panel sectorial (Q2 2024). 2025 (proy.) = proyección Strategy &amp; Pricing basada en CAGR histórico (2021-2024) y planes públicos (Kit Digital II, PERTE, inversión sectorial).</w:t>
      </w:r>
      <w:r>
        <w:t xml:space="preserve"> </w:t>
      </w:r>
      <w:r>
        <w:t xml:space="preserve">“</w:t>
      </w:r>
      <w:r>
        <w:t xml:space="preserve">Brecha UE 2023</w:t>
      </w:r>
      <w:r>
        <w:t xml:space="preserve">”</w:t>
      </w:r>
      <w:r>
        <w:t xml:space="preserve"> </w:t>
      </w:r>
      <w:r>
        <w:t xml:space="preserve">= diferencia frente a media UE-27.</w:t>
      </w:r>
    </w:p>
    <w:bookmarkEnd w:id="22"/>
    <w:bookmarkStart w:id="35" w:name="detalle-sectorial"/>
    <w:p>
      <w:pPr>
        <w:pStyle w:val="Heading2"/>
      </w:pPr>
      <w:r>
        <w:t xml:space="preserve">3. Detalle sectorial</w:t>
      </w:r>
    </w:p>
    <w:bookmarkStart w:id="23" w:name="información-y-comunicaciones"/>
    <w:p>
      <w:pPr>
        <w:pStyle w:val="Heading3"/>
      </w:pPr>
      <w:r>
        <w:t xml:space="preserve">3.1 Información y comunicaciones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automatización L1 soporte (chatbots multicanal), clasificación de tickets, generación de contenido. Adopción de RAG sobre bases documentales de soporte.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presión competitiva de agencias digitales, necesidad de diferenciar servicios gestionados, acuerdos MSP.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seguridad de datos de clientes, cumplimiento Art. 50 EU AI Act, gestión de prompts y versiones.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posicionar governance overlay para agencias que revenden servicios AI a terceros. Integración con</w:t>
      </w:r>
      <w:r>
        <w:t xml:space="preserve"> </w:t>
      </w:r>
      <w:r>
        <w:rPr>
          <w:rStyle w:val="VerbatimChar"/>
        </w:rPr>
        <w:t xml:space="preserve">leka-llm-interpreter</w:t>
      </w:r>
      <w:r>
        <w:t xml:space="preserve"> </w:t>
      </w:r>
      <w:r>
        <w:t xml:space="preserve">para optimizar costes BYOM.</w:t>
      </w:r>
    </w:p>
    <w:bookmarkEnd w:id="23"/>
    <w:bookmarkStart w:id="24" w:name="actividades-financieras-y-de-seguros"/>
    <w:p>
      <w:pPr>
        <w:pStyle w:val="Heading3"/>
      </w:pPr>
      <w:r>
        <w:t xml:space="preserve">3.2 Actividades financieras y de seguros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scoring, KYC/AML, detección de fraude en pagos, automatización documental (OCR+NLP) para underwriting.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exigencias Banco de España, EBA, DORA; regulación de modelos críticos (Art. 6 y Anexo III EU AI Act).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gobernanza de modelos heredados, transparencia y explicabilidad, auditorías de terceros.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módulos de evaluación (</w:t>
      </w:r>
      <w:r>
        <w:rPr>
          <w:rStyle w:val="VerbatimChar"/>
        </w:rPr>
        <w:t xml:space="preserve">leka-llm-evaluation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leka-bias-detection</w:t>
      </w:r>
      <w:r>
        <w:t xml:space="preserve">) y logging inmutable (TimescaleDB + hash chain) para auditorías.</w:t>
      </w:r>
    </w:p>
    <w:bookmarkEnd w:id="24"/>
    <w:bookmarkStart w:id="25" w:name="energía-agua-y-residuos"/>
    <w:p>
      <w:pPr>
        <w:pStyle w:val="Heading3"/>
      </w:pPr>
      <w:r>
        <w:t xml:space="preserve">3.3 Energía, agua y residuos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mantenimiento predictivo en redes eléctricas, optimización de carga, predicción de demanda, monitorización de activos críticos.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eficiencia energética, PERTE ERHA, objetivos de sostenibilidad, exigencias CNMC.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integración OT/IT, ciberseguridad industrial, requisitos ENS Alto.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supervisión continua de agentes y modelos híbridos (RAG + ML tradicional), generación de FRIA automatizada.</w:t>
      </w:r>
    </w:p>
    <w:bookmarkEnd w:id="25"/>
    <w:bookmarkStart w:id="26" w:name="industria-manufacturera"/>
    <w:p>
      <w:pPr>
        <w:pStyle w:val="Heading3"/>
      </w:pPr>
      <w:r>
        <w:t xml:space="preserve">3.4 Industria manufacturera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visión artificial QA, mantenimiento predictivo, planificación producción, simulación digital.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Industria 4.0, subvenciones MRR y programas acelerapyme.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legacy MES/SCADA, falta de talento IA, ROI incierto en pymes.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gobierno modular para múltiples líneas (proyectos gobernados), evaluación RAG técnica y control de drift.</w:t>
      </w:r>
    </w:p>
    <w:bookmarkEnd w:id="26"/>
    <w:bookmarkStart w:id="27" w:name="X53bbace8006f4e6d98d39363003bf5594a8d952"/>
    <w:p>
      <w:pPr>
        <w:pStyle w:val="Heading3"/>
      </w:pPr>
      <w:r>
        <w:t xml:space="preserve">3.5 Servicios profesionales, científicas y técnicas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automatización de propuestas, marketing predictivo, IA generativa aplicada a consultoría y legaltech (adopción legaltech estimada 11-12 %).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diferenciación frente a competidores, demanda de cumplimiento por parte de clientes corporativos.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protección de propiedad intelectual, gestión de datos sensibles de clientes.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permitir governance overlay multi-cliente (Cloud Enterprise), control de prompts y reporting Art. 12-14.</w:t>
      </w:r>
    </w:p>
    <w:bookmarkEnd w:id="27"/>
    <w:bookmarkStart w:id="28" w:name="administración-pública"/>
    <w:p>
      <w:pPr>
        <w:pStyle w:val="Heading3"/>
      </w:pPr>
      <w:r>
        <w:t xml:space="preserve">3.6 Administración pública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analítica de expedientes, asistentes virtuales ciudadanos, priorización y triaje de trámites, detección de fraude en subvenciones.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Plan de Digitalización AP 2021-2025, fondos NextGen, obligaciones ENS y EU AI Act (Art. 53 y 71).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heterogeneidad tecnológica, dependencia de proveedores legacy, procesos de contratación largos.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reporting automatizado FRIA/ENS, multi-proyecto por concejalías, despliegue híbrido (cloud dedicado + on-prem) y logging inmutable para auditorías.</w:t>
      </w:r>
    </w:p>
    <w:bookmarkEnd w:id="28"/>
    <w:bookmarkStart w:id="29" w:name="X6dc09e61ed95314b41e0e12e3179760369b1352"/>
    <w:p>
      <w:pPr>
        <w:pStyle w:val="Heading3"/>
      </w:pPr>
      <w:r>
        <w:t xml:space="preserve">3.7 Educación (privada/concertada, empresas formación)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analítica de aprendizaje, tutores inteligentes, proctoring, automatización administrativa.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competencia en educación superior, programas UNIDIGITAL, necesidad de personalización y retención estudiantil.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protección de datos de menores, aceptación docente, presupuestos limitados.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control de agentes educativos, evaluación de prompts/RAG académicos, gestión de consentimiento y reporting ético.</w:t>
      </w:r>
    </w:p>
    <w:bookmarkEnd w:id="29"/>
    <w:bookmarkStart w:id="30" w:name="comercio-mayorista-y-minorista"/>
    <w:p>
      <w:pPr>
        <w:pStyle w:val="Heading3"/>
      </w:pPr>
      <w:r>
        <w:t xml:space="preserve">3.8 Comercio mayorista y minorista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motores de recomendación, segmentación, chatbots de postventa, analítica de fraude en eCommerce.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crecimiento del canal digital, open banking para medios de pago, ayudas Kit Digital II.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integraciones con ERPs legacy, cumplimiento RGPD/PSD2.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monitorización de modelos recomendadores, evaluación sesgos, despliegue rápido en bundles cloud.</w:t>
      </w:r>
    </w:p>
    <w:bookmarkEnd w:id="30"/>
    <w:bookmarkStart w:id="31" w:name="transporte-y-almacenamiento"/>
    <w:p>
      <w:pPr>
        <w:pStyle w:val="Heading3"/>
      </w:pPr>
      <w:r>
        <w:t xml:space="preserve">3.9 Transporte y almacenamiento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optimización de rutas, visión en hubs logísticos, asistentes de flota, predicción de demanda.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costes fuel/CO₂, exigencia de SLA en eCommerce, competitividad 3PL.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conectividad en tiempo real, integración telemática, cumplimiento ENS para operadores públicos.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capacidad de orquestar agentes distribuidos, logging inmutable, alertas drift.</w:t>
      </w:r>
    </w:p>
    <w:bookmarkEnd w:id="31"/>
    <w:bookmarkStart w:id="32" w:name="Xfc2f40652aea03b74fdab683c0dcbe829144ad9"/>
    <w:p>
      <w:pPr>
        <w:pStyle w:val="Heading3"/>
      </w:pPr>
      <w:r>
        <w:t xml:space="preserve">3.10 Actividades administrativas y servicios auxiliares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automatización BPO, RPA con IA, clasificación documental, workforce scheduling.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presión por márgenes, contratos SLA, externalización de compliance.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multi-clientes con datos sensibles, reticencia a inversión CAPEX.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modelo por proyectos gobernados, multi-tenant, monetización cumplimiento.</w:t>
      </w:r>
    </w:p>
    <w:bookmarkEnd w:id="32"/>
    <w:bookmarkStart w:id="33" w:name="construcción"/>
    <w:p>
      <w:pPr>
        <w:pStyle w:val="Heading3"/>
      </w:pPr>
      <w:r>
        <w:t xml:space="preserve">3.11 Construcción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gemelos digitales, control de riesgos laborales, previsión de materiales, licitaciones.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normativa BIM, fondos Next Generation, contratos públicos exigentes.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baja madurez digital, entornos de obra desconectados.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reporting ENS, control de datos sensibles, gestión de agentes en entornos desconectados mediante MCP.</w:t>
      </w:r>
    </w:p>
    <w:bookmarkEnd w:id="33"/>
    <w:bookmarkStart w:id="34" w:name="hostelería-y-restauración"/>
    <w:p>
      <w:pPr>
        <w:pStyle w:val="Heading3"/>
      </w:pPr>
      <w:r>
        <w:t xml:space="preserve">3.12 Hostelería y restauración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Casos dominantes:</w:t>
      </w:r>
      <w:r>
        <w:t xml:space="preserve"> </w:t>
      </w:r>
      <w:r>
        <w:t xml:space="preserve">chatbots de reservas, asistentes de upselling, analítica de reviews, forecasting ocupación.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Motivadores:</w:t>
      </w:r>
      <w:r>
        <w:t xml:space="preserve"> </w:t>
      </w:r>
      <w:r>
        <w:t xml:space="preserve">recuperación post-pandemia, dependencia de marketplaces, promoción destinos inteligentes.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Riesgos/Barreras:</w:t>
      </w:r>
      <w:r>
        <w:t xml:space="preserve"> </w:t>
      </w:r>
      <w:r>
        <w:t xml:space="preserve">rotación personal, presupuesto limitado, fragmentación proveedores.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Relevancia CodeflowX:</w:t>
      </w:r>
      <w:r>
        <w:t xml:space="preserve"> </w:t>
      </w:r>
      <w:r>
        <w:t xml:space="preserve">paquetes Cloud Compliance, automatización FRIA para cadenas hoteleras y operadores turísticos.</w:t>
      </w:r>
    </w:p>
    <w:bookmarkEnd w:id="34"/>
    <w:bookmarkEnd w:id="35"/>
    <w:bookmarkStart w:id="36" w:name="perspectiva-por-tamaño-empresarial"/>
    <w:p>
      <w:pPr>
        <w:pStyle w:val="Heading2"/>
      </w:pPr>
      <w:r>
        <w:t xml:space="preserve">4. Perspectiva por tamaño empresarial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692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Tamaño (empleados)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Adopción 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en soluciones plug-and-play; escasez de talento interno.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Creciente interés por gobierno y monitorización ante aumento de proyectos.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29 %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Programas estructurados de IA, comités de gobernanza y exigencias regulatorias.</w:t>
            </w:r>
          </w:p>
        </w:tc>
      </w:tr>
    </w:tbl>
    <w:p>
      <w:pPr>
        <w:pStyle w:val="BodyText"/>
      </w:pPr>
      <w:r>
        <w:t xml:space="preserve">Fuente: INE 2023, módulo IA. Complementar con ONTSI 2024 para tendencias.</w:t>
      </w:r>
    </w:p>
    <w:bookmarkEnd w:id="36"/>
    <w:bookmarkStart w:id="37" w:name="X57c11dc48ee72b3c4756174790493d20fa523b1"/>
    <w:p>
      <w:pPr>
        <w:pStyle w:val="Heading2"/>
      </w:pPr>
      <w:r>
        <w:t xml:space="preserve">4.1 Mapa de cumplimiento y gobierno por sector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1805"/>
        <w:gridCol w:w="1863"/>
        <w:gridCol w:w="2096"/>
        <w:gridCol w:w="1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Normativas/obligaciones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Certificaciones/ISO relevantes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¿Documentación sectorial CodeflowX?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 para versión adaptada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Información y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(Art. 12-15, 71), RGPD,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ISO/IEC 27001, 23894, ENS (si servicios públicos)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(deck agencias + prompts 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plantillas de FRIA para agentes multi-cliente y gestión BYOM.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Finanzas y seguros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(Art. 6, Anexo III 5), DORA, EBA GL, RGPD, PSD2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ISO/IEC 27701, ISO 20000-1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(pack FinReg en desarrollo)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anexos para scoring explicable, matrices AML y reporting Banco de España.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Energía, agua y residuos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(Anexo III 2), NIS2, CNMC, ENS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ISO 55001, ISO 14001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(plantillas FRIA + logging)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con protocolos de resiliencia OT, integración SCADA y plan continuidad.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(Art. 53-71), ENS, LPACAP,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 (Alto), ISO 27001, ISO 22301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(paquete AP en roadmap)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Incluir guías FRIA sector público, modelos de informe Art. 71 y anexos 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(Art. 10-14), LOPDGDD, 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27701, UNE 71362 (calidad e-learning)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(casos pilotos)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políticas protección menores, checklist consentimiento y gobernanza agentes educativos.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 manufacturera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(Anexo III 1), NIS2, normativa seguridad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9001, ISO 27001, ISO 45001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(pack Industria 4.0)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Expandir con requisitos trazabilidad cadena suministro y mantenimiento predictivo.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profesionales (legaltech, consultoría)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(Art. 12-15), RGPD, LOPDGDD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ISO 27701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(legaltech docs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cláusulas contrato, matrices de responsabilidad proveedor/deployer y guías de auditoría.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(prácticas limitadas), RGPD, PSD2 (pagos), LSSI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ISO 27701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(plantillas commerce)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checklists omnicanal, controles sesgos recomendadores y plantillas auditoría marketing.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Transporte y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(Anexo III 1, 4), NIS2, ADR (según caso)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ISO 39001, ISO 28000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(casos piloto logística)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Incorporar guías para tracking flotas, integraciones IoT y alertas ENS medio.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Actividades administrativas/BPO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(Art. 10-15), RGPD, ENS (cuando servicio 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ISO 27701, ISO 22301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(modelo multi-tenant)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SLAs de gobernanza, segregación de datos, plantillas de reporte clientes.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(Anexo III 1), PRL (Ley 31/1995), normativa BIM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9001, ISO 45001, ISO 19650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(pack construcción)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Extender guías para gemelos digitales, compliance obra pública y gestión subcontratas.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Hostelería y turismo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(prácticas limitadas), RGPD, ENS (turismo inteligente)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27001, UNE 178501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(pack turismo inteligente)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plantillas de FRIA turística, controles PII huéspedes y reporting destinos inteligentes.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Leyenda disponibilidad:</w:t>
      </w:r>
      <w:r>
        <w:t xml:space="preserve"> </w:t>
      </w:r>
      <w:r>
        <w:t xml:space="preserve">“</w:t>
      </w:r>
      <w:r>
        <w:t xml:space="preserve">Sí</w:t>
      </w:r>
      <w:r>
        <w:t xml:space="preserve">”</w:t>
      </w:r>
      <w:r>
        <w:t xml:space="preserve"> </w:t>
      </w:r>
      <w:r>
        <w:t xml:space="preserve">= documentación/procesos listos;</w:t>
      </w:r>
      <w:r>
        <w:t xml:space="preserve"> </w:t>
      </w:r>
      <w:r>
        <w:t xml:space="preserve">“</w:t>
      </w:r>
      <w:r>
        <w:t xml:space="preserve">Parcial</w:t>
      </w:r>
      <w:r>
        <w:t xml:space="preserve">”</w:t>
      </w:r>
      <w:r>
        <w:t xml:space="preserve"> </w:t>
      </w:r>
      <w:r>
        <w:t xml:space="preserve">= material base disponible, requiere ajustes sectoriales. Próximos sprints: completar módulos ENS/sector público y plantillas comercio/turismo.</w:t>
      </w:r>
    </w:p>
    <w:bookmarkEnd w:id="37"/>
    <w:bookmarkStart w:id="38" w:name="implicaciones-comerciales-para-codeflowx"/>
    <w:p>
      <w:pPr>
        <w:pStyle w:val="Heading2"/>
      </w:pPr>
      <w:r>
        <w:t xml:space="preserve">5. Implicaciones comerciales para CodeflowX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Segmentar discurso:</w:t>
      </w:r>
      <w:r>
        <w:t xml:space="preserve"> </w:t>
      </w:r>
      <w:r>
        <w:t xml:space="preserve">enfatizar ROI y cumplimiento en sectores regulados (finanzas, energía) y eficiencia operativa en sectores con adopción incipiente (construcción, hostelería).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Bundles específicos: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Pack FinReg:</w:t>
      </w:r>
      <w:r>
        <w:t xml:space="preserve"> </w:t>
      </w:r>
      <w:r>
        <w:t xml:space="preserve">governance + bias detection + evaluaciones AML (integración</w:t>
      </w:r>
      <w:r>
        <w:t xml:space="preserve"> </w:t>
      </w:r>
      <w:r>
        <w:rPr>
          <w:rStyle w:val="VerbatimChar"/>
        </w:rPr>
        <w:t xml:space="preserve">leka-bias-detection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leka-llm-evaluation</w:t>
      </w:r>
      <w:r>
        <w:t xml:space="preserve">).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Pack Industria 4.0:</w:t>
      </w:r>
      <w:r>
        <w:t xml:space="preserve"> </w:t>
      </w:r>
      <w:r>
        <w:t xml:space="preserve">monitoreo de modelos visión + registros inmutables (TimescaleDB + hash chain).</w:t>
      </w:r>
    </w:p>
    <w:p>
      <w:pPr>
        <w:numPr>
          <w:ilvl w:val="1"/>
          <w:numId w:val="1015"/>
        </w:numPr>
        <w:pStyle w:val="Compact"/>
      </w:pPr>
      <w:r>
        <w:rPr>
          <w:iCs/>
          <w:i/>
        </w:rPr>
        <w:t xml:space="preserve">Pack Turismo Inteligente:</w:t>
      </w:r>
      <w:r>
        <w:t xml:space="preserve"> </w:t>
      </w:r>
      <w:r>
        <w:t xml:space="preserve">Cloud Governance + integración con n8n/ChatGPT vía</w:t>
      </w:r>
      <w:r>
        <w:t xml:space="preserve"> </w:t>
      </w:r>
      <w:r>
        <w:rPr>
          <w:rStyle w:val="VerbatimChar"/>
        </w:rPr>
        <w:t xml:space="preserve">leka-llm-interpreter</w:t>
      </w:r>
      <w:r>
        <w:t xml:space="preserve"> </w:t>
      </w:r>
      <w:r>
        <w:t xml:space="preserve">y webhooks MCP.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Apalancar ayudas públicas:</w:t>
      </w:r>
      <w:r>
        <w:t xml:space="preserve"> </w:t>
      </w:r>
      <w:r>
        <w:t xml:space="preserve">incluir en propuestas argumentos Kit Digital II, programas CIBERresiliencia (finanzas) y PERTE.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Refuerzo en compliance:</w:t>
      </w:r>
      <w:r>
        <w:t xml:space="preserve"> </w:t>
      </w:r>
      <w:r>
        <w:t xml:space="preserve">destacar preparación EU AI Act (Art. 9-15, 71), ENS y obligaciones sectoriales (EBA, CNMC, MITMA).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Servicios profesionales asociados:</w:t>
      </w:r>
      <w:r>
        <w:t xml:space="preserve"> </w:t>
      </w:r>
      <w:r>
        <w:t xml:space="preserve">auditorías FRIA, consultoría de evaluación RAG, soporte multi-tenant para partners.</w:t>
      </w:r>
    </w:p>
    <w:bookmarkEnd w:id="38"/>
    <w:bookmarkStart w:id="39" w:name="próximos-pasos"/>
    <w:p>
      <w:pPr>
        <w:pStyle w:val="Heading2"/>
      </w:pPr>
      <w:r>
        <w:t xml:space="preserve">6. Próximos pasos</w:t>
      </w:r>
    </w:p>
    <w:p>
      <w:pPr>
        <w:numPr>
          <w:ilvl w:val="0"/>
          <w:numId w:val="1016"/>
        </w:numPr>
        <w:pStyle w:val="Compact"/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OPORTUNIDAD_NEGOCIO_ESPANA_NOVIEMBRE_2025.md</w:t>
      </w:r>
      <w:r>
        <w:t xml:space="preserve"> </w:t>
      </w:r>
      <w:r>
        <w:t xml:space="preserve">con esta tabla sectorial.</w:t>
      </w:r>
    </w:p>
    <w:p>
      <w:pPr>
        <w:numPr>
          <w:ilvl w:val="0"/>
          <w:numId w:val="1016"/>
        </w:numPr>
        <w:pStyle w:val="Compact"/>
      </w:pPr>
      <w:r>
        <w:t xml:space="preserve">Generar infografías y deck comercial basado en esta información.</w:t>
      </w:r>
    </w:p>
    <w:p>
      <w:pPr>
        <w:numPr>
          <w:ilvl w:val="0"/>
          <w:numId w:val="1016"/>
        </w:numPr>
        <w:pStyle w:val="Compact"/>
      </w:pPr>
      <w:r>
        <w:t xml:space="preserve">Coordinar con equipo de prompts (</w:t>
      </w:r>
      <w:r>
        <w:rPr>
          <w:rStyle w:val="VerbatimChar"/>
        </w:rPr>
        <w:t xml:space="preserve">PROMPTS_18</w:t>
      </w:r>
      <w:r>
        <w:t xml:space="preserve">+) para incluir requisitos por sector (p.ej. triggers ENS, reporting Art. 71).</w:t>
      </w:r>
    </w:p>
    <w:p>
      <w:pPr>
        <w:numPr>
          <w:ilvl w:val="0"/>
          <w:numId w:val="1016"/>
        </w:numPr>
        <w:pStyle w:val="Compact"/>
      </w:pPr>
      <w:r>
        <w:t xml:space="preserve">Monitorizar publicación INE 2024 (prevista oct-2025) para refrescar cifras.</w:t>
      </w:r>
    </w:p>
    <w:bookmarkEnd w:id="39"/>
    <w:bookmarkStart w:id="40" w:name="bibliografía-y-enlaces"/>
    <w:p>
      <w:pPr>
        <w:pStyle w:val="Heading2"/>
      </w:pPr>
      <w:r>
        <w:t xml:space="preserve">7. Bibliografía y enlaces</w:t>
      </w:r>
    </w:p>
    <w:p>
      <w:pPr>
        <w:numPr>
          <w:ilvl w:val="0"/>
          <w:numId w:val="1017"/>
        </w:numPr>
        <w:pStyle w:val="Compact"/>
      </w:pPr>
      <w:r>
        <w:t xml:space="preserve">Instituto Nacional de Estadística (2024).</w:t>
      </w:r>
      <w:r>
        <w:t xml:space="preserve"> </w:t>
      </w:r>
      <w:r>
        <w:rPr>
          <w:iCs/>
          <w:i/>
        </w:rPr>
        <w:t xml:space="preserve">Encuesta sobre el uso de TIC y comercio electrónico en las empresas 2023</w:t>
      </w:r>
      <w:r>
        <w:t xml:space="preserve">. Módulo Inteligencia Artificial. https://www.ine.es/dyngs/INEbase/es/operacion.htm?c=Estadistica_C&amp;cid=1254736176749</w:t>
      </w:r>
    </w:p>
    <w:p>
      <w:pPr>
        <w:numPr>
          <w:ilvl w:val="0"/>
          <w:numId w:val="1017"/>
        </w:numPr>
        <w:pStyle w:val="Compact"/>
      </w:pPr>
      <w:r>
        <w:t xml:space="preserve">Observatorio Nacional de Tecnología y Sociedad – ONTSI (2024).</w:t>
      </w:r>
      <w:r>
        <w:t xml:space="preserve"> </w:t>
      </w:r>
      <w:r>
        <w:rPr>
          <w:iCs/>
          <w:i/>
        </w:rPr>
        <w:t xml:space="preserve">Indicadores de la Sociedad Digital en España 2024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Eurostat (2024). Dataset</w:t>
      </w:r>
      <w:r>
        <w:t xml:space="preserve"> </w:t>
      </w:r>
      <w:r>
        <w:rPr>
          <w:iCs/>
          <w:i/>
        </w:rPr>
        <w:t xml:space="preserve">isoc_e_aisec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Use of artificial intelligence in enterprises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Banco de España (2024).</w:t>
      </w:r>
      <w:r>
        <w:t xml:space="preserve"> </w:t>
      </w:r>
      <w:r>
        <w:rPr>
          <w:iCs/>
          <w:i/>
        </w:rPr>
        <w:t xml:space="preserve">Informe sobre innovación financiera y RegTech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MITMA (2024).</w:t>
      </w:r>
      <w:r>
        <w:t xml:space="preserve"> </w:t>
      </w:r>
      <w:r>
        <w:rPr>
          <w:iCs/>
          <w:i/>
        </w:rPr>
        <w:t xml:space="preserve">Observatorio del Transporte y la Logística en España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Segittur (2024).</w:t>
      </w:r>
      <w:r>
        <w:t xml:space="preserve"> </w:t>
      </w:r>
      <w:r>
        <w:rPr>
          <w:iCs/>
          <w:i/>
        </w:rPr>
        <w:t xml:space="preserve">Informe Smart Tourist Destinations 2024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Comisión Europea (2024).</w:t>
      </w:r>
      <w:r>
        <w:t xml:space="preserve"> </w:t>
      </w:r>
      <w:r>
        <w:rPr>
          <w:iCs/>
          <w:i/>
        </w:rPr>
        <w:t xml:space="preserve">Digital Economy and Society Index – DESI</w:t>
      </w:r>
      <w:r>
        <w:t xml:space="preserve"> </w:t>
      </w:r>
      <w:r>
        <w:t xml:space="preserve">(capítulo España).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Preparado por:</w:t>
      </w:r>
      <w:r>
        <w:t xml:space="preserve"> </w:t>
      </w:r>
      <w:r>
        <w:t xml:space="preserve">Equipo Strategy &amp; Pricing</w:t>
      </w:r>
      <w:r>
        <w:br/>
      </w:r>
      <w:r>
        <w:rPr>
          <w:bCs/>
          <w:b/>
        </w:rPr>
        <w:t xml:space="preserve">Contacto:</w:t>
      </w:r>
      <w:r>
        <w:t xml:space="preserve"> </w:t>
      </w:r>
      <w:r>
        <w:t xml:space="preserve">strategy@codeflowx.com</w:t>
      </w:r>
      <w:r>
        <w:br/>
      </w:r>
      <w:r>
        <w:rPr>
          <w:bCs/>
          <w:b/>
        </w:rPr>
        <w:t xml:space="preserve">Confidencialidad:</w:t>
      </w:r>
      <w:r>
        <w:t xml:space="preserve"> </w:t>
      </w:r>
      <w:r>
        <w:t xml:space="preserve">Uso interno – no distribuir externamente sin aprobación de Dirección.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Adopción de soluciones de IA por sector en España</dc:title>
  <dc:creator>Equipo Strategy &amp; Pricing</dc:creator>
  <cp:keywords/>
  <dcterms:created xsi:type="dcterms:W3CDTF">2025-11-07T13:30:38Z</dcterms:created>
  <dcterms:modified xsi:type="dcterms:W3CDTF">2025-11-07T13:30:38Z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cialidad">
    <vt:lpwstr>Uso interno</vt:lpwstr>
  </property>
  <property fmtid="{D5CDD505-2E9C-101B-9397-08002B2CF9AE}" pid="3" name="date">
    <vt:lpwstr>Noviembre 2025</vt:lpwstr>
  </property>
</Properties>
</file>