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76c6f8f0488011a824fd7ea0ac2103382eb911d"/>
    <w:p>
      <w:pPr>
        <w:pStyle w:val="Heading1"/>
      </w:pPr>
      <w:r>
        <w:t xml:space="preserve">COMPARATIVA PLATAFORMAS GOBIERNO IA · NOVIEMBRE 2025</w:t>
      </w:r>
    </w:p>
    <w:bookmarkStart w:id="20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identificar posicionamiento competitivo frente a plataformas de gobierno de IA, soluciones no-code para agentes y proveedores de inferencia/modelos, con foco en pricing y cobertura funcional.</w:t>
      </w:r>
    </w:p>
    <w:p>
      <w:pPr>
        <w:pStyle w:val="BodyText"/>
      </w:pPr>
      <w:r>
        <w:rPr>
          <w:bCs/>
          <w:b/>
        </w:rPr>
        <w:t xml:space="preserve">Metodología:</w:t>
      </w:r>
      <w:r>
        <w:t xml:space="preserve"> </w:t>
      </w:r>
      <w:r>
        <w:t xml:space="preserve">revisión de fichas públicas y pricing (noviembre 2025) de los principales proveedores. Referencias incluidas al final.</w:t>
      </w:r>
    </w:p>
    <w:p>
      <w:r>
        <w:pict>
          <v:rect style="width:0;height:1.5pt" o:hralign="center" o:hrstd="t" o:hr="t"/>
        </w:pict>
      </w:r>
    </w:p>
    <w:bookmarkEnd w:id="20"/>
    <w:bookmarkStart w:id="29" w:name="Xcae99445b3e8d62435e44a41d05d3888590ce65"/>
    <w:p>
      <w:pPr>
        <w:pStyle w:val="Heading2"/>
      </w:pPr>
      <w:r>
        <w:t xml:space="preserve">2. Plataformas de gobierno, evaluación y monitorización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13"/>
        <w:gridCol w:w="1657"/>
        <w:gridCol w:w="1381"/>
        <w:gridCol w:w="2486"/>
        <w:gridCol w:w="13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Enfoque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Módulos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pricing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CodeflowX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 integral EU AI Act + monitoreo multi-entorno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Policy-as-code, evaluación LLM/RAG, Monitorización drift, auditoría Art. 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Planes Cloud 149–1.199 €/mes; self-host 24–48 k€/año (proyectos 2/2/2)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Diferencial en cumplimiento EU AI Act + infraestructura propia (inferencia/RAG).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CodeflowX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Credo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Governanza y compliance para grandes corporaciones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registry, risk scoring, policy workflows, reporting 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a medida (enterprise, regulado)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posiciona como</w:t>
            </w:r>
            <w:r>
              <w:t xml:space="preserve"> </w:t>
            </w:r>
            <w:r>
              <w:t xml:space="preserve">“</w:t>
            </w:r>
            <w:r>
              <w:t xml:space="preserve">AI Governance Platform</w:t>
            </w:r>
            <w:r>
              <w:t xml:space="preserve">”</w:t>
            </w:r>
            <w:r>
              <w:t xml:space="preserve"> </w:t>
            </w:r>
            <w:r>
              <w:t xml:space="preserve">con foco banca/seguros.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Credo AI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Holistic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riesgo y auditoría de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riesgo, fairness, impacto derechos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bajo NDA (paquetes audit + plataforma)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Fuerte en auditorías externas y consultoría asociada.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Holistic AI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Fiddler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Observabilidad y explicabilidad de modelos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Monitorización drift, bias dashboards, explainable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Enterprise (pricing on request)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orientado a MLOps clásico (tabulares).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Fiddler AI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Arthur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y monitoreo LLM +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 calidad, evaluación LLM, bias,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Arthur Shield (LLM) y Observability (ML)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Enfatiza controles LLM y métricas RAG.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Arthur AI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Lakera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LLM y protección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Detección prompt injection, filtrado 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Free; Pro ± 199 CHF/mes; Enterprise a 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específica seguridad LLM, no gobierno completo.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Lakera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Weights &amp; Biases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MLOps experimentación + observabilidad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experimentos, evaluaciones,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Teams desde 49 $/usuario/mes; Enterprise a 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cubre compliance; sí experiment tracking y eval.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Weights &amp; Biases</w:t>
              </w:r>
            </w:hyperlink>
          </w:p>
        </w:tc>
      </w:tr>
    </w:tbl>
    <w:bookmarkStart w:id="28" w:name="Xb64f7615b667ff7de79a55a4e74be3d8a93829f"/>
    <w:p>
      <w:pPr>
        <w:pStyle w:val="Heading3"/>
      </w:pPr>
      <w:r>
        <w:t xml:space="preserve">2.1. Proveedores corporate / on-premises (licencia anual)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44"/>
        <w:gridCol w:w="905"/>
        <w:gridCol w:w="1810"/>
        <w:gridCol w:w="2489"/>
        <w:gridCol w:w="14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de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IBM watsonx.governance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sobre watsonx + modelos externos (lineage, bias, explicabilidad)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Cloud Pak for Data, OpenShift, on-prem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Licencias a partir de ~180 k€/año (packs 50.000 predicciones)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Fuerte en regulado; requiere ecosistema IBM y servicios profesionales.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DataRobot AI Trust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management, documentación regulatoria, monitorización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Kubernetes/self-host + SaaS híbrido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&gt;150 k€/año (solo bajo NDA)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Incluye automatización ML; gobierno ligado a stack DataRobot.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SAS Viya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ciclo de vida modelos, auditoría,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 Viya (on-prem/Cloud)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 perpetua + mantenimiento (desde 120 k€)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 financiero/público; heavy consulting.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Microsoft Azure AI Studio + Responsible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AI dashboard, content safety, policy packs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nativo (Synapse, Purview, AI Studio)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por uso Azure + addons Enterprise (NDA)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para clientes cloud Azure; no cubre RAG fuera ecosistema.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Palantir AIP (Artificial Intelligence Platform)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extremo a extremo (data lineage, AI policy enforcement)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conjunta Palantir (cloud privado/soberano)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multi-anuales &gt;1 M€/año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profundo pero acoplado a plataforma Palantir.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Notas corporate:</w:t>
      </w:r>
      <w:r>
        <w:t xml:space="preserve"> </w:t>
      </w:r>
      <w:r>
        <w:t xml:space="preserve">- Ninguno publica precios masivos; todos operan via NDA y proyectos de servicios.</w:t>
      </w:r>
      <w:r>
        <w:t xml:space="preserve"> </w:t>
      </w:r>
      <w:r>
        <w:t xml:space="preserve">- Requieren ecosistemas cerrados (IBM, SAS, Palantir), elevando coste total y lock-in.</w:t>
      </w:r>
      <w:r>
        <w:t xml:space="preserve"> </w:t>
      </w:r>
      <w:r>
        <w:t xml:space="preserve">- Puntos débiles: despliegue lento (6-12 meses) y foco en modelos tabulares clásicos más que en LLM/RAG.</w:t>
      </w:r>
    </w:p>
    <w:p>
      <w:pPr>
        <w:pStyle w:val="BodyText"/>
      </w:pPr>
      <w:r>
        <w:rPr>
          <w:bCs/>
          <w:b/>
        </w:rPr>
        <w:t xml:space="preserve">Conclusiones:</w:t>
      </w:r>
      <w:r>
        <w:t xml:space="preserve"> </w:t>
      </w:r>
      <w:r>
        <w:t xml:space="preserve">- Plataformas de gobierno orientadas a enterprise venden contratos a medida y dependen de servicios profesionales; pocas comunican precios base.</w:t>
      </w:r>
      <w:r>
        <w:t xml:space="preserve"> </w:t>
      </w:r>
      <w:r>
        <w:t xml:space="preserve">- Proveedores corporate elevan el ticket (&gt;120 k€/año) y obligan a adopción del stack propietario → oportunidad para CodeflowX con licencias self-host (24–48 k€/año) y despliegues rápidos.</w:t>
      </w:r>
      <w:r>
        <w:t xml:space="preserve"> </w:t>
      </w:r>
      <w:r>
        <w:t xml:space="preserve">- CodeflowX combina pricing transparente (SaaS escalonado + self-host) con compliance EU AI Act y módulos de inferencia propios → ventaja en negociación con agencias/consultoras y medianas empresas.</w:t>
      </w:r>
      <w:r>
        <w:t xml:space="preserve"> </w:t>
      </w:r>
      <w:r>
        <w:t xml:space="preserve">- Competidores como Lakera/Weights &amp; Biases se centran en segmentos concretos (seguridad LLM o experiment tracking), no en gobierno completo.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984afee1904bc4c40896322621bc28473afe71b"/>
    <w:p>
      <w:pPr>
        <w:pStyle w:val="Heading2"/>
      </w:pPr>
      <w:r>
        <w:t xml:space="preserve">3. Plataformas no-code para crear agentes/chatbots (precios públicos)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77"/>
        <w:gridCol w:w="963"/>
        <w:gridCol w:w="2247"/>
        <w:gridCol w:w="1926"/>
        <w:gridCol w:w="16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base (mensual)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relevante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de chatbots/agents con IA generativa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99 USD/mes (fact. 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 mensajes/mes, 3 miembros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Incluye handoff, analytics, connectors.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Botpress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Voiceflow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Diseñar agentes conversacionales omnicanal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50 USD/editor/mes (fact. 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ejecuciones prototipo/mes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Fuerte en colaboración diseño conversación.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Voiceflow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Automatización chat + formularios conversacionales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80 €/mes (fact. 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 conversaciones/mes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 web, WhatsApp, CRM.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Landbot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Manychat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Automatización marketing conversacional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desde 15 USD/mes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contactos activos (escala por bloque)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Centrado en WhatsApp/Instagram DMs.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Manychat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Stack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Agentes no-code usando LLMs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 99 USD/mes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agentes activos, 25k mensajes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Incluye workflows RAG básicos.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Stack AI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Flowise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Orquestración visual sobre 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 49 USD/mes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instancias, 50k ejecuciones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Buena para prototipos RAG sin código.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Flowise</w:t>
              </w:r>
            </w:hyperlink>
          </w:p>
        </w:tc>
      </w:tr>
    </w:tbl>
    <w:p>
      <w:pPr>
        <w:pStyle w:val="BodyText"/>
      </w:pPr>
      <w:r>
        <w:rPr>
          <w:bCs/>
          <w:b/>
        </w:rPr>
        <w:t xml:space="preserve">Insights:</w:t>
      </w:r>
      <w:r>
        <w:t xml:space="preserve"> </w:t>
      </w:r>
      <w:r>
        <w:t xml:space="preserve">- Ticket medio 49–99 USD/mes → refuerza la necesidad de upsell a gobierno/compliance (nuestro Cloud Governance 699 €/mes = 7× ticket no-code).</w:t>
      </w:r>
      <w:r>
        <w:t xml:space="preserve"> </w:t>
      </w:r>
      <w:r>
        <w:t xml:space="preserve">- Limitaciones fuertes en mensajes/contactos → las agencias que escalan rápidamente necesitan gobernanza externa (CodeflowX) para control multi-proyecto.</w:t>
      </w:r>
    </w:p>
    <w:p>
      <w:r>
        <w:pict>
          <v:rect style="width:0;height:1.5pt" o:hralign="center" o:hrstd="t" o:hr="t"/>
        </w:pict>
      </w:r>
    </w:p>
    <w:bookmarkEnd w:id="36"/>
    <w:bookmarkStart w:id="44" w:name="proveedores-de-inferencia-y-modelos-2025"/>
    <w:p>
      <w:pPr>
        <w:pStyle w:val="Heading2"/>
      </w:pPr>
      <w:r>
        <w:t xml:space="preserve">4. Proveedores de inferencia y modelos (2025)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2"/>
        <w:gridCol w:w="2295"/>
        <w:gridCol w:w="2640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destacados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de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GPT-4o, GPT-4o mini, GPT-4.1, Embeddings</w:t>
            </w:r>
            <w:r>
              <w:t xml:space="preserve"> </w:t>
            </w:r>
            <w:r>
              <w:rPr>
                <w:rStyle w:val="VerbatimChar"/>
              </w:rPr>
              <w:t xml:space="preserve">text-embedding-3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GPT-4o: 5 USD / 1M tokens entrada, 15 USD / 1M tokens salida; GPT-4o mini: 0,15 / 0,60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global, requiere BYO compliance.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OpenAI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3.5 Sonnet, Claude 3.5 Haiku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USD / 1M tokens entrada, 15 USD / 1M tokens salida (Sonnet)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Integrado en AWS Bedrock/Azure; política uso responsable estricta.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Anthropic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Vertex (Gemini)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1.5 Pro, Gemini 1.5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 USD / 1M tokens entrada, 10 USD / 1M tokens salida (Gemini 1.5 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Incluye control de seguridad y grounding.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Google Vertex AI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AWS Bedrock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3, Llama 3, Mistral, Amazon Titan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3 Sonnet: 0,003 USD entrada / 0,015 USD salida por 1K tokens (us-east-1)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Facturación consolidada AWS, integración IAM/S3.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Amazon Bedrock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Mistral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Large, Mistral Small, Codestral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Large: 8 USD / 1M tokens, Small: 2 USD / 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europea, soporte self-host vía</w:t>
            </w:r>
            <w:r>
              <w:t xml:space="preserve"> </w:t>
            </w:r>
            <w:r>
              <w:rPr>
                <w:rStyle w:val="VerbatimChar"/>
              </w:rPr>
              <w:t xml:space="preserve">mistral-inference</w:t>
            </w:r>
            <w:r>
              <w:t xml:space="preserve">.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Mistral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Together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Mixtral, Llama Guard, Qwen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Ej.</w:t>
            </w:r>
            <w:r>
              <w:t xml:space="preserve"> </w:t>
            </w:r>
            <w:r>
              <w:rPr>
                <w:rStyle w:val="VerbatimChar"/>
              </w:rPr>
              <w:t xml:space="preserve">mixtral-8x7b</w:t>
            </w:r>
            <w:r>
              <w:t xml:space="preserve"> </w:t>
            </w:r>
            <w:r>
              <w:t xml:space="preserve">0,60 USD / 1M tokens entrada, 0,60 USD salida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Ofrece inferencia multi-cloud + finetuning.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Together AI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R+, Embed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R+: 3 USD / 1M tokens entrada, 15 USD salida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Orientado a enterprise y seguridad datos.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Cohere</w:t>
              </w:r>
            </w:hyperlink>
          </w:p>
        </w:tc>
      </w:tr>
    </w:tbl>
    <w:p>
      <w:pPr>
        <w:pStyle w:val="BodyText"/>
      </w:pPr>
      <w:r>
        <w:rPr>
          <w:bCs/>
          <w:b/>
        </w:rPr>
        <w:t xml:space="preserve">Observaciones:</w:t>
      </w:r>
      <w:r>
        <w:t xml:space="preserve"> </w:t>
      </w:r>
      <w:r>
        <w:t xml:space="preserve">- Precios convergen en rangos 3–8 USD / 1M tokens entrada para modelos avanzados → refuerza propuesta de ahorro CodeflowX al optimizar uso (routing, fallback, caching) desde</w:t>
      </w:r>
      <w:r>
        <w:t xml:space="preserve"> </w:t>
      </w:r>
      <w:r>
        <w:rPr>
          <w:rStyle w:val="VerbatimChar"/>
        </w:rPr>
        <w:t xml:space="preserve">leka-llm-interpreter</w:t>
      </w:r>
      <w:r>
        <w:t xml:space="preserve">.</w:t>
      </w:r>
      <w:r>
        <w:t xml:space="preserve"> </w:t>
      </w:r>
      <w:r>
        <w:t xml:space="preserve">- Muchos proveedores ofrecen integración con AWS/Azure/GCP → es crítico mantener conectores listos (PROMPTS_11).</w:t>
      </w:r>
    </w:p>
    <w:p>
      <w:r>
        <w:pict>
          <v:rect style="width:0;height:1.5pt" o:hralign="center" o:hrstd="t" o:hr="t"/>
        </w:pict>
      </w:r>
    </w:p>
    <w:bookmarkEnd w:id="44"/>
    <w:bookmarkStart w:id="45" w:name="implicaciones-para-codeflowx"/>
    <w:p>
      <w:pPr>
        <w:pStyle w:val="Heading2"/>
      </w:pPr>
      <w:r>
        <w:t xml:space="preserve">5. Implicaciones para CodeflowX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Diferenciación:</w:t>
      </w:r>
      <w:r>
        <w:t xml:space="preserve"> </w:t>
      </w:r>
      <w:r>
        <w:t xml:space="preserve">Somos de los pocos con pricing transparente y foco en compliance EU AI Act + infraestructura propia. Usar comparativa en pitches enterprise.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Upsell:</w:t>
      </w:r>
      <w:r>
        <w:t xml:space="preserve"> </w:t>
      </w:r>
      <w:r>
        <w:t xml:space="preserve">Clientes de plataformas no-code (~99 USD/mes) representan pipeline ideal para migrar a Gobierno 699 €/mes cuando gestionan múltiples agentes.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Alianzas:</w:t>
      </w:r>
      <w:r>
        <w:t xml:space="preserve"> </w:t>
      </w:r>
      <w:r>
        <w:t xml:space="preserve">Mantener conectores nativos con OpenAI, Anthropic, Gemini, Mistral y Together AI acelera integraciones (continuar PROMPTS_11/12).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Mensaje comercial:</w:t>
      </w:r>
      <w:r>
        <w:t xml:space="preserve"> </w:t>
      </w:r>
      <w:r>
        <w:t xml:space="preserve">“</w:t>
      </w:r>
      <w:r>
        <w:t xml:space="preserve">CodeflowX = capa de gobierno + monitoreo sobre cualquiera de estas herramientas (no-code, inferencia).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5"/>
    <w:bookmarkStart w:id="46" w:name="fuentes"/>
    <w:p>
      <w:pPr>
        <w:pStyle w:val="Heading2"/>
      </w:pPr>
      <w:r>
        <w:t xml:space="preserve">📚 Fuentes</w:t>
      </w:r>
    </w:p>
    <w:p>
      <w:pPr>
        <w:numPr>
          <w:ilvl w:val="0"/>
          <w:numId w:val="1002"/>
        </w:numPr>
        <w:pStyle w:val="Compact"/>
      </w:pPr>
      <w:r>
        <w:t xml:space="preserve">CodeflowX: https://codeflowx.com/precios/</w:t>
      </w:r>
    </w:p>
    <w:p>
      <w:pPr>
        <w:numPr>
          <w:ilvl w:val="0"/>
          <w:numId w:val="1002"/>
        </w:numPr>
        <w:pStyle w:val="Compact"/>
      </w:pPr>
      <w:r>
        <w:t xml:space="preserve">Credo AI: https://www.credo.ai/platform</w:t>
      </w:r>
    </w:p>
    <w:p>
      <w:pPr>
        <w:numPr>
          <w:ilvl w:val="0"/>
          <w:numId w:val="1002"/>
        </w:numPr>
        <w:pStyle w:val="Compact"/>
      </w:pPr>
      <w:r>
        <w:t xml:space="preserve">Holistic AI: https://www.holisticai.com/platform</w:t>
      </w:r>
    </w:p>
    <w:p>
      <w:pPr>
        <w:numPr>
          <w:ilvl w:val="0"/>
          <w:numId w:val="1002"/>
        </w:numPr>
        <w:pStyle w:val="Compact"/>
      </w:pPr>
      <w:r>
        <w:t xml:space="preserve">Fiddler AI: https://www.fiddler.ai/product</w:t>
      </w:r>
    </w:p>
    <w:p>
      <w:pPr>
        <w:numPr>
          <w:ilvl w:val="0"/>
          <w:numId w:val="1002"/>
        </w:numPr>
        <w:pStyle w:val="Compact"/>
      </w:pPr>
      <w:r>
        <w:t xml:space="preserve">Arthur AI: https://www.arthur.ai/platform</w:t>
      </w:r>
    </w:p>
    <w:p>
      <w:pPr>
        <w:numPr>
          <w:ilvl w:val="0"/>
          <w:numId w:val="1002"/>
        </w:numPr>
        <w:pStyle w:val="Compact"/>
      </w:pPr>
      <w:r>
        <w:t xml:space="preserve">Lakera Guard: https://www.lakera.ai/guard</w:t>
      </w:r>
    </w:p>
    <w:p>
      <w:pPr>
        <w:numPr>
          <w:ilvl w:val="0"/>
          <w:numId w:val="1002"/>
        </w:numPr>
        <w:pStyle w:val="Compact"/>
      </w:pPr>
      <w:r>
        <w:t xml:space="preserve">Weights &amp; Biases: https://wandb.ai/site/pricing</w:t>
      </w:r>
    </w:p>
    <w:p>
      <w:pPr>
        <w:numPr>
          <w:ilvl w:val="0"/>
          <w:numId w:val="1002"/>
        </w:numPr>
        <w:pStyle w:val="Compact"/>
      </w:pPr>
      <w:r>
        <w:t xml:space="preserve">Botpress: https://botpress.com/pricing</w:t>
      </w:r>
    </w:p>
    <w:p>
      <w:pPr>
        <w:numPr>
          <w:ilvl w:val="0"/>
          <w:numId w:val="1002"/>
        </w:numPr>
        <w:pStyle w:val="Compact"/>
      </w:pPr>
      <w:r>
        <w:t xml:space="preserve">Voiceflow: https://www.voiceflow.com/pricing</w:t>
      </w:r>
    </w:p>
    <w:p>
      <w:pPr>
        <w:numPr>
          <w:ilvl w:val="0"/>
          <w:numId w:val="1002"/>
        </w:numPr>
        <w:pStyle w:val="Compact"/>
      </w:pPr>
      <w:r>
        <w:t xml:space="preserve">Landbot: https://landbot.io/pricing</w:t>
      </w:r>
    </w:p>
    <w:p>
      <w:pPr>
        <w:numPr>
          <w:ilvl w:val="0"/>
          <w:numId w:val="1002"/>
        </w:numPr>
        <w:pStyle w:val="Compact"/>
      </w:pPr>
      <w:r>
        <w:t xml:space="preserve">Manychat: https://manychat.com/pricing</w:t>
      </w:r>
    </w:p>
    <w:p>
      <w:pPr>
        <w:numPr>
          <w:ilvl w:val="0"/>
          <w:numId w:val="1002"/>
        </w:numPr>
        <w:pStyle w:val="Compact"/>
      </w:pPr>
      <w:r>
        <w:t xml:space="preserve">Stack AI: https://www.stack-ai.com/pricing</w:t>
      </w:r>
    </w:p>
    <w:p>
      <w:pPr>
        <w:numPr>
          <w:ilvl w:val="0"/>
          <w:numId w:val="1002"/>
        </w:numPr>
        <w:pStyle w:val="Compact"/>
      </w:pPr>
      <w:r>
        <w:t xml:space="preserve">Flowise Cloud: https://flowiseai.com/pricing</w:t>
      </w:r>
    </w:p>
    <w:p>
      <w:pPr>
        <w:numPr>
          <w:ilvl w:val="0"/>
          <w:numId w:val="1002"/>
        </w:numPr>
        <w:pStyle w:val="Compact"/>
      </w:pPr>
      <w:r>
        <w:t xml:space="preserve">OpenAI API Pricing: https://openai.com/api/pricing/</w:t>
      </w:r>
    </w:p>
    <w:p>
      <w:pPr>
        <w:numPr>
          <w:ilvl w:val="0"/>
          <w:numId w:val="1002"/>
        </w:numPr>
        <w:pStyle w:val="Compact"/>
      </w:pPr>
      <w:r>
        <w:t xml:space="preserve">Anthropic Pricing: https://www.anthropic.com/pricing</w:t>
      </w:r>
    </w:p>
    <w:p>
      <w:pPr>
        <w:numPr>
          <w:ilvl w:val="0"/>
          <w:numId w:val="1002"/>
        </w:numPr>
        <w:pStyle w:val="Compact"/>
      </w:pPr>
      <w:r>
        <w:t xml:space="preserve">Google Vertex AI Pricing: https://cloud.google.com/vertex-ai/pricing</w:t>
      </w:r>
    </w:p>
    <w:p>
      <w:pPr>
        <w:numPr>
          <w:ilvl w:val="0"/>
          <w:numId w:val="1002"/>
        </w:numPr>
        <w:pStyle w:val="Compact"/>
      </w:pPr>
      <w:r>
        <w:t xml:space="preserve">Amazon Bedrock Pricing: https://aws.amazon.com/bedrock/pricing/</w:t>
      </w:r>
    </w:p>
    <w:p>
      <w:pPr>
        <w:numPr>
          <w:ilvl w:val="0"/>
          <w:numId w:val="1002"/>
        </w:numPr>
        <w:pStyle w:val="Compact"/>
      </w:pPr>
      <w:r>
        <w:t xml:space="preserve">Mistral AI Pricing: https://mistral.ai/pricing/</w:t>
      </w:r>
    </w:p>
    <w:p>
      <w:pPr>
        <w:numPr>
          <w:ilvl w:val="0"/>
          <w:numId w:val="1002"/>
        </w:numPr>
        <w:pStyle w:val="Compact"/>
      </w:pPr>
      <w:r>
        <w:t xml:space="preserve">Together AI Pricing: https://www.together.ai/pricing</w:t>
      </w:r>
    </w:p>
    <w:p>
      <w:pPr>
        <w:numPr>
          <w:ilvl w:val="0"/>
          <w:numId w:val="1002"/>
        </w:numPr>
        <w:pStyle w:val="Compact"/>
      </w:pPr>
      <w:r>
        <w:t xml:space="preserve">Cohere Pricing: https://cohere.com/pricing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aws.amazon.com/bedrock/pricing/" TargetMode="External" /><Relationship Type="http://schemas.openxmlformats.org/officeDocument/2006/relationships/hyperlink" Id="rId30" Target="https://botpress.com/pricing" TargetMode="External" /><Relationship Type="http://schemas.openxmlformats.org/officeDocument/2006/relationships/hyperlink" Id="rId39" Target="https://cloud.google.com/vertex-ai/pricing" TargetMode="External" /><Relationship Type="http://schemas.openxmlformats.org/officeDocument/2006/relationships/hyperlink" Id="rId21" Target="https://codeflowx.com/precios/" TargetMode="External" /><Relationship Type="http://schemas.openxmlformats.org/officeDocument/2006/relationships/hyperlink" Id="rId43" Target="https://cohere.com/pricing" TargetMode="External" /><Relationship Type="http://schemas.openxmlformats.org/officeDocument/2006/relationships/hyperlink" Id="rId35" Target="https://flowiseai.com/pricing" TargetMode="External" /><Relationship Type="http://schemas.openxmlformats.org/officeDocument/2006/relationships/hyperlink" Id="rId32" Target="https://landbot.io/pricing" TargetMode="External" /><Relationship Type="http://schemas.openxmlformats.org/officeDocument/2006/relationships/hyperlink" Id="rId33" Target="https://manychat.com/pricing" TargetMode="External" /><Relationship Type="http://schemas.openxmlformats.org/officeDocument/2006/relationships/hyperlink" Id="rId41" Target="https://mistral.ai/pricing/" TargetMode="External" /><Relationship Type="http://schemas.openxmlformats.org/officeDocument/2006/relationships/hyperlink" Id="rId37" Target="https://openai.com/api/pricing/" TargetMode="External" /><Relationship Type="http://schemas.openxmlformats.org/officeDocument/2006/relationships/hyperlink" Id="rId27" Target="https://wandb.ai/site/pricing" TargetMode="External" /><Relationship Type="http://schemas.openxmlformats.org/officeDocument/2006/relationships/hyperlink" Id="rId38" Target="https://www.anthropic.com/pricing" TargetMode="External" /><Relationship Type="http://schemas.openxmlformats.org/officeDocument/2006/relationships/hyperlink" Id="rId25" Target="https://www.arthur.ai/platform" TargetMode="External" /><Relationship Type="http://schemas.openxmlformats.org/officeDocument/2006/relationships/hyperlink" Id="rId22" Target="https://www.credo.ai/platform" TargetMode="External" /><Relationship Type="http://schemas.openxmlformats.org/officeDocument/2006/relationships/hyperlink" Id="rId24" Target="https://www.fiddler.ai/product" TargetMode="External" /><Relationship Type="http://schemas.openxmlformats.org/officeDocument/2006/relationships/hyperlink" Id="rId23" Target="https://www.holisticai.com/platform" TargetMode="External" /><Relationship Type="http://schemas.openxmlformats.org/officeDocument/2006/relationships/hyperlink" Id="rId26" Target="https://www.lakera.ai/guard" TargetMode="External" /><Relationship Type="http://schemas.openxmlformats.org/officeDocument/2006/relationships/hyperlink" Id="rId34" Target="https://www.stack-ai.com/pricing" TargetMode="External" /><Relationship Type="http://schemas.openxmlformats.org/officeDocument/2006/relationships/hyperlink" Id="rId42" Target="https://www.together.ai/pricing" TargetMode="External" /><Relationship Type="http://schemas.openxmlformats.org/officeDocument/2006/relationships/hyperlink" Id="rId31" Target="https://www.voiceflow.com/pric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aws.amazon.com/bedrock/pricing/" TargetMode="External" /><Relationship Type="http://schemas.openxmlformats.org/officeDocument/2006/relationships/hyperlink" Id="rId30" Target="https://botpress.com/pricing" TargetMode="External" /><Relationship Type="http://schemas.openxmlformats.org/officeDocument/2006/relationships/hyperlink" Id="rId39" Target="https://cloud.google.com/vertex-ai/pricing" TargetMode="External" /><Relationship Type="http://schemas.openxmlformats.org/officeDocument/2006/relationships/hyperlink" Id="rId21" Target="https://codeflowx.com/precios/" TargetMode="External" /><Relationship Type="http://schemas.openxmlformats.org/officeDocument/2006/relationships/hyperlink" Id="rId43" Target="https://cohere.com/pricing" TargetMode="External" /><Relationship Type="http://schemas.openxmlformats.org/officeDocument/2006/relationships/hyperlink" Id="rId35" Target="https://flowiseai.com/pricing" TargetMode="External" /><Relationship Type="http://schemas.openxmlformats.org/officeDocument/2006/relationships/hyperlink" Id="rId32" Target="https://landbot.io/pricing" TargetMode="External" /><Relationship Type="http://schemas.openxmlformats.org/officeDocument/2006/relationships/hyperlink" Id="rId33" Target="https://manychat.com/pricing" TargetMode="External" /><Relationship Type="http://schemas.openxmlformats.org/officeDocument/2006/relationships/hyperlink" Id="rId41" Target="https://mistral.ai/pricing/" TargetMode="External" /><Relationship Type="http://schemas.openxmlformats.org/officeDocument/2006/relationships/hyperlink" Id="rId37" Target="https://openai.com/api/pricing/" TargetMode="External" /><Relationship Type="http://schemas.openxmlformats.org/officeDocument/2006/relationships/hyperlink" Id="rId27" Target="https://wandb.ai/site/pricing" TargetMode="External" /><Relationship Type="http://schemas.openxmlformats.org/officeDocument/2006/relationships/hyperlink" Id="rId38" Target="https://www.anthropic.com/pricing" TargetMode="External" /><Relationship Type="http://schemas.openxmlformats.org/officeDocument/2006/relationships/hyperlink" Id="rId25" Target="https://www.arthur.ai/platform" TargetMode="External" /><Relationship Type="http://schemas.openxmlformats.org/officeDocument/2006/relationships/hyperlink" Id="rId22" Target="https://www.credo.ai/platform" TargetMode="External" /><Relationship Type="http://schemas.openxmlformats.org/officeDocument/2006/relationships/hyperlink" Id="rId24" Target="https://www.fiddler.ai/product" TargetMode="External" /><Relationship Type="http://schemas.openxmlformats.org/officeDocument/2006/relationships/hyperlink" Id="rId23" Target="https://www.holisticai.com/platform" TargetMode="External" /><Relationship Type="http://schemas.openxmlformats.org/officeDocument/2006/relationships/hyperlink" Id="rId26" Target="https://www.lakera.ai/guard" TargetMode="External" /><Relationship Type="http://schemas.openxmlformats.org/officeDocument/2006/relationships/hyperlink" Id="rId34" Target="https://www.stack-ai.com/pricing" TargetMode="External" /><Relationship Type="http://schemas.openxmlformats.org/officeDocument/2006/relationships/hyperlink" Id="rId42" Target="https://www.together.ai/pricing" TargetMode="External" /><Relationship Type="http://schemas.openxmlformats.org/officeDocument/2006/relationships/hyperlink" Id="rId31" Target="https://www.voiceflow.com/pric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2025-11-07T08:52:42Z</dcterms:created>
  <dcterms:modified xsi:type="dcterms:W3CDTF">2025-11-07T08:52:42Z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