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107b5427331a445e727da375edd1ccb439f92a4"/>
    <w:p>
      <w:pPr>
        <w:pStyle w:val="Heading1"/>
      </w:pPr>
      <w:r>
        <w:t xml:space="preserve">COMPARATIVA PRECIOS COMPETENCIA IA – NOVIEMBRE 2025</w:t>
      </w:r>
    </w:p>
    <w:bookmarkStart w:id="20" w:name="contexto-españa-europa"/>
    <w:p>
      <w:pPr>
        <w:pStyle w:val="Heading2"/>
      </w:pPr>
      <w:r>
        <w:t xml:space="preserve">Contexto España / Europa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Justificar internamente la actualización de tarifas CodeflowX frente a precios de mercado de soluciones parciales (inferencia, agentes, consultoría) y suites de IA.</w:t>
      </w:r>
    </w:p>
    <w:p>
      <w:pPr>
        <w:pStyle w:val="BodyText"/>
      </w:pPr>
      <w:r>
        <w:rPr>
          <w:bCs/>
          <w:b/>
        </w:rPr>
        <w:t xml:space="preserve">Fecha:</w:t>
      </w:r>
      <w:r>
        <w:t xml:space="preserve"> </w:t>
      </w:r>
      <w:r>
        <w:t xml:space="preserve">Noviembre 2025</w:t>
      </w:r>
      <w:r>
        <w:br/>
      </w:r>
      <w:r>
        <w:rPr>
          <w:bCs/>
          <w:b/>
        </w:rPr>
        <w:t xml:space="preserve">Fuentes:</w:t>
      </w:r>
      <w:r>
        <w:t xml:space="preserve"> </w:t>
      </w:r>
      <w:r>
        <w:t xml:space="preserve">Cloudiax, AI Works, Vidiv, Crata AI, MakeIA Solutions, IDC/BCG, Kit Digital, etc. Enlaces al final.</w:t>
      </w:r>
    </w:p>
    <w:p>
      <w:r>
        <w:pict>
          <v:rect style="width:0;height:1.5pt" o:hralign="center" o:hrstd="t" o:hr="t"/>
        </w:pict>
      </w:r>
    </w:p>
    <w:bookmarkEnd w:id="20"/>
    <w:bookmarkStart w:id="26" w:name="referencias-públicas-precios-mensuales"/>
    <w:p>
      <w:pPr>
        <w:pStyle w:val="Heading2"/>
      </w:pPr>
      <w:r>
        <w:t xml:space="preserve">1. Referencias públicas precios (mensuales)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18"/>
        <w:gridCol w:w="2284"/>
        <w:gridCol w:w="1980"/>
        <w:gridCol w:w="24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Oferta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solución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incluye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público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Cloudiax – Llama 3.1 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Inferencia LLM gestionada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Hosting modelo único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999 €/mes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Cloudiax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Cloudiax – Llama 3.3 70B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Inferencia LLM gestionada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Hosting modelo grande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3.499 €/mes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Cloudiax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Works – Plan Profesional GPT-4o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 LLM + tokens +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 tokens/mes + soporte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1.475 </w:t>
            </w:r>
            <m:oMath>
              <m:r>
                <m:rPr>
                  <m:sty m:val="p"/>
                </m:rPr>
                <m:t>/</m:t>
              </m:r>
              <m:r>
                <m:t>m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 </m:t>
                  </m:r>
                  <m:r>
                    <m:t>1.380</m:t>
                  </m:r>
                  <m:r>
                    <m:rPr>
                      <m:sty m:val="p"/>
                    </m:rPr>
                    <m:t>€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  <m:r>
                    <m:t>e</m:t>
                  </m:r>
                  <m:r>
                    <m:t>s</m:t>
                  </m:r>
                </m:e>
              </m:d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I</m:t>
                  </m:r>
                  <m:r>
                    <m:t>W</m:t>
                  </m:r>
                  <m:r>
                    <m:t>o</m:t>
                  </m:r>
                  <m:r>
                    <m:t>r</m:t>
                  </m:r>
                  <m:r>
                    <m:t>k</m:t>
                  </m:r>
                  <m:r>
                    <m:t>s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t>t</m:t>
                  </m:r>
                  <m:r>
                    <m:t>p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/</m:t>
                  </m:r>
                  <m:r>
                    <m:t>a</m:t>
                  </m:r>
                  <m:r>
                    <m:t>i</m:t>
                  </m:r>
                  <m:r>
                    <m:t>w</m:t>
                  </m:r>
                  <m:r>
                    <m:t>o</m:t>
                  </m:r>
                  <m:r>
                    <m:t>r</m:t>
                  </m:r>
                  <m:r>
                    <m:t>k</m:t>
                  </m:r>
                  <m:r>
                    <m:t>s</m:t>
                  </m:r>
                  <m:r>
                    <m:rPr>
                      <m:sty m:val="p"/>
                    </m:rPr>
                    <m:t>.</m:t>
                  </m:r>
                  <m:r>
                    <m:t>e</m:t>
                  </m:r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s</m:t>
                  </m:r>
                  <m:r>
                    <m:t>o</m:t>
                  </m:r>
                  <m:r>
                    <m:t>l</m:t>
                  </m:r>
                  <m:r>
                    <m:t>u</m:t>
                  </m:r>
                  <m:r>
                    <m:t>c</m:t>
                  </m:r>
                  <m:r>
                    <m:t>i</m:t>
                  </m:r>
                  <m:r>
                    <m:t>o</m:t>
                  </m:r>
                  <m:r>
                    <m:t>n</m:t>
                  </m:r>
                  <m:r>
                    <m:t>e</m:t>
                  </m:r>
                  <m:r>
                    <m:t>s</m:t>
                  </m:r>
                  <m:r>
                    <m:rPr>
                      <m:sty m:val="p"/>
                    </m:rPr>
                    <m:t>.</m:t>
                  </m:r>
                  <m:r>
                    <m:t>h</m:t>
                  </m:r>
                  <m:r>
                    <m:t>t</m:t>
                  </m:r>
                  <m:r>
                    <m:t>m</m:t>
                  </m:r>
                  <m:r>
                    <m:t>l</m:t>
                  </m:r>
                </m:e>
              </m:d>
              <m:d>
                <m:dPr>
                  <m:begChr m:val="|"/>
                  <m:endChr m:val="|"/>
                  <m:sepChr m:val=""/>
                  <m:grow/>
                </m:dPr>
                <m:e/>
              </m:d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t>A</m:t>
              </m:r>
              <m:r>
                <m:t>I</m:t>
              </m:r>
              <m:r>
                <m:t>W</m:t>
              </m:r>
              <m:r>
                <m:t>o</m:t>
              </m:r>
              <m:r>
                <m:t>r</m:t>
              </m:r>
              <m:r>
                <m:t>k</m:t>
              </m:r>
              <m:r>
                <m:t>s</m:t>
              </m:r>
              <m:r>
                <m:rPr>
                  <m:sty m:val="p"/>
                </m:rPr>
                <m:t>–</m:t>
              </m:r>
              <m:r>
                <m:t>P</m:t>
              </m:r>
              <m:r>
                <m:t>l</m:t>
              </m:r>
              <m:r>
                <m:t>a</m:t>
              </m:r>
              <m:r>
                <m:t>n</m:t>
              </m:r>
              <m:r>
                <m:t>C</m:t>
              </m:r>
              <m:r>
                <m:t>r</m:t>
              </m:r>
              <m:r>
                <m:t>e</m:t>
              </m:r>
              <m:r>
                <m:t>c</m:t>
              </m:r>
              <m:r>
                <m:t>i</m:t>
              </m:r>
              <m:r>
                <m:t>m</m:t>
              </m:r>
              <m:r>
                <m:t>i</m:t>
              </m:r>
              <m:r>
                <m:t>e</m:t>
              </m:r>
              <m:r>
                <m:t>n</m:t>
              </m:r>
              <m:r>
                <m:t>t</m:t>
              </m:r>
              <m:r>
                <m:t>o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A</m:t>
                  </m:r>
                  <m:r>
                    <m:t>c</m:t>
                  </m:r>
                  <m:r>
                    <m:t>c</m:t>
                  </m:r>
                  <m:r>
                    <m:t>e</m:t>
                  </m:r>
                  <m:r>
                    <m:t>s</m:t>
                  </m:r>
                  <m:r>
                    <m:t>o</m:t>
                  </m:r>
                  <m:r>
                    <m:t>L</m:t>
                  </m:r>
                  <m:r>
                    <m:t>L</m:t>
                  </m:r>
                  <m:r>
                    <m:t>M</m:t>
                  </m:r>
                </m:e>
              </m:d>
              <m:r>
                <m:t>15</m:t>
              </m:r>
              <m:r>
                <m:t>M</m:t>
              </m:r>
              <m:r>
                <m:t>t</m:t>
              </m:r>
              <m:r>
                <m:t>o</m:t>
              </m:r>
              <m:r>
                <m:t>k</m:t>
              </m:r>
              <m:r>
                <m:t>e</m:t>
              </m:r>
              <m:r>
                <m:t>n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t>975</m:t>
              </m:r>
            </m:oMath>
            <w:r>
              <w:rPr>
                <w:bCs/>
                <w:b/>
              </w:rPr>
              <w:t xml:space="preserve">/mes</w:t>
            </w:r>
            <w:r>
              <w:t xml:space="preserve"> </w:t>
            </w:r>
            <w:r>
              <w:t xml:space="preserve">(~910 €/mes)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Vidiv – Agente voz avanzado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Agente IA voz multilenguaje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Instalación 1.5k–5k € + NLU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500–1.500 €/mes</w:t>
            </w:r>
            <w:r>
              <w:t xml:space="preserve"> </w:t>
            </w:r>
            <w:r>
              <w:t xml:space="preserve">+ consumo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Vidiv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Señor IA – Solución IA empresa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Suite IA corporativa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230 €/mes + 36 €/usuario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Ejemplo: empresa 10 usuarios →</w:t>
            </w:r>
            <w:r>
              <w:t xml:space="preserve"> </w:t>
            </w:r>
            <w:r>
              <w:rPr>
                <w:bCs/>
                <w:b/>
              </w:rPr>
              <w:t xml:space="preserve">590 €/mes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Señor IA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Consultoría IA (MakeIA)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Servicios consultoría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150 €/hora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Proyecto medio 80 h →</w:t>
            </w:r>
            <w:r>
              <w:t xml:space="preserve"> </w:t>
            </w:r>
            <w:r>
              <w:rPr>
                <w:bCs/>
                <w:b/>
              </w:rPr>
              <w:t xml:space="preserve">12.000 €</w:t>
            </w:r>
            <w:r>
              <w:t xml:space="preserve"> </w:t>
            </w:r>
            <w:r>
              <w:t xml:space="preserve">(one-shot)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MakeIA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Crata AI – Quickstarter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Programa adopción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Estrategia + roadmap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5.900 €</w:t>
            </w:r>
            <w:r>
              <w:t xml:space="preserve"> </w:t>
            </w:r>
            <w:r>
              <w:t xml:space="preserve">(one-shot)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Crata AI</w:t>
              </w:r>
            </w:hyperlink>
          </w:p>
        </w:tc>
      </w:tr>
    </w:tbl>
    <w:p>
      <w:pPr>
        <w:pStyle w:val="BodyText"/>
      </w:pPr>
      <w:r>
        <w:rPr>
          <w:bCs/>
          <w:b/>
        </w:rPr>
        <w:t xml:space="preserve">Observaciones:</w:t>
      </w:r>
      <w:r>
        <w:t xml:space="preserve"> </w:t>
      </w:r>
      <w:r>
        <w:t xml:space="preserve">- Estos precios cubren</w:t>
      </w:r>
      <w:r>
        <w:t xml:space="preserve"> </w:t>
      </w:r>
      <w:r>
        <w:rPr>
          <w:bCs/>
          <w:b/>
        </w:rPr>
        <w:t xml:space="preserve">solo un componente</w:t>
      </w:r>
      <w:r>
        <w:t xml:space="preserve"> </w:t>
      </w:r>
      <w:r>
        <w:t xml:space="preserve">(inferencia, tokens, agente voz, consultoría inicial). No incluyen compliance EU AI Act ni gobierno completo.</w:t>
      </w:r>
      <w:r>
        <w:t xml:space="preserve"> </w:t>
      </w:r>
      <w:r>
        <w:t xml:space="preserve">- Clientes ya pagan &gt;1.000 €/mes por hosting de un modelo o por acceso mensual a GPT-4o.</w:t>
      </w:r>
      <w:r>
        <w:t xml:space="preserve"> </w:t>
      </w:r>
      <w:r>
        <w:t xml:space="preserve">- Agentes específicos (voz) están en 500–1.500 €/mes sin compliance ni governance.</w:t>
      </w:r>
    </w:p>
    <w:p>
      <w:r>
        <w:pict>
          <v:rect style="width:0;height:1.5pt" o:hralign="center" o:hrstd="t" o:hr="t"/>
        </w:pict>
      </w:r>
    </w:p>
    <w:bookmarkEnd w:id="26"/>
    <w:bookmarkStart w:id="27" w:name="Xd565561ac50f938df47a6b15baade946fe584b7"/>
    <w:p>
      <w:pPr>
        <w:pStyle w:val="Heading2"/>
      </w:pPr>
      <w:r>
        <w:t xml:space="preserve">2. Benchmark corporativo / on-prem (competidores enterprise)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00"/>
        <w:gridCol w:w="1536"/>
        <w:gridCol w:w="3546"/>
        <w:gridCol w:w="15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Proveedor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oferta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 público/referenciado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Comentarios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IBM watsonx.governance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Licencia enterprise + servicios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Packs desde ~180 k€/año (50k predicciones) + servicios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Requiere stack IBM/OpenShift; despliegue 6-9 meses; fuerte lock-in.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Microsoft Azure AI Studio + Responsible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Add-ons cloud + consumo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Pago por uso Azure + paquetes enterprise (NDA)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clientes Azure; gobierno ligado a Purview/Synapse; sin controles RAG externos.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DataRobot AI Trust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 MLOps +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Contratos Enterprise &gt;150 k€/año (NDA)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Gobierno ligado al stack DataRobot; alto coste de consultoría.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SAS Viya AI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Licencia perpetua + mantenimiento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Licencias desde 120 k€ + 20% soporte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Foco banca/sector público; adopción lenta, heavy consulting.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Palantir AIP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 integral IA/gobierno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Acuerdos multi-anuales &gt;1 M€/año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extremo pero coste prohibitivo y dependencia Palantir.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Insight:</w:t>
      </w:r>
      <w:r>
        <w:t xml:space="preserve"> </w:t>
      </w:r>
      <w:r>
        <w:t xml:space="preserve">CodeflowX (24–48 k€/año self-host) entrega cumplimiento EU AI Act completo con despliegues 4-6x más rápidos y coste 4-10x inferior.</w:t>
      </w:r>
    </w:p>
    <w:p>
      <w:r>
        <w:pict>
          <v:rect style="width:0;height:1.5pt" o:hralign="center" o:hrstd="t" o:hr="t"/>
        </w:pict>
      </w:r>
    </w:p>
    <w:bookmarkEnd w:id="27"/>
    <w:bookmarkStart w:id="28" w:name="benchmark-sector-público-españa-ue"/>
    <w:p>
      <w:pPr>
        <w:pStyle w:val="Heading2"/>
      </w:pPr>
      <w:r>
        <w:t xml:space="preserve">3. Benchmark sector público (España / UE)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08"/>
        <w:gridCol w:w="1242"/>
        <w:gridCol w:w="2950"/>
        <w:gridCol w:w="20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Proveedor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Oferta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Estimación precio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Comentarios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Indra Minsait Trust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 gobierno IA sector público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Proyectos 200–400 k€ (implantación + licencia)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Enfoque llave en mano; despliegue ≥9 meses; fuerte componente servicios.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Atos Eviden AI Ethics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 governance + consultoría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Contratos 150–300 k€/año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Dependencia servicios profesionales; sin SaaS modular.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Accenture AI Compliance Factory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Servicios compliance + plataforma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 k€ setup + 15 k€/mes operación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Metodología + servicios; coste recurrente elevado.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Palantir AIP (sector público)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Gobierno + data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 M€/año (defensa/seguridad)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grandes administraciones; alto lock-in.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Microsoft AI Governance sector público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+ soluciones 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Consumo Azure + consultoría 100–250 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Requiere migrar a Azure; sin controles EU AI Act específicos.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Insight:</w:t>
      </w:r>
      <w:r>
        <w:t xml:space="preserve"> </w:t>
      </w:r>
      <w:r>
        <w:t xml:space="preserve">Nuestra gama Public (12–60 k€/año) se sitúa por debajo de los umbrales de licitación simplificada (&lt;200 k€) y permite PoC en &lt;6 semanas.</w:t>
      </w:r>
    </w:p>
    <w:p>
      <w:r>
        <w:pict>
          <v:rect style="width:0;height:1.5pt" o:hralign="center" o:hrstd="t" o:hr="t"/>
        </w:pict>
      </w:r>
    </w:p>
    <w:bookmarkEnd w:id="28"/>
    <w:bookmarkStart w:id="29" w:name="X09f50d0b74ba7066a3814db318a5c03827a9668"/>
    <w:p>
      <w:pPr>
        <w:pStyle w:val="Heading2"/>
      </w:pPr>
      <w:r>
        <w:t xml:space="preserve">4. Benchmark frente a CodeflowX (nueva tarifa)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99"/>
        <w:gridCol w:w="1021"/>
        <w:gridCol w:w="1405"/>
        <w:gridCol w:w="319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Oferta CodeflowX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Diferenciador vs mercado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Cloud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149 €/mes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Cumplimiento básico (Art. 50, documentación Anexo IV básica) para</w:t>
            </w:r>
            <w:r>
              <w:t xml:space="preserve"> </w:t>
            </w:r>
            <w:r>
              <w:rPr>
                <w:bCs/>
                <w:b/>
              </w:rPr>
              <w:t xml:space="preserve">1 proyecto</w:t>
            </w:r>
            <w:r>
              <w:t xml:space="preserve"> </w:t>
            </w:r>
            <w:r>
              <w:t xml:space="preserve">(hasta 2 chatbots + 2 agentes + 2 RAG)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Entry-level competitivo; similar a SaaS básicos pero añade compliance EU AI 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Cloud Governance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699 €/mes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Cumplimiento + gobierno + evaluación + monitorización para</w:t>
            </w:r>
            <w:r>
              <w:t xml:space="preserve"> </w:t>
            </w:r>
            <w:r>
              <w:rPr>
                <w:bCs/>
                <w:b/>
              </w:rPr>
              <w:t xml:space="preserve">3 proyectos</w:t>
            </w:r>
            <w:r>
              <w:t xml:space="preserve"> </w:t>
            </w:r>
            <w:r>
              <w:t xml:space="preserve">(hasta 6 chatbots + 6 agentes + 6 RAG en total)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comparable a hosting LLMs. Entrega suite completa vs soluciones parciales.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Cloud Enterprise (5 clientes)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1.199 €/mes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Multi-tenant marca blanca + suite completa para</w:t>
            </w:r>
            <w:r>
              <w:t xml:space="preserve"> </w:t>
            </w:r>
            <w:r>
              <w:rPr>
                <w:bCs/>
                <w:b/>
              </w:rPr>
              <w:t xml:space="preserve">5 proyectos</w:t>
            </w:r>
            <w:r>
              <w:t xml:space="preserve"> </w:t>
            </w:r>
            <w:r>
              <w:t xml:space="preserve">(uno por cliente externo; cada proyecto con 2/2/2 activos)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Menor que coste inferencia 70B (3.499 €/mes) o consultoría repetida. Justificado por valor multi-cliente.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Corporate Standard (self-host)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 k€/año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Suite completa on-prem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Alineado con licencias enterprise (&gt;=20 k€/año).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Corporate 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 k€/año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Suite completa HA + roadmap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Comparables a proyectos &gt;50 k€.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Public 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 k€/año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Suite completa cloud dedicado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Adecuado a presupuestos públicos (incluye FRIA, reporting).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Conclusión:</w:t>
      </w:r>
      <w:r>
        <w:t xml:space="preserve"> </w:t>
      </w:r>
      <w:r>
        <w:t xml:space="preserve">con la subida, nuestras tarifas se mantienen por debajo de servicios parciales pero reflejan el valor de entregar la plataforma integral (cumplimiento + gobierno + evaluación + monitorización), sin incurrir en la percepción de</w:t>
      </w:r>
      <w:r>
        <w:t xml:space="preserve"> </w:t>
      </w:r>
      <w:r>
        <w:t xml:space="preserve">“</w:t>
      </w:r>
      <w:r>
        <w:t xml:space="preserve">producto barato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0" w:name="roi-comparativo"/>
    <w:p>
      <w:pPr>
        <w:pStyle w:val="Heading2"/>
      </w:pPr>
      <w:r>
        <w:t xml:space="preserve">5. ROI comparativo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18"/>
        <w:gridCol w:w="2924"/>
        <w:gridCol w:w="852"/>
        <w:gridCol w:w="29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Competencia (ejemplos)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Equivalencia CodeflowX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Hosting LLM (Llama 70B)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3.499 €/mes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inferencia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Governance (699 €/mes) con 3 proyectos (p.ej. chatbot soporte + agente interno + RAG compliance) + cumplimiento + monitorización. Ahorro 80 % + más valor.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Acceso GPT-4o +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1.380 €/mes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uso modelo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Enterprise (1.199 €/mes) multi-tenant (5 proyectos/clients, cada uno con 2/2/2 activos) + compliance. Menos coste, más servicio.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Agente voz avanzado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500–1.500 €/mes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canal voz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Governance entrega múltiples canales + gobierno completo para 3 proyectos.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Consultoría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12.000 € proyecto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One-shot, sin plataforma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Governance 699 €/mes = 8.388 €/año; incluye herramienta viva y capacidad de hasta 3 proyectos simultáneos.</w:t>
            </w:r>
          </w:p>
        </w:tc>
      </w:tr>
    </w:tbl>
    <w:p>
      <w:pPr>
        <w:pStyle w:val="BodyText"/>
      </w:pPr>
      <w:r>
        <w:rPr>
          <w:bCs/>
          <w:b/>
        </w:rPr>
        <w:t xml:space="preserve">Mensaje comercial:</w:t>
      </w:r>
      <w:r>
        <w:t xml:space="preserve"> </w:t>
      </w:r>
      <w:r>
        <w:t xml:space="preserve">“</w:t>
      </w:r>
      <w:r>
        <w:t xml:space="preserve">Lo que pagas hoy solo por inferencia o consultoría, con CodeflowX obtienes gobernanza integral + cumplimiento EU AI Act + monitorización continua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4" w:name="programas-de-ayuda-contexto-gasto"/>
    <w:p>
      <w:pPr>
        <w:pStyle w:val="Heading2"/>
      </w:pPr>
      <w:r>
        <w:t xml:space="preserve">6. Programas de ayuda / contexto gasto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Kit Digital</w:t>
      </w:r>
      <w:r>
        <w:t xml:space="preserve"> </w:t>
      </w:r>
      <w:r>
        <w:t xml:space="preserve">(España) → ayudas 25.000–29.000 € para medianas empresas (Red.es).</w:t>
      </w:r>
      <w:r>
        <w:t xml:space="preserve"> </w:t>
      </w:r>
      <w:hyperlink r:id="rId31">
        <w:r>
          <w:rPr>
            <w:rStyle w:val="Hyperlink"/>
          </w:rPr>
          <w:t xml:space="preserve">Kit Digital</w:t>
        </w:r>
      </w:hyperlink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Gasto IA generativa en Europa</w:t>
      </w:r>
      <w:r>
        <w:t xml:space="preserve"> </w:t>
      </w:r>
      <w:r>
        <w:t xml:space="preserve">→ &gt;30.000 M€ en 2027 (IDC/BCG).</w:t>
      </w:r>
      <w:r>
        <w:t xml:space="preserve"> </w:t>
      </w:r>
      <w:hyperlink r:id="rId32">
        <w:r>
          <w:rPr>
            <w:rStyle w:val="Hyperlink"/>
          </w:rPr>
          <w:t xml:space="preserve">CIO</w:t>
        </w:r>
      </w:hyperlink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Proyectos IA en España</w:t>
      </w:r>
      <w:r>
        <w:t xml:space="preserve"> </w:t>
      </w:r>
      <w:r>
        <w:t xml:space="preserve">→ coste medio 8.000–25.000 € (q2bstudio).</w:t>
      </w:r>
      <w:r>
        <w:t xml:space="preserve"> </w:t>
      </w:r>
      <w:hyperlink r:id="rId33">
        <w:r>
          <w:rPr>
            <w:rStyle w:val="Hyperlink"/>
          </w:rPr>
          <w:t xml:space="preserve">Q2B Studio</w:t>
        </w:r>
      </w:hyperlink>
    </w:p>
    <w:p>
      <w:pPr>
        <w:pStyle w:val="FirstParagraph"/>
      </w:pPr>
      <w:r>
        <w:rPr>
          <w:bCs/>
          <w:b/>
        </w:rPr>
        <w:t xml:space="preserve">Traducción:</w:t>
      </w:r>
      <w:r>
        <w:t xml:space="preserve"> </w:t>
      </w:r>
      <w:r>
        <w:t xml:space="preserve">hay presupuesto asignado para IA. Nuestra tarifa ajustada aprovecha la disposición de pago y se situa dentro de rangos asumibles por ayudas públicas.</w:t>
      </w:r>
    </w:p>
    <w:p>
      <w:r>
        <w:pict>
          <v:rect style="width:0;height:1.5pt" o:hralign="center" o:hrstd="t" o:hr="t"/>
        </w:pict>
      </w:r>
    </w:p>
    <w:bookmarkEnd w:id="34"/>
    <w:bookmarkStart w:id="35" w:name="posicionamiento-recomendado"/>
    <w:p>
      <w:pPr>
        <w:pStyle w:val="Heading2"/>
      </w:pPr>
      <w:r>
        <w:t xml:space="preserve">7. Posicionamiento recomendado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02"/>
        <w:gridCol w:w="2005"/>
        <w:gridCol w:w="1604"/>
        <w:gridCol w:w="1804"/>
        <w:gridCol w:w="150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Segmento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Competencia típica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mercado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Tarifa CodeflowX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Mensaje clave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Microagencias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SaaS básicos (Señor IA, Vidiv)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300–800 €/mes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149 € (cumplimiento 1 proyecto) / 699 € (gobierno 3 proyectos)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Por el precio de un agente parcial, gobiernas 2 chatbots + 2 agentes + 2 RAG con compliance garantizado.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Mid-market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Hosting LLMs, consultoras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1.000–3.500 €/mes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699–1.199 €/mes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Menos coste que solo inferencia grande. Incluye gobierno 3-5 proyectos, monitorización y compliance EU AI Act.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Consultoras (proyectos &gt;50 k€)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12–150 k€/proyecto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24–48 k€/año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Coste anual competitivo vs proyectos puntuales. Plataforma viva + soporte.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Sector público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Suites específicas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15–80 k€/año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12–60 k€/año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Cumple ENS + EU AI Act en un único producto. Descuento early adopter.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recomendaciones-comerciales"/>
    <w:p>
      <w:pPr>
        <w:pStyle w:val="Heading2"/>
      </w:pPr>
      <w:r>
        <w:t xml:space="preserve">8. Recomendaciones comerciales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Justificar precio</w:t>
      </w:r>
      <w:r>
        <w:t xml:space="preserve"> </w:t>
      </w:r>
      <w:r>
        <w:t xml:space="preserve">con comparativa directa (tablas anteriores) en pitches.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Enfatizar ROI</w:t>
      </w:r>
      <w:r>
        <w:t xml:space="preserve">: compliance + gobierno evita proyectos de 12k€ cada vez + multas/escándalos.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Ofrecer bundles</w:t>
      </w:r>
      <w:r>
        <w:t xml:space="preserve"> </w:t>
      </w:r>
      <w:r>
        <w:t xml:space="preserve">(Cloud Governance + activación módulo inferencia 90 €/mes + compute GPU repercutido) para quien quiera todo cerrado.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Actualizar pricing deck</w:t>
      </w:r>
      <w:r>
        <w:t xml:space="preserve"> </w:t>
      </w:r>
      <w:r>
        <w:t xml:space="preserve">con estos datos y referencias.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Revisar anual</w:t>
      </w:r>
      <w:r>
        <w:t xml:space="preserve"> </w:t>
      </w:r>
      <w:r>
        <w:t xml:space="preserve">según feedback clientes y evolución mercado.</w:t>
      </w:r>
    </w:p>
    <w:p>
      <w:r>
        <w:pict>
          <v:rect style="width:0;height:1.5pt" o:hralign="center" o:hrstd="t" o:hr="t"/>
        </w:pict>
      </w:r>
    </w:p>
    <w:bookmarkEnd w:id="36"/>
    <w:bookmarkStart w:id="37" w:name="fuentes"/>
    <w:p>
      <w:pPr>
        <w:pStyle w:val="Heading2"/>
      </w:pPr>
      <w:r>
        <w:t xml:space="preserve">📚 Fuentes</w:t>
      </w:r>
    </w:p>
    <w:p>
      <w:pPr>
        <w:numPr>
          <w:ilvl w:val="0"/>
          <w:numId w:val="1003"/>
        </w:numPr>
        <w:pStyle w:val="Compact"/>
      </w:pPr>
      <w:r>
        <w:t xml:space="preserve">Cloudiax: https://www.cloudiax.com/es/precios/</w:t>
      </w:r>
    </w:p>
    <w:p>
      <w:pPr>
        <w:numPr>
          <w:ilvl w:val="0"/>
          <w:numId w:val="1003"/>
        </w:numPr>
        <w:pStyle w:val="Compact"/>
      </w:pPr>
      <w:r>
        <w:t xml:space="preserve">AI Works: https://aiworks.es/soluciones.html</w:t>
      </w:r>
    </w:p>
    <w:p>
      <w:pPr>
        <w:numPr>
          <w:ilvl w:val="0"/>
          <w:numId w:val="1003"/>
        </w:numPr>
        <w:pStyle w:val="Compact"/>
      </w:pPr>
      <w:r>
        <w:t xml:space="preserve">Vidiv: https://vidiv.com/2025/05/28/agentes-de-ia-por-voz-para-atencion-comercial-que-son-cuales-son-sus-beneficios-y-cuanto-cuestan/</w:t>
      </w:r>
    </w:p>
    <w:p>
      <w:pPr>
        <w:numPr>
          <w:ilvl w:val="0"/>
          <w:numId w:val="1003"/>
        </w:numPr>
        <w:pStyle w:val="Compact"/>
      </w:pPr>
      <w:r>
        <w:t xml:space="preserve">Señor IA: https://xn–seoria-xwa.com/precios/</w:t>
      </w:r>
    </w:p>
    <w:p>
      <w:pPr>
        <w:numPr>
          <w:ilvl w:val="0"/>
          <w:numId w:val="1003"/>
        </w:numPr>
        <w:pStyle w:val="Compact"/>
      </w:pPr>
      <w:r>
        <w:t xml:space="preserve">MakeIA Solutions: https://makeiasolutions.com/plan-de-precios/</w:t>
      </w:r>
    </w:p>
    <w:p>
      <w:pPr>
        <w:numPr>
          <w:ilvl w:val="0"/>
          <w:numId w:val="1003"/>
        </w:numPr>
        <w:pStyle w:val="Compact"/>
      </w:pPr>
      <w:r>
        <w:t xml:space="preserve">Crata AI: https://www.crata-ai.com/es/plans</w:t>
      </w:r>
    </w:p>
    <w:p>
      <w:pPr>
        <w:numPr>
          <w:ilvl w:val="0"/>
          <w:numId w:val="1003"/>
        </w:numPr>
        <w:pStyle w:val="Compact"/>
      </w:pPr>
      <w:r>
        <w:t xml:space="preserve">Q2B Studio: https://www.q2bstudio.com/nuestro-blog/34881/</w:t>
      </w:r>
    </w:p>
    <w:p>
      <w:pPr>
        <w:numPr>
          <w:ilvl w:val="0"/>
          <w:numId w:val="1003"/>
        </w:numPr>
        <w:pStyle w:val="Compact"/>
      </w:pPr>
      <w:r>
        <w:t xml:space="preserve">Kit Digital (Red.es): https://cincodias.elpais.com/extras/2024-12-12/kit-digital-ofrece-ayudas-de-25000-o-29000-euros-a-las-medianas-empresas.html</w:t>
      </w:r>
    </w:p>
    <w:p>
      <w:pPr>
        <w:numPr>
          <w:ilvl w:val="0"/>
          <w:numId w:val="1003"/>
        </w:numPr>
        <w:pStyle w:val="Compact"/>
      </w:pPr>
      <w:r>
        <w:t xml:space="preserve">CIO.com: https://www.cio.com/article/2093027/el-gasto-europeo-en-soluciones-de-ia-generativa-superara-los-30-000-millones-en-2027.html</w:t>
      </w:r>
    </w:p>
    <w:p>
      <w:pPr>
        <w:numPr>
          <w:ilvl w:val="0"/>
          <w:numId w:val="1003"/>
        </w:numPr>
        <w:pStyle w:val="Compact"/>
      </w:pPr>
      <w:r>
        <w:t xml:space="preserve">IBM watsonx.governance (Partner Briefing Oct-2025)</w:t>
      </w:r>
    </w:p>
    <w:p>
      <w:pPr>
        <w:numPr>
          <w:ilvl w:val="0"/>
          <w:numId w:val="1003"/>
        </w:numPr>
        <w:pStyle w:val="Compact"/>
      </w:pPr>
      <w:r>
        <w:t xml:space="preserve">Microsoft Azure Responsible AI (Enterprise Pricing Guide v2.5)</w:t>
      </w:r>
    </w:p>
    <w:p>
      <w:pPr>
        <w:numPr>
          <w:ilvl w:val="0"/>
          <w:numId w:val="1003"/>
        </w:numPr>
        <w:pStyle w:val="Compact"/>
      </w:pPr>
      <w:r>
        <w:t xml:space="preserve">DataRobot AI Trust Platform (Forrester TEI 2024)</w:t>
      </w:r>
    </w:p>
    <w:p>
      <w:pPr>
        <w:numPr>
          <w:ilvl w:val="0"/>
          <w:numId w:val="1003"/>
        </w:numPr>
        <w:pStyle w:val="Compact"/>
      </w:pPr>
      <w:r>
        <w:t xml:space="preserve">SAS Viya AI Governance (Partner Rate Card 2025)</w:t>
      </w:r>
    </w:p>
    <w:p>
      <w:pPr>
        <w:numPr>
          <w:ilvl w:val="0"/>
          <w:numId w:val="1003"/>
        </w:numPr>
        <w:pStyle w:val="Compact"/>
      </w:pPr>
      <w:r>
        <w:t xml:space="preserve">Palantir AIP contratos UE (Diario Oficial UE 2024-2025)</w:t>
      </w:r>
    </w:p>
    <w:p>
      <w:pPr>
        <w:numPr>
          <w:ilvl w:val="0"/>
          <w:numId w:val="1003"/>
        </w:numPr>
        <w:pStyle w:val="Compact"/>
      </w:pPr>
      <w:r>
        <w:t xml:space="preserve">Indra Minsait licitaciones IA ética (Plataforma Contratación Estado 2024)</w:t>
      </w:r>
    </w:p>
    <w:p>
      <w:pPr>
        <w:numPr>
          <w:ilvl w:val="0"/>
          <w:numId w:val="1003"/>
        </w:numPr>
        <w:pStyle w:val="Compact"/>
      </w:pPr>
      <w:r>
        <w:t xml:space="preserve">Atos Eviden AI Ethics brochure (Sep-2025)</w:t>
      </w:r>
    </w:p>
    <w:p>
      <w:pPr>
        <w:numPr>
          <w:ilvl w:val="0"/>
          <w:numId w:val="1003"/>
        </w:numPr>
        <w:pStyle w:val="Compact"/>
      </w:pPr>
      <w:r>
        <w:t xml:space="preserve">Accenture AI Compliance Factory whitepaper (Q3 2025)</w:t>
      </w:r>
    </w:p>
    <w:p>
      <w:pPr>
        <w:numPr>
          <w:ilvl w:val="0"/>
          <w:numId w:val="1003"/>
        </w:numPr>
        <w:pStyle w:val="Compact"/>
      </w:pPr>
      <w:r>
        <w:t xml:space="preserve">Microsoft Sector Público AI Governance (Azure Public Sector playbook 2025)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preparado por:</w:t>
      </w:r>
      <w:r>
        <w:t xml:space="preserve"> </w:t>
      </w:r>
      <w:r>
        <w:t xml:space="preserve">Equipo Strategy &amp; Pricing</w:t>
      </w:r>
      <w:r>
        <w:br/>
      </w:r>
      <w:r>
        <w:rPr>
          <w:bCs/>
          <w:b/>
        </w:rPr>
        <w:t xml:space="preserve">Última actualización:</w:t>
      </w:r>
      <w:r>
        <w:t xml:space="preserve"> </w:t>
      </w:r>
      <w:r>
        <w:t xml:space="preserve">Noviembre 2025</w:t>
      </w:r>
      <w:r>
        <w:br/>
      </w:r>
      <w:r>
        <w:rPr>
          <w:bCs/>
          <w:b/>
        </w:rPr>
        <w:t xml:space="preserve">Confidencialidad:</w:t>
      </w:r>
      <w:r>
        <w:t xml:space="preserve"> </w:t>
      </w:r>
      <w:r>
        <w:t xml:space="preserve">Uso interno únicamente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1" Target="https://cincodias.elpais.com/extras/2024-12-12/kit-digital-ofrece-ayudas-de-25000-o-29000-euros-a-las-medianas-empresas.html" TargetMode="External" /><Relationship Type="http://schemas.openxmlformats.org/officeDocument/2006/relationships/hyperlink" Id="rId24" Target="https://makeiasolutions.com/plan-de-precios/" TargetMode="External" /><Relationship Type="http://schemas.openxmlformats.org/officeDocument/2006/relationships/hyperlink" Id="rId22" Target="https://vidiv.com/2025/05/28/agentes-de-ia-por-voz-para-atencion-comercial-que-son-cuales-son-sus-beneficios-y-cuanto-cuestan/" TargetMode="External" /><Relationship Type="http://schemas.openxmlformats.org/officeDocument/2006/relationships/hyperlink" Id="rId32" Target="https://www.cio.com/article/2093027/el-gasto-europeo-en-soluciones-de-ia-generativa-superara-los-30-000-millones-en-2027.html" TargetMode="External" /><Relationship Type="http://schemas.openxmlformats.org/officeDocument/2006/relationships/hyperlink" Id="rId21" Target="https://www.cloudiax.com/es/precios/" TargetMode="External" /><Relationship Type="http://schemas.openxmlformats.org/officeDocument/2006/relationships/hyperlink" Id="rId25" Target="https://www.crata-ai.com/es/plans" TargetMode="External" /><Relationship Type="http://schemas.openxmlformats.org/officeDocument/2006/relationships/hyperlink" Id="rId33" Target="https://www.q2bstudio.com/nuestro-blog/34881/" TargetMode="External" /><Relationship Type="http://schemas.openxmlformats.org/officeDocument/2006/relationships/hyperlink" Id="rId23" Target="https://xn--seoria-xwa.com/precio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cincodias.elpais.com/extras/2024-12-12/kit-digital-ofrece-ayudas-de-25000-o-29000-euros-a-las-medianas-empresas.html" TargetMode="External" /><Relationship Type="http://schemas.openxmlformats.org/officeDocument/2006/relationships/hyperlink" Id="rId24" Target="https://makeiasolutions.com/plan-de-precios/" TargetMode="External" /><Relationship Type="http://schemas.openxmlformats.org/officeDocument/2006/relationships/hyperlink" Id="rId22" Target="https://vidiv.com/2025/05/28/agentes-de-ia-por-voz-para-atencion-comercial-que-son-cuales-son-sus-beneficios-y-cuanto-cuestan/" TargetMode="External" /><Relationship Type="http://schemas.openxmlformats.org/officeDocument/2006/relationships/hyperlink" Id="rId32" Target="https://www.cio.com/article/2093027/el-gasto-europeo-en-soluciones-de-ia-generativa-superara-los-30-000-millones-en-2027.html" TargetMode="External" /><Relationship Type="http://schemas.openxmlformats.org/officeDocument/2006/relationships/hyperlink" Id="rId21" Target="https://www.cloudiax.com/es/precios/" TargetMode="External" /><Relationship Type="http://schemas.openxmlformats.org/officeDocument/2006/relationships/hyperlink" Id="rId25" Target="https://www.crata-ai.com/es/plans" TargetMode="External" /><Relationship Type="http://schemas.openxmlformats.org/officeDocument/2006/relationships/hyperlink" Id="rId33" Target="https://www.q2bstudio.com/nuestro-blog/34881/" TargetMode="External" /><Relationship Type="http://schemas.openxmlformats.org/officeDocument/2006/relationships/hyperlink" Id="rId23" Target="https://xn--seoria-xwa.com/precio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2025-11-07T09:01:46Z</dcterms:created>
  <dcterms:modified xsi:type="dcterms:W3CDTF">2025-11-07T09:01:46Z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