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dc3974fd4ffaa40f36c9874e17c88e1dff2147"/>
    <w:p>
      <w:pPr>
        <w:pStyle w:val="Heading1"/>
      </w:pPr>
      <w:r>
        <w:t xml:space="preserve">TARIFA INTERNA CODEFLOWX - NOVIEMBRE 2025</w:t>
      </w:r>
    </w:p>
    <w:bookmarkStart w:id="20" w:name="precios-referencia-españa-eur-sin-iva"/>
    <w:p>
      <w:pPr>
        <w:pStyle w:val="Heading2"/>
      </w:pPr>
      <w:r>
        <w:t xml:space="preserve">Precios Referencia España (EUR, sin IVA)</w:t>
      </w:r>
    </w:p>
    <w:p>
      <w:pPr>
        <w:pStyle w:val="FirstParagraph"/>
      </w:pPr>
      <w:r>
        <w:rPr>
          <w:bCs/>
          <w:b/>
        </w:rPr>
        <w:t xml:space="preserve">Confidencialidad:</w:t>
      </w:r>
      <w:r>
        <w:t xml:space="preserve"> </w:t>
      </w:r>
      <w:r>
        <w:t xml:space="preserve">Uso interno CodeflowX</w:t>
      </w:r>
      <w:r>
        <w:br/>
      </w:r>
      <w:r>
        <w:rPr>
          <w:bCs/>
          <w:b/>
        </w:rPr>
        <w:t xml:space="preserve">Fecha:</w:t>
      </w:r>
      <w:r>
        <w:t xml:space="preserve"> </w:t>
      </w:r>
      <w:r>
        <w:t xml:space="preserve">Noviembre 2025</w:t>
      </w:r>
      <w:r>
        <w:br/>
      </w:r>
      <w:r>
        <w:rPr>
          <w:bCs/>
          <w:b/>
        </w:rPr>
        <w:t xml:space="preserve">Coste operativo base cloud:</w:t>
      </w:r>
      <w:r>
        <w:t xml:space="preserve"> </w:t>
      </w:r>
      <w:r>
        <w:t xml:space="preserve">35 €/mes por cliente (infraestructura SaaS)</w:t>
      </w:r>
    </w:p>
    <w:p>
      <w:r>
        <w:pict>
          <v:rect style="width:0;height:1.5pt" o:hralign="center" o:hrstd="t" o:hr="t"/>
        </w:pict>
      </w:r>
    </w:p>
    <w:bookmarkEnd w:id="20"/>
    <w:bookmarkStart w:id="21" w:name="definición-clave-proyecto-gobernado"/>
    <w:p>
      <w:pPr>
        <w:pStyle w:val="Heading2"/>
      </w:pPr>
      <w:r>
        <w:t xml:space="preserve">📦 Definición clave: Proyecto gobernado</w:t>
      </w:r>
    </w:p>
    <w:p>
      <w:pPr>
        <w:numPr>
          <w:ilvl w:val="0"/>
          <w:numId w:val="1001"/>
        </w:numPr>
        <w:pStyle w:val="Compact"/>
      </w:pPr>
      <w:r>
        <w:t xml:space="preserve">Un</w:t>
      </w:r>
      <w:r>
        <w:t xml:space="preserve"> </w:t>
      </w:r>
      <w:r>
        <w:rPr>
          <w:bCs/>
          <w:b/>
        </w:rPr>
        <w:t xml:space="preserve">proyecto</w:t>
      </w:r>
      <w:r>
        <w:t xml:space="preserve"> </w:t>
      </w:r>
      <w:r>
        <w:t xml:space="preserve">representa un caso de uso gobernado end-to-end (ej.</w:t>
      </w:r>
      <w:r>
        <w:t xml:space="preserve"> </w:t>
      </w:r>
      <w:r>
        <w:t xml:space="preserve">“</w:t>
      </w:r>
      <w:r>
        <w:t xml:space="preserve">chatbot soporte RR.HH.</w:t>
      </w:r>
      <w:r>
        <w:t xml:space="preserve">”</w:t>
      </w:r>
      <w:r>
        <w:t xml:space="preserve">,</w:t>
      </w:r>
      <w:r>
        <w:t xml:space="preserve"> </w:t>
      </w:r>
      <w:r>
        <w:t xml:space="preserve">“</w:t>
      </w:r>
      <w:r>
        <w:t xml:space="preserve">agente scoring crédito</w:t>
      </w:r>
      <w:r>
        <w:t xml:space="preserve">”</w:t>
      </w:r>
      <w:r>
        <w:t xml:space="preserve">,</w:t>
      </w:r>
      <w:r>
        <w:t xml:space="preserve"> </w:t>
      </w:r>
      <w:r>
        <w:t xml:space="preserve">“</w:t>
      </w:r>
      <w:r>
        <w:t xml:space="preserve">RAG documentación legal</w:t>
      </w:r>
      <w:r>
        <w:t xml:space="preserve">”</w:t>
      </w:r>
      <w:r>
        <w:t xml:space="preserve">).</w:t>
      </w:r>
    </w:p>
    <w:p>
      <w:pPr>
        <w:numPr>
          <w:ilvl w:val="0"/>
          <w:numId w:val="1001"/>
        </w:numPr>
        <w:pStyle w:val="Compact"/>
      </w:pPr>
      <w:r>
        <w:t xml:space="preserve">Cada proyecto puede incluir, como máximo, los siguientes activos:</w:t>
      </w:r>
    </w:p>
    <w:p>
      <w:pPr>
        <w:numPr>
          <w:ilvl w:val="1"/>
          <w:numId w:val="1002"/>
        </w:numPr>
        <w:pStyle w:val="Compact"/>
      </w:pPr>
      <w:r>
        <w:rPr>
          <w:bCs/>
          <w:b/>
        </w:rPr>
        <w:t xml:space="preserve">2 chatbots</w:t>
      </w:r>
      <w:r>
        <w:t xml:space="preserve"> </w:t>
      </w:r>
      <w:r>
        <w:t xml:space="preserve">(interfaces conversacionales)</w:t>
      </w:r>
    </w:p>
    <w:p>
      <w:pPr>
        <w:numPr>
          <w:ilvl w:val="1"/>
          <w:numId w:val="1002"/>
        </w:numPr>
        <w:pStyle w:val="Compact"/>
      </w:pPr>
      <w:r>
        <w:rPr>
          <w:bCs/>
          <w:b/>
        </w:rPr>
        <w:t xml:space="preserve">2 agentes</w:t>
      </w:r>
      <w:r>
        <w:t xml:space="preserve"> </w:t>
      </w:r>
      <w:r>
        <w:t xml:space="preserve">autónomos/flows de decisión</w:t>
      </w:r>
    </w:p>
    <w:p>
      <w:pPr>
        <w:numPr>
          <w:ilvl w:val="1"/>
          <w:numId w:val="1002"/>
        </w:numPr>
        <w:pStyle w:val="Compact"/>
      </w:pPr>
      <w:r>
        <w:rPr>
          <w:bCs/>
          <w:b/>
        </w:rPr>
        <w:t xml:space="preserve">2 RAG</w:t>
      </w:r>
      <w:r>
        <w:t xml:space="preserve"> </w:t>
      </w:r>
      <w:r>
        <w:t xml:space="preserve">(vector store + orquestación)</w:t>
      </w:r>
    </w:p>
    <w:p>
      <w:pPr>
        <w:numPr>
          <w:ilvl w:val="0"/>
          <w:numId w:val="1001"/>
        </w:numPr>
        <w:pStyle w:val="Compact"/>
      </w:pPr>
      <w:r>
        <w:t xml:space="preserve">El cliente puede activar solo los activos que necesite dentro de cada proyecto, pero no exceder el límite. Esto evita usos fraudulentos (p.ej. un plan básico gobernando decenas de bots bajo un único proyecto).</w:t>
      </w:r>
    </w:p>
    <w:p>
      <w:pPr>
        <w:numPr>
          <w:ilvl w:val="0"/>
          <w:numId w:val="1001"/>
        </w:numPr>
        <w:pStyle w:val="Compact"/>
      </w:pPr>
      <w:r>
        <w:t xml:space="preserve">Para aumentar la capacidad se pueden contratar</w:t>
      </w:r>
      <w:r>
        <w:t xml:space="preserve"> </w:t>
      </w:r>
      <w:r>
        <w:rPr>
          <w:bCs/>
          <w:b/>
        </w:rPr>
        <w:t xml:space="preserve">proyectos adicionales</w:t>
      </w:r>
      <w:r>
        <w:t xml:space="preserve"> </w:t>
      </w:r>
      <w:r>
        <w:t xml:space="preserve">(ver add-ons).</w:t>
      </w:r>
    </w:p>
    <w:p>
      <w:r>
        <w:pict>
          <v:rect style="width:0;height:1.5pt" o:hralign="center" o:hrstd="t" o:hr="t"/>
        </w:pict>
      </w:r>
    </w:p>
    <w:bookmarkEnd w:id="21"/>
    <w:bookmarkStart w:id="22" w:name="cloud-saas-gestionado-por-codeflowx"/>
    <w:p>
      <w:pPr>
        <w:pStyle w:val="Heading2"/>
      </w:pPr>
      <w:r>
        <w:t xml:space="preserve">🟢 CLOUD (SaaS gestionado por CodeflowX)</w:t>
      </w:r>
    </w:p>
    <w:tbl>
      <w:tblPr>
        <w:tblStyle w:val="Table"/>
        <w:tblW w:type="pct" w:w="5000"/>
        <w:tblLook w:firstRow="1" w:lastRow="0" w:firstColumn="0" w:lastColumn="0" w:noHBand="0" w:noVBand="0" w:val="0020"/>
        <w:jc w:val="start"/>
      </w:tblPr>
      <w:tblGrid>
        <w:gridCol w:w="484"/>
        <w:gridCol w:w="1454"/>
        <w:gridCol w:w="1697"/>
        <w:gridCol w:w="1535"/>
        <w:gridCol w:w="1131"/>
        <w:gridCol w:w="727"/>
        <w:gridCol w:w="888"/>
      </w:tblGrid>
      <w:tr>
        <w:trPr>
          <w:tblHeader w:val="true"/>
        </w:trPr>
        <w:tc>
          <w:tcPr/>
          <w:p>
            <w:pPr>
              <w:pStyle w:val="Compact"/>
              <w:jc w:val="left"/>
            </w:pPr>
            <w:r>
              <w:t xml:space="preserve">Plan</w:t>
            </w:r>
          </w:p>
        </w:tc>
        <w:tc>
          <w:tcPr/>
          <w:p>
            <w:pPr>
              <w:pStyle w:val="Compact"/>
              <w:jc w:val="left"/>
            </w:pPr>
            <w:r>
              <w:t xml:space="preserve">Precio (EUR/mes)</w:t>
            </w:r>
          </w:p>
        </w:tc>
        <w:tc>
          <w:tcPr/>
          <w:p>
            <w:pPr>
              <w:pStyle w:val="Compact"/>
              <w:jc w:val="left"/>
            </w:pPr>
            <w:r>
              <w:t xml:space="preserve">Proyectos incluidos</w:t>
            </w:r>
          </w:p>
        </w:tc>
        <w:tc>
          <w:tcPr/>
          <w:p>
            <w:pPr>
              <w:pStyle w:val="Compact"/>
              <w:jc w:val="left"/>
            </w:pPr>
            <w:r>
              <w:t xml:space="preserve">Coste Infra (EUR)</w:t>
            </w:r>
          </w:p>
        </w:tc>
        <w:tc>
          <w:tcPr/>
          <w:p>
            <w:pPr>
              <w:pStyle w:val="Compact"/>
              <w:jc w:val="left"/>
            </w:pPr>
            <w:r>
              <w:t xml:space="preserve">Margen Bruto</w:t>
            </w:r>
          </w:p>
        </w:tc>
        <w:tc>
          <w:tcPr/>
          <w:p>
            <w:pPr>
              <w:pStyle w:val="Compact"/>
              <w:jc w:val="left"/>
            </w:pPr>
            <w:r>
              <w:t xml:space="preserve">Enfoque</w:t>
            </w:r>
          </w:p>
        </w:tc>
        <w:tc>
          <w:tcPr/>
          <w:p>
            <w:pPr>
              <w:pStyle w:val="Compact"/>
              <w:jc w:val="left"/>
            </w:pPr>
            <w:r>
              <w:t xml:space="preserve">Cobertura</w:t>
            </w:r>
          </w:p>
        </w:tc>
      </w:tr>
      <w:tr>
        <w:tc>
          <w:tcPr/>
          <w:p>
            <w:pPr>
              <w:pStyle w:val="Compact"/>
              <w:jc w:val="left"/>
            </w:pPr>
            <w:r>
              <w:rPr>
                <w:bCs/>
                <w:b/>
              </w:rPr>
              <w:t xml:space="preserve">CodeflowX Compliance Cloud – Plug &amp; Protect</w:t>
            </w:r>
          </w:p>
        </w:tc>
        <w:tc>
          <w:tcPr/>
          <w:p>
            <w:pPr>
              <w:pStyle w:val="Compact"/>
              <w:jc w:val="left"/>
            </w:pPr>
            <w:r>
              <w:rPr>
                <w:bCs/>
                <w:b/>
              </w:rPr>
              <w:t xml:space="preserve">149 €</w:t>
            </w:r>
          </w:p>
        </w:tc>
        <w:tc>
          <w:tcPr/>
          <w:p>
            <w:pPr>
              <w:pStyle w:val="Compact"/>
              <w:jc w:val="left"/>
            </w:pPr>
            <w:r>
              <w:rPr>
                <w:bCs/>
                <w:b/>
              </w:rPr>
              <w:t xml:space="preserve">1 proyecto</w:t>
            </w:r>
            <w:r>
              <w:t xml:space="preserve"> </w:t>
            </w:r>
            <w:r>
              <w:t xml:space="preserve">(cumplimiento esencial)</w:t>
            </w:r>
          </w:p>
        </w:tc>
        <w:tc>
          <w:tcPr/>
          <w:p>
            <w:pPr>
              <w:pStyle w:val="Compact"/>
              <w:jc w:val="left"/>
            </w:pPr>
            <w:r>
              <w:t xml:space="preserve">35 €</w:t>
            </w:r>
          </w:p>
        </w:tc>
        <w:tc>
          <w:tcPr/>
          <w:p>
            <w:pPr>
              <w:pStyle w:val="Compact"/>
              <w:jc w:val="left"/>
            </w:pPr>
            <w:r>
              <w:t xml:space="preserve">76%</w:t>
            </w:r>
          </w:p>
        </w:tc>
        <w:tc>
          <w:tcPr/>
          <w:p>
            <w:pPr>
              <w:pStyle w:val="Compact"/>
              <w:jc w:val="left"/>
            </w:pPr>
            <w:r>
              <w:t xml:space="preserve">Freelance, microagencias (≤10 personas) que necesitan</w:t>
            </w:r>
            <w:r>
              <w:t xml:space="preserve"> </w:t>
            </w:r>
            <w:r>
              <w:rPr>
                <w:bCs/>
                <w:b/>
              </w:rPr>
              <w:t xml:space="preserve">cumplimiento</w:t>
            </w:r>
            <w:r>
              <w:t xml:space="preserve"> </w:t>
            </w:r>
            <w:r>
              <w:t xml:space="preserve">para un caso de uso puntual</w:t>
            </w:r>
          </w:p>
        </w:tc>
        <w:tc>
          <w:tcPr/>
          <w:p>
            <w:pPr>
              <w:pStyle w:val="Compact"/>
              <w:jc w:val="left"/>
            </w:pPr>
            <w:r>
              <w:t xml:space="preserve">1 proyecto con hasta 2 chatbots + 2 agentes + 2 RAG, checklists Art. 9-15, documentación Anexo IV básica, políticas Art. 50, FRIA templates, 2 usuarios, soporte email 48h</w:t>
            </w:r>
          </w:p>
        </w:tc>
      </w:tr>
      <w:tr>
        <w:tc>
          <w:tcPr/>
          <w:p>
            <w:pPr>
              <w:pStyle w:val="Compact"/>
              <w:jc w:val="left"/>
            </w:pPr>
            <w:r>
              <w:rPr>
                <w:bCs/>
                <w:b/>
              </w:rPr>
              <w:t xml:space="preserve">Cloud Governance (Professional)</w:t>
            </w:r>
          </w:p>
        </w:tc>
        <w:tc>
          <w:tcPr/>
          <w:p>
            <w:pPr>
              <w:pStyle w:val="Compact"/>
              <w:jc w:val="left"/>
            </w:pPr>
            <w:r>
              <w:rPr>
                <w:bCs/>
                <w:b/>
              </w:rPr>
              <w:t xml:space="preserve">699 €</w:t>
            </w:r>
          </w:p>
        </w:tc>
        <w:tc>
          <w:tcPr/>
          <w:p>
            <w:pPr>
              <w:pStyle w:val="Compact"/>
              <w:jc w:val="left"/>
            </w:pPr>
            <w:r>
              <w:rPr>
                <w:bCs/>
                <w:b/>
              </w:rPr>
              <w:t xml:space="preserve">3 proyectos</w:t>
            </w:r>
            <w:r>
              <w:t xml:space="preserve"> </w:t>
            </w:r>
            <w:r>
              <w:t xml:space="preserve">(gobierno completo)</w:t>
            </w:r>
          </w:p>
        </w:tc>
        <w:tc>
          <w:tcPr/>
          <w:p>
            <w:pPr>
              <w:pStyle w:val="Compact"/>
              <w:jc w:val="left"/>
            </w:pPr>
            <w:r>
              <w:t xml:space="preserve">70 € (2 instancias)</w:t>
            </w:r>
          </w:p>
        </w:tc>
        <w:tc>
          <w:tcPr/>
          <w:p>
            <w:pPr>
              <w:pStyle w:val="Compact"/>
              <w:jc w:val="left"/>
            </w:pPr>
            <w:r>
              <w:t xml:space="preserve">90%</w:t>
            </w:r>
          </w:p>
        </w:tc>
        <w:tc>
          <w:tcPr/>
          <w:p>
            <w:pPr>
              <w:pStyle w:val="Compact"/>
              <w:jc w:val="left"/>
            </w:pPr>
            <w:r>
              <w:t xml:space="preserve">Agencias/consultoras 10-50 personas y software factories que gestionan varios casos de uso</w:t>
            </w:r>
          </w:p>
        </w:tc>
        <w:tc>
          <w:tcPr/>
          <w:p>
            <w:pPr>
              <w:pStyle w:val="Compact"/>
              <w:jc w:val="left"/>
            </w:pPr>
            <w:r>
              <w:t xml:space="preserve">3 proyectos (cada uno hasta 2 chatbots + 2 agentes + 2 RAG), workflows BPMN, evaluación métricas, monitorización 24/7, alertas desviaciones, reporting Art. 71, 12 usuarios, soporte prioritario 12h</w:t>
            </w:r>
          </w:p>
        </w:tc>
      </w:tr>
      <w:tr>
        <w:tc>
          <w:tcPr/>
          <w:p>
            <w:pPr>
              <w:pStyle w:val="Compact"/>
              <w:jc w:val="left"/>
            </w:pPr>
            <w:r>
              <w:rPr>
                <w:bCs/>
                <w:b/>
              </w:rPr>
              <w:t xml:space="preserve">Cloud Enterprise</w:t>
            </w:r>
          </w:p>
        </w:tc>
        <w:tc>
          <w:tcPr/>
          <w:p>
            <w:pPr>
              <w:pStyle w:val="Compact"/>
              <w:jc w:val="left"/>
            </w:pPr>
            <w:r>
              <w:rPr>
                <w:bCs/>
                <w:b/>
              </w:rPr>
              <w:t xml:space="preserve">1.199 €</w:t>
            </w:r>
          </w:p>
        </w:tc>
        <w:tc>
          <w:tcPr/>
          <w:p>
            <w:pPr>
              <w:pStyle w:val="Compact"/>
              <w:jc w:val="left"/>
            </w:pPr>
            <w:r>
              <w:rPr>
                <w:bCs/>
                <w:b/>
              </w:rPr>
              <w:t xml:space="preserve">5 proyectos</w:t>
            </w:r>
            <w:r>
              <w:t xml:space="preserve"> </w:t>
            </w:r>
            <w:r>
              <w:t xml:space="preserve">compartidos por hasta 5 clientes externos (multi-tenant)</w:t>
            </w:r>
          </w:p>
        </w:tc>
        <w:tc>
          <w:tcPr/>
          <w:p>
            <w:pPr>
              <w:pStyle w:val="Compact"/>
              <w:jc w:val="left"/>
            </w:pPr>
            <w:r>
              <w:t xml:space="preserve">105 € (3 instancias)</w:t>
            </w:r>
          </w:p>
        </w:tc>
        <w:tc>
          <w:tcPr/>
          <w:p>
            <w:pPr>
              <w:pStyle w:val="Compact"/>
              <w:jc w:val="left"/>
            </w:pPr>
            <w:r>
              <w:t xml:space="preserve">91%</w:t>
            </w:r>
          </w:p>
        </w:tc>
        <w:tc>
          <w:tcPr/>
          <w:p>
            <w:pPr>
              <w:pStyle w:val="Compact"/>
              <w:jc w:val="left"/>
            </w:pPr>
            <w:r>
              <w:t xml:space="preserve">Partners SaaS y organizaciones multi-cliente, incluye</w:t>
            </w:r>
            <w:r>
              <w:t xml:space="preserve"> </w:t>
            </w:r>
            <w:r>
              <w:rPr>
                <w:bCs/>
                <w:b/>
              </w:rPr>
              <w:t xml:space="preserve">solución completa</w:t>
            </w:r>
          </w:p>
        </w:tc>
        <w:tc>
          <w:tcPr/>
          <w:p>
            <w:pPr>
              <w:pStyle w:val="Compact"/>
              <w:jc w:val="left"/>
            </w:pPr>
            <w:r>
              <w:t xml:space="preserve">Multi-tenant (5 clientes x 1 proyecto cada uno; proyectos adicionales vía add-on), marca blanca, API configurables, dashboards agregados, SLA 99,5 %, soporte 4h, formación comercial, controles centralizados</w:t>
            </w:r>
          </w:p>
        </w:tc>
      </w:tr>
    </w:tbl>
    <w:p>
      <w:pPr>
        <w:pStyle w:val="BodyText"/>
      </w:pPr>
      <w:r>
        <w:rPr>
          <w:bCs/>
          <w:b/>
        </w:rPr>
        <w:t xml:space="preserve">Notas Cloud:</w:t>
      </w:r>
      <w:r>
        <w:t xml:space="preserve"> </w:t>
      </w:r>
      <w:r>
        <w:t xml:space="preserve">- Facturación mensual; pago anual anticipado (‑10 %).</w:t>
      </w:r>
      <w:r>
        <w:t xml:space="preserve"> </w:t>
      </w:r>
      <w:r>
        <w:t xml:space="preserve">- Proyectos adicionales se contratan vía add-on (ver abajo).</w:t>
      </w:r>
      <w:r>
        <w:t xml:space="preserve"> </w:t>
      </w:r>
      <w:r>
        <w:t xml:space="preserve">- Los proyectos pueden reasignarse (p.ej. cerrar uno y abrir nuevo) previa baja documentada.</w:t>
      </w:r>
      <w:r>
        <w:t xml:space="preserve"> </w:t>
      </w:r>
      <w:r>
        <w:t xml:space="preserve">- CodeflowX se integra con la infraestructura de modelos del cliente. El módulo de servidores de inferencia es opcional.</w:t>
      </w:r>
    </w:p>
    <w:p>
      <w:r>
        <w:pict>
          <v:rect style="width:0;height:1.5pt" o:hralign="center" o:hrstd="t" o:hr="t"/>
        </w:pict>
      </w:r>
    </w:p>
    <w:bookmarkEnd w:id="22"/>
    <w:bookmarkStart w:id="23" w:name="add-ons-cloud"/>
    <w:p>
      <w:pPr>
        <w:pStyle w:val="Heading2"/>
      </w:pPr>
      <w:r>
        <w:t xml:space="preserve">🧩 ADD-ONS CLOUD</w:t>
      </w:r>
    </w:p>
    <w:tbl>
      <w:tblPr>
        <w:tblStyle w:val="Table"/>
        <w:tblW w:type="pct" w:w="5000"/>
        <w:tblLook w:firstRow="1" w:lastRow="0" w:firstColumn="0" w:lastColumn="0" w:noHBand="0" w:noVBand="0" w:val="0020"/>
        <w:jc w:val="start"/>
      </w:tblPr>
      <w:tblGrid>
        <w:gridCol w:w="1408"/>
        <w:gridCol w:w="1408"/>
        <w:gridCol w:w="2816"/>
        <w:gridCol w:w="2288"/>
      </w:tblGrid>
      <w:tr>
        <w:trPr>
          <w:tblHeader w:val="true"/>
        </w:trPr>
        <w:tc>
          <w:tcPr/>
          <w:p>
            <w:pPr>
              <w:pStyle w:val="Compact"/>
              <w:jc w:val="left"/>
            </w:pPr>
            <w:r>
              <w:t xml:space="preserve">Add-on</w:t>
            </w:r>
          </w:p>
        </w:tc>
        <w:tc>
          <w:tcPr/>
          <w:p>
            <w:pPr>
              <w:pStyle w:val="Compact"/>
              <w:jc w:val="left"/>
            </w:pPr>
            <w:r>
              <w:t xml:space="preserve">Precio</w:t>
            </w:r>
          </w:p>
        </w:tc>
        <w:tc>
          <w:tcPr/>
          <w:p>
            <w:pPr>
              <w:pStyle w:val="Compact"/>
              <w:jc w:val="left"/>
            </w:pPr>
            <w:r>
              <w:t xml:space="preserve">Disponible en</w:t>
            </w:r>
          </w:p>
        </w:tc>
        <w:tc>
          <w:tcPr/>
          <w:p>
            <w:pPr>
              <w:pStyle w:val="Compact"/>
              <w:jc w:val="left"/>
            </w:pPr>
            <w:r>
              <w:t xml:space="preserve">Descripción</w:t>
            </w:r>
          </w:p>
        </w:tc>
      </w:tr>
      <w:tr>
        <w:tc>
          <w:tcPr/>
          <w:p>
            <w:pPr>
              <w:pStyle w:val="Compact"/>
              <w:jc w:val="left"/>
            </w:pPr>
            <w:r>
              <w:rPr>
                <w:bCs/>
                <w:b/>
              </w:rPr>
              <w:t xml:space="preserve">Onboarding guiado (2 semanas)</w:t>
            </w:r>
          </w:p>
        </w:tc>
        <w:tc>
          <w:tcPr/>
          <w:p>
            <w:pPr>
              <w:pStyle w:val="Compact"/>
              <w:jc w:val="left"/>
            </w:pPr>
            <w:r>
              <w:t xml:space="preserve">900 € único</w:t>
            </w:r>
          </w:p>
        </w:tc>
        <w:tc>
          <w:tcPr/>
          <w:p>
            <w:pPr>
              <w:pStyle w:val="Compact"/>
              <w:jc w:val="left"/>
            </w:pPr>
            <w:r>
              <w:t xml:space="preserve">Basic / Professional</w:t>
            </w:r>
          </w:p>
        </w:tc>
        <w:tc>
          <w:tcPr/>
          <w:p>
            <w:pPr>
              <w:pStyle w:val="Compact"/>
              <w:jc w:val="left"/>
            </w:pPr>
            <w:r>
              <w:t xml:space="preserve">Configuración inicial, mapeo procesos, primera auditoría</w:t>
            </w:r>
          </w:p>
        </w:tc>
      </w:tr>
      <w:tr>
        <w:tc>
          <w:tcPr/>
          <w:p>
            <w:pPr>
              <w:pStyle w:val="Compact"/>
              <w:jc w:val="left"/>
            </w:pPr>
            <w:r>
              <w:rPr>
                <w:bCs/>
                <w:b/>
              </w:rPr>
              <w:t xml:space="preserve">Integración SSO (Azure AD/Okta)</w:t>
            </w:r>
          </w:p>
        </w:tc>
        <w:tc>
          <w:tcPr/>
          <w:p>
            <w:pPr>
              <w:pStyle w:val="Compact"/>
              <w:jc w:val="left"/>
            </w:pPr>
            <w:r>
              <w:t xml:space="preserve">600 € único</w:t>
            </w:r>
          </w:p>
        </w:tc>
        <w:tc>
          <w:tcPr/>
          <w:p>
            <w:pPr>
              <w:pStyle w:val="Compact"/>
              <w:jc w:val="left"/>
            </w:pPr>
            <w:r>
              <w:t xml:space="preserve">Professional / Enterprise</w:t>
            </w:r>
          </w:p>
        </w:tc>
        <w:tc>
          <w:tcPr/>
          <w:p>
            <w:pPr>
              <w:pStyle w:val="Compact"/>
              <w:jc w:val="left"/>
            </w:pPr>
            <w:r>
              <w:t xml:space="preserve">Autenticación corporativa</w:t>
            </w:r>
          </w:p>
        </w:tc>
      </w:tr>
      <w:tr>
        <w:tc>
          <w:tcPr/>
          <w:p>
            <w:pPr>
              <w:pStyle w:val="Compact"/>
              <w:jc w:val="left"/>
            </w:pPr>
            <w:r>
              <w:rPr>
                <w:bCs/>
                <w:b/>
              </w:rPr>
              <w:t xml:space="preserve">Pack proyectos adicionales (1 proyecto)</w:t>
            </w:r>
          </w:p>
        </w:tc>
        <w:tc>
          <w:tcPr/>
          <w:p>
            <w:pPr>
              <w:pStyle w:val="Compact"/>
              <w:jc w:val="left"/>
            </w:pPr>
            <w:r>
              <w:t xml:space="preserve">120 € / mes</w:t>
            </w:r>
          </w:p>
        </w:tc>
        <w:tc>
          <w:tcPr/>
          <w:p>
            <w:pPr>
              <w:pStyle w:val="Compact"/>
              <w:jc w:val="left"/>
            </w:pPr>
            <w:r>
              <w:t xml:space="preserve">Todos</w:t>
            </w:r>
          </w:p>
        </w:tc>
        <w:tc>
          <w:tcPr/>
          <w:p>
            <w:pPr>
              <w:pStyle w:val="Compact"/>
              <w:jc w:val="left"/>
            </w:pPr>
            <w:r>
              <w:t xml:space="preserve">Añade 1 proyecto (con sus límites de activos)</w:t>
            </w:r>
          </w:p>
        </w:tc>
      </w:tr>
      <w:tr>
        <w:tc>
          <w:tcPr/>
          <w:p>
            <w:pPr>
              <w:pStyle w:val="Compact"/>
              <w:jc w:val="left"/>
            </w:pPr>
            <w:r>
              <w:rPr>
                <w:bCs/>
                <w:b/>
              </w:rPr>
              <w:t xml:space="preserve">Pack clientes adicionales (5 tenants)</w:t>
            </w:r>
          </w:p>
        </w:tc>
        <w:tc>
          <w:tcPr/>
          <w:p>
            <w:pPr>
              <w:pStyle w:val="Compact"/>
              <w:jc w:val="left"/>
            </w:pPr>
            <w:r>
              <w:t xml:space="preserve">150 € / mes</w:t>
            </w:r>
          </w:p>
        </w:tc>
        <w:tc>
          <w:tcPr/>
          <w:p>
            <w:pPr>
              <w:pStyle w:val="Compact"/>
              <w:jc w:val="left"/>
            </w:pPr>
            <w:r>
              <w:t xml:space="preserve">Enterprise</w:t>
            </w:r>
          </w:p>
        </w:tc>
        <w:tc>
          <w:tcPr/>
          <w:p>
            <w:pPr>
              <w:pStyle w:val="Compact"/>
              <w:jc w:val="left"/>
            </w:pPr>
            <w:r>
              <w:t xml:space="preserve">Amplía el número de organizaciones servidas (de 5 en 5)</w:t>
            </w:r>
          </w:p>
        </w:tc>
      </w:tr>
      <w:tr>
        <w:tc>
          <w:tcPr/>
          <w:p>
            <w:pPr>
              <w:pStyle w:val="Compact"/>
              <w:jc w:val="left"/>
            </w:pPr>
            <w:r>
              <w:rPr>
                <w:bCs/>
                <w:b/>
              </w:rPr>
              <w:t xml:space="preserve">Entorno regulado (datos UE dedicados)</w:t>
            </w:r>
          </w:p>
        </w:tc>
        <w:tc>
          <w:tcPr/>
          <w:p>
            <w:pPr>
              <w:pStyle w:val="Compact"/>
              <w:jc w:val="left"/>
            </w:pPr>
            <w:r>
              <w:t xml:space="preserve">+90 € / mes</w:t>
            </w:r>
          </w:p>
        </w:tc>
        <w:tc>
          <w:tcPr/>
          <w:p>
            <w:pPr>
              <w:pStyle w:val="Compact"/>
              <w:jc w:val="left"/>
            </w:pPr>
            <w:r>
              <w:t xml:space="preserve">Professional / Enterprise</w:t>
            </w:r>
          </w:p>
        </w:tc>
        <w:tc>
          <w:tcPr/>
          <w:p>
            <w:pPr>
              <w:pStyle w:val="Compact"/>
              <w:jc w:val="left"/>
            </w:pPr>
            <w:r>
              <w:t xml:space="preserve">Workspace aislado multi-organización</w:t>
            </w:r>
          </w:p>
        </w:tc>
      </w:tr>
      <w:tr>
        <w:tc>
          <w:tcPr/>
          <w:p>
            <w:pPr>
              <w:pStyle w:val="Compact"/>
              <w:jc w:val="left"/>
            </w:pPr>
            <w:r>
              <w:rPr>
                <w:bCs/>
                <w:b/>
              </w:rPr>
              <w:t xml:space="preserve">Soporte 24/7</w:t>
            </w:r>
          </w:p>
        </w:tc>
        <w:tc>
          <w:tcPr/>
          <w:p>
            <w:pPr>
              <w:pStyle w:val="Compact"/>
              <w:jc w:val="left"/>
            </w:pPr>
            <w:r>
              <w:t xml:space="preserve">+150 € / mes</w:t>
            </w:r>
          </w:p>
        </w:tc>
        <w:tc>
          <w:tcPr/>
          <w:p>
            <w:pPr>
              <w:pStyle w:val="Compact"/>
              <w:jc w:val="left"/>
            </w:pPr>
            <w:r>
              <w:t xml:space="preserve">Professional / Enterprise</w:t>
            </w:r>
          </w:p>
        </w:tc>
        <w:tc>
          <w:tcPr/>
          <w:p>
            <w:pPr>
              <w:pStyle w:val="Compact"/>
              <w:jc w:val="left"/>
            </w:pPr>
            <w:r>
              <w:t xml:space="preserve">Línea dedicada incidentes críticos</w:t>
            </w:r>
          </w:p>
        </w:tc>
      </w:tr>
      <w:tr>
        <w:tc>
          <w:tcPr/>
          <w:p>
            <w:pPr>
              <w:pStyle w:val="Compact"/>
              <w:jc w:val="left"/>
            </w:pPr>
            <w:r>
              <w:rPr>
                <w:bCs/>
                <w:b/>
              </w:rPr>
              <w:t xml:space="preserve">Activación módulo inferencia (gestión)</w:t>
            </w:r>
          </w:p>
        </w:tc>
        <w:tc>
          <w:tcPr/>
          <w:p>
            <w:pPr>
              <w:pStyle w:val="Compact"/>
              <w:jc w:val="left"/>
            </w:pPr>
            <w:r>
              <w:t xml:space="preserve">90 € / mes</w:t>
            </w:r>
          </w:p>
        </w:tc>
        <w:tc>
          <w:tcPr/>
          <w:p>
            <w:pPr>
              <w:pStyle w:val="Compact"/>
              <w:jc w:val="left"/>
            </w:pPr>
            <w:r>
              <w:t xml:space="preserve">Professional / Enterprise</w:t>
            </w:r>
          </w:p>
        </w:tc>
        <w:tc>
          <w:tcPr/>
          <w:p>
            <w:pPr>
              <w:pStyle w:val="Compact"/>
              <w:jc w:val="left"/>
            </w:pPr>
            <w:r>
              <w:t xml:space="preserve">Despliegue y gestión de</w:t>
            </w:r>
            <w:r>
              <w:t xml:space="preserve"> </w:t>
            </w:r>
            <w:r>
              <w:rPr>
                <w:rStyle w:val="VerbatimChar"/>
              </w:rPr>
              <w:t xml:space="preserve">leka-llm-interpreter</w:t>
            </w:r>
            <w:r>
              <w:t xml:space="preserve"> </w:t>
            </w:r>
            <w:r>
              <w:t xml:space="preserve">(routing, wrappers, monitorización). Requiere elegir modalidad compute.</w:t>
            </w:r>
          </w:p>
        </w:tc>
      </w:tr>
      <w:tr>
        <w:tc>
          <w:tcPr/>
          <w:p>
            <w:pPr>
              <w:pStyle w:val="Compact"/>
              <w:jc w:val="left"/>
            </w:pPr>
            <w:r>
              <w:rPr>
                <w:bCs/>
                <w:b/>
              </w:rPr>
              <w:t xml:space="preserve">Compute GPU dedicada</w:t>
            </w:r>
          </w:p>
        </w:tc>
        <w:tc>
          <w:tcPr/>
          <w:p>
            <w:pPr>
              <w:pStyle w:val="Compact"/>
              <w:jc w:val="left"/>
            </w:pPr>
            <w:r>
              <w:t xml:space="preserve">Coste repercutido (desde 250 € / mes por nodo)</w:t>
            </w:r>
          </w:p>
        </w:tc>
        <w:tc>
          <w:tcPr/>
          <w:p>
            <w:pPr>
              <w:pStyle w:val="Compact"/>
              <w:jc w:val="left"/>
            </w:pPr>
            <w:r>
              <w:t xml:space="preserve">Professional / Enterprise</w:t>
            </w:r>
          </w:p>
        </w:tc>
        <w:tc>
          <w:tcPr/>
          <w:p>
            <w:pPr>
              <w:pStyle w:val="Compact"/>
              <w:jc w:val="left"/>
            </w:pPr>
            <w:r>
              <w:t xml:space="preserve">Facturación 1:1 del coste de GPU (cloud o on-prem). Se puede ajustar según proveedor (AWS, Azure, OVH, etc.).</w:t>
            </w:r>
          </w:p>
        </w:tc>
      </w:tr>
      <w:tr>
        <w:tc>
          <w:tcPr/>
          <w:p>
            <w:pPr>
              <w:pStyle w:val="Compact"/>
              <w:jc w:val="left"/>
            </w:pPr>
            <w:r>
              <w:rPr>
                <w:bCs/>
                <w:b/>
              </w:rPr>
              <w:t xml:space="preserve">Compute serverless (tokens/consulta)</w:t>
            </w:r>
          </w:p>
        </w:tc>
        <w:tc>
          <w:tcPr/>
          <w:p>
            <w:pPr>
              <w:pStyle w:val="Compact"/>
              <w:jc w:val="left"/>
            </w:pPr>
            <w:r>
              <w:t xml:space="preserve">Pago por uso</w:t>
            </w:r>
          </w:p>
        </w:tc>
        <w:tc>
          <w:tcPr/>
          <w:p>
            <w:pPr>
              <w:pStyle w:val="Compact"/>
              <w:jc w:val="left"/>
            </w:pPr>
            <w:r>
              <w:t xml:space="preserve">Professional / Enterprise</w:t>
            </w:r>
          </w:p>
        </w:tc>
        <w:tc>
          <w:tcPr/>
          <w:p>
            <w:pPr>
              <w:pStyle w:val="Compact"/>
              <w:jc w:val="left"/>
            </w:pPr>
            <w:r>
              <w:t xml:space="preserve">Uso de APIs comerciales (OpenAI, Anthropic, etc.). Se factura directamente al cliente según proveedor; CodeflowX no intermedia.</w:t>
            </w:r>
          </w:p>
        </w:tc>
      </w:tr>
    </w:tbl>
    <w:p>
      <w:r>
        <w:pict>
          <v:rect style="width:0;height:1.5pt" o:hralign="center" o:hrstd="t" o:hr="t"/>
        </w:pict>
      </w:r>
    </w:p>
    <w:bookmarkEnd w:id="23"/>
    <w:bookmarkStart w:id="24" w:name="X42f1c175969ab227eae698a74c83e639745d5cf"/>
    <w:p>
      <w:pPr>
        <w:pStyle w:val="Heading2"/>
      </w:pPr>
      <w:r>
        <w:t xml:space="preserve">🏢 CORPORATE SELF-HOST (Licencia anual vía partners)</w:t>
      </w:r>
    </w:p>
    <w:tbl>
      <w:tblPr>
        <w:tblStyle w:val="Table"/>
        <w:tblW w:type="pct" w:w="5000"/>
        <w:tblLook w:firstRow="1" w:lastRow="0" w:firstColumn="0" w:lastColumn="0" w:noHBand="0" w:noVBand="0" w:val="0020"/>
        <w:jc w:val="start"/>
      </w:tblPr>
      <w:tblGrid>
        <w:gridCol w:w="522"/>
        <w:gridCol w:w="2001"/>
        <w:gridCol w:w="2175"/>
        <w:gridCol w:w="1044"/>
        <w:gridCol w:w="609"/>
        <w:gridCol w:w="1566"/>
      </w:tblGrid>
      <w:tr>
        <w:trPr>
          <w:tblHeader w:val="true"/>
        </w:trPr>
        <w:tc>
          <w:tcPr/>
          <w:p>
            <w:pPr>
              <w:pStyle w:val="Compact"/>
              <w:jc w:val="left"/>
            </w:pPr>
            <w:r>
              <w:t xml:space="preserve">Plan</w:t>
            </w:r>
          </w:p>
        </w:tc>
        <w:tc>
          <w:tcPr/>
          <w:p>
            <w:pPr>
              <w:pStyle w:val="Compact"/>
              <w:jc w:val="left"/>
            </w:pPr>
            <w:r>
              <w:t xml:space="preserve">Precio Licencia Anual</w:t>
            </w:r>
          </w:p>
        </w:tc>
        <w:tc>
          <w:tcPr/>
          <w:p>
            <w:pPr>
              <w:pStyle w:val="Compact"/>
              <w:jc w:val="left"/>
            </w:pPr>
            <w:r>
              <w:t xml:space="preserve">Mantenimiento &amp; Soporte</w:t>
            </w:r>
          </w:p>
        </w:tc>
        <w:tc>
          <w:tcPr/>
          <w:p>
            <w:pPr>
              <w:pStyle w:val="Compact"/>
              <w:jc w:val="left"/>
            </w:pPr>
            <w:r>
              <w:t xml:space="preserve">Requisitos</w:t>
            </w:r>
          </w:p>
        </w:tc>
        <w:tc>
          <w:tcPr/>
          <w:p>
            <w:pPr>
              <w:pStyle w:val="Compact"/>
              <w:jc w:val="left"/>
            </w:pPr>
            <w:r>
              <w:t xml:space="preserve">Canal</w:t>
            </w:r>
          </w:p>
        </w:tc>
        <w:tc>
          <w:tcPr/>
          <w:p>
            <w:pPr>
              <w:pStyle w:val="Compact"/>
              <w:jc w:val="left"/>
            </w:pPr>
            <w:r>
              <w:t xml:space="preserve">Características</w:t>
            </w:r>
          </w:p>
        </w:tc>
      </w:tr>
      <w:tr>
        <w:tc>
          <w:tcPr/>
          <w:p>
            <w:pPr>
              <w:pStyle w:val="Compact"/>
              <w:jc w:val="left"/>
            </w:pPr>
            <w:r>
              <w:rPr>
                <w:bCs/>
                <w:b/>
              </w:rPr>
              <w:t xml:space="preserve">Corporate Standard</w:t>
            </w:r>
          </w:p>
        </w:tc>
        <w:tc>
          <w:tcPr/>
          <w:p>
            <w:pPr>
              <w:pStyle w:val="Compact"/>
              <w:jc w:val="left"/>
            </w:pPr>
            <w:r>
              <w:rPr>
                <w:bCs/>
                <w:b/>
              </w:rPr>
              <w:t xml:space="preserve">24.000 €/año</w:t>
            </w:r>
          </w:p>
        </w:tc>
        <w:tc>
          <w:tcPr/>
          <w:p>
            <w:pPr>
              <w:pStyle w:val="Compact"/>
              <w:jc w:val="left"/>
            </w:pPr>
            <w:r>
              <w:t xml:space="preserve">4.800 €/año (20%)</w:t>
            </w:r>
          </w:p>
        </w:tc>
        <w:tc>
          <w:tcPr/>
          <w:p>
            <w:pPr>
              <w:pStyle w:val="Compact"/>
              <w:jc w:val="left"/>
            </w:pPr>
            <w:r>
              <w:t xml:space="preserve">2 nodos, 100 usuarios</w:t>
            </w:r>
          </w:p>
        </w:tc>
        <w:tc>
          <w:tcPr/>
          <w:p>
            <w:pPr>
              <w:pStyle w:val="Compact"/>
              <w:jc w:val="left"/>
            </w:pPr>
            <w:r>
              <w:t xml:space="preserve">Partner certificado (25% margen)</w:t>
            </w:r>
          </w:p>
        </w:tc>
        <w:tc>
          <w:tcPr/>
          <w:p>
            <w:pPr>
              <w:pStyle w:val="Compact"/>
              <w:jc w:val="left"/>
            </w:pPr>
            <w:r>
              <w:t xml:space="preserve">Kubernetes o bare-metal, 5 sistemas IA incluidos, workflows personalizables, soporte L3 (SLA 8h), actualizaciones trimestrales</w:t>
            </w:r>
          </w:p>
        </w:tc>
      </w:tr>
      <w:tr>
        <w:tc>
          <w:tcPr/>
          <w:p>
            <w:pPr>
              <w:pStyle w:val="Compact"/>
              <w:jc w:val="left"/>
            </w:pPr>
            <w:r>
              <w:rPr>
                <w:bCs/>
                <w:b/>
              </w:rPr>
              <w:t xml:space="preserve">Corporate Enterprise</w:t>
            </w:r>
          </w:p>
        </w:tc>
        <w:tc>
          <w:tcPr/>
          <w:p>
            <w:pPr>
              <w:pStyle w:val="Compact"/>
              <w:jc w:val="left"/>
            </w:pPr>
            <w:r>
              <w:rPr>
                <w:bCs/>
                <w:b/>
              </w:rPr>
              <w:t xml:space="preserve">48.000 €/año</w:t>
            </w:r>
          </w:p>
        </w:tc>
        <w:tc>
          <w:tcPr/>
          <w:p>
            <w:pPr>
              <w:pStyle w:val="Compact"/>
              <w:jc w:val="left"/>
            </w:pPr>
            <w:r>
              <w:t xml:space="preserve">9.600 €/año (20%)</w:t>
            </w:r>
          </w:p>
        </w:tc>
        <w:tc>
          <w:tcPr/>
          <w:p>
            <w:pPr>
              <w:pStyle w:val="Compact"/>
              <w:jc w:val="left"/>
            </w:pPr>
            <w:r>
              <w:t xml:space="preserve">5 nodos, 500 usuarios</w:t>
            </w:r>
          </w:p>
        </w:tc>
        <w:tc>
          <w:tcPr/>
          <w:p>
            <w:pPr>
              <w:pStyle w:val="Compact"/>
              <w:jc w:val="left"/>
            </w:pPr>
            <w:r>
              <w:t xml:space="preserve">Partner Elite (30% margen)</w:t>
            </w:r>
          </w:p>
        </w:tc>
        <w:tc>
          <w:tcPr/>
          <w:p>
            <w:pPr>
              <w:pStyle w:val="Compact"/>
              <w:jc w:val="left"/>
            </w:pPr>
            <w:r>
              <w:t xml:space="preserve">Multi-entorno (dev/pre/prod), auditoría avanzada, integración SIEM/SOC, soporte L3 (SLA 4h), roadmap dedicado</w:t>
            </w:r>
          </w:p>
        </w:tc>
      </w:tr>
    </w:tbl>
    <w:p>
      <w:pPr>
        <w:pStyle w:val="BodyText"/>
      </w:pPr>
      <w:r>
        <w:rPr>
          <w:bCs/>
          <w:b/>
        </w:rPr>
        <w:t xml:space="preserve">Servicios adicionales Corporate:</w:t>
      </w:r>
      <w:r>
        <w:t xml:space="preserve"> </w:t>
      </w:r>
      <w:r>
        <w:t xml:space="preserve">- Implantación onsite (consultoría partner) recomendada 10-20k€</w:t>
      </w:r>
      <w:r>
        <w:t xml:space="preserve"> </w:t>
      </w:r>
      <w:r>
        <w:t xml:space="preserve">- Formación técnica certificada partner: 2.000 € (3 días)</w:t>
      </w:r>
      <w:r>
        <w:t xml:space="preserve"> </w:t>
      </w:r>
      <w:r>
        <w:t xml:space="preserve">- Auditoría anual cumplimiento: 3.500 € (opcional)</w:t>
      </w:r>
    </w:p>
    <w:p>
      <w:r>
        <w:pict>
          <v:rect style="width:0;height:1.5pt" o:hralign="center" o:hrstd="t" o:hr="t"/>
        </w:pict>
      </w:r>
    </w:p>
    <w:bookmarkEnd w:id="24"/>
    <w:bookmarkStart w:id="25" w:name="administraciones-públicas"/>
    <w:p>
      <w:pPr>
        <w:pStyle w:val="Heading2"/>
      </w:pPr>
      <w:r>
        <w:t xml:space="preserve">🏛️ ADMINISTRACIONES PÚBLICAS</w:t>
      </w:r>
    </w:p>
    <w:tbl>
      <w:tblPr>
        <w:tblStyle w:val="Table"/>
        <w:tblW w:type="pct" w:w="5000"/>
        <w:tblLook w:firstRow="1" w:lastRow="0" w:firstColumn="0" w:lastColumn="0" w:noHBand="0" w:noVBand="0" w:val="0020"/>
        <w:jc w:val="start"/>
      </w:tblPr>
      <w:tblGrid>
        <w:gridCol w:w="546"/>
        <w:gridCol w:w="2093"/>
        <w:gridCol w:w="1911"/>
        <w:gridCol w:w="2002"/>
        <w:gridCol w:w="1365"/>
      </w:tblGrid>
      <w:tr>
        <w:trPr>
          <w:tblHeader w:val="true"/>
        </w:trPr>
        <w:tc>
          <w:tcPr/>
          <w:p>
            <w:pPr>
              <w:pStyle w:val="Compact"/>
              <w:jc w:val="left"/>
            </w:pPr>
            <w:r>
              <w:t xml:space="preserve">Plan</w:t>
            </w:r>
          </w:p>
        </w:tc>
        <w:tc>
          <w:tcPr/>
          <w:p>
            <w:pPr>
              <w:pStyle w:val="Compact"/>
              <w:jc w:val="left"/>
            </w:pPr>
            <w:r>
              <w:t xml:space="preserve">Precio Licencia Anual</w:t>
            </w:r>
          </w:p>
        </w:tc>
        <w:tc>
          <w:tcPr/>
          <w:p>
            <w:pPr>
              <w:pStyle w:val="Compact"/>
              <w:jc w:val="left"/>
            </w:pPr>
            <w:r>
              <w:t xml:space="preserve">Tipo Administración</w:t>
            </w:r>
          </w:p>
        </w:tc>
        <w:tc>
          <w:tcPr/>
          <w:p>
            <w:pPr>
              <w:pStyle w:val="Compact"/>
              <w:jc w:val="left"/>
            </w:pPr>
            <w:r>
              <w:t xml:space="preserve">Modelo Implantación</w:t>
            </w:r>
          </w:p>
        </w:tc>
        <w:tc>
          <w:tcPr/>
          <w:p>
            <w:pPr>
              <w:pStyle w:val="Compact"/>
              <w:jc w:val="left"/>
            </w:pPr>
            <w:r>
              <w:t xml:space="preserve">Observaciones</w:t>
            </w:r>
          </w:p>
        </w:tc>
      </w:tr>
      <w:tr>
        <w:tc>
          <w:tcPr/>
          <w:p>
            <w:pPr>
              <w:pStyle w:val="Compact"/>
              <w:jc w:val="left"/>
            </w:pPr>
            <w:r>
              <w:rPr>
                <w:bCs/>
                <w:b/>
              </w:rPr>
              <w:t xml:space="preserve">Public Local</w:t>
            </w:r>
          </w:p>
        </w:tc>
        <w:tc>
          <w:tcPr/>
          <w:p>
            <w:pPr>
              <w:pStyle w:val="Compact"/>
              <w:jc w:val="left"/>
            </w:pPr>
            <w:r>
              <w:rPr>
                <w:bCs/>
                <w:b/>
              </w:rPr>
              <w:t xml:space="preserve">12.000 €</w:t>
            </w:r>
          </w:p>
        </w:tc>
        <w:tc>
          <w:tcPr/>
          <w:p>
            <w:pPr>
              <w:pStyle w:val="Compact"/>
              <w:jc w:val="left"/>
            </w:pPr>
            <w:r>
              <w:t xml:space="preserve">Ayuntamientos &lt;100.000 habitantes, organismos municipales</w:t>
            </w:r>
          </w:p>
        </w:tc>
        <w:tc>
          <w:tcPr/>
          <w:p>
            <w:pPr>
              <w:pStyle w:val="Compact"/>
              <w:jc w:val="left"/>
            </w:pPr>
            <w:r>
              <w:t xml:space="preserve">Cloud dedicado (SaaS región UE) o self-host básico</w:t>
            </w:r>
          </w:p>
        </w:tc>
        <w:tc>
          <w:tcPr/>
          <w:p>
            <w:pPr>
              <w:pStyle w:val="Compact"/>
              <w:jc w:val="left"/>
            </w:pPr>
            <w:r>
              <w:t xml:space="preserve">2 sistemas IA, FRIA integrada, soporte 12h, formación 1 día,</w:t>
            </w:r>
            <w:r>
              <w:t xml:space="preserve"> </w:t>
            </w:r>
            <w:r>
              <w:rPr>
                <w:bCs/>
                <w:b/>
              </w:rPr>
              <w:t xml:space="preserve">incluye cumplimiento + gobierno + evaluación + monitorización</w:t>
            </w:r>
          </w:p>
        </w:tc>
      </w:tr>
      <w:tr>
        <w:tc>
          <w:tcPr/>
          <w:p>
            <w:pPr>
              <w:pStyle w:val="Compact"/>
              <w:jc w:val="left"/>
            </w:pPr>
            <w:r>
              <w:rPr>
                <w:bCs/>
                <w:b/>
              </w:rPr>
              <w:t xml:space="preserve">Public Regional</w:t>
            </w:r>
          </w:p>
        </w:tc>
        <w:tc>
          <w:tcPr/>
          <w:p>
            <w:pPr>
              <w:pStyle w:val="Compact"/>
              <w:jc w:val="left"/>
            </w:pPr>
            <w:r>
              <w:rPr>
                <w:bCs/>
                <w:b/>
              </w:rPr>
              <w:t xml:space="preserve">24.000 €</w:t>
            </w:r>
          </w:p>
        </w:tc>
        <w:tc>
          <w:tcPr/>
          <w:p>
            <w:pPr>
              <w:pStyle w:val="Compact"/>
              <w:jc w:val="left"/>
            </w:pPr>
            <w:r>
              <w:t xml:space="preserve">Diputaciones, Comunidades Autónomas, hospitales regionales</w:t>
            </w:r>
          </w:p>
        </w:tc>
        <w:tc>
          <w:tcPr/>
          <w:p>
            <w:pPr>
              <w:pStyle w:val="Compact"/>
              <w:jc w:val="left"/>
            </w:pPr>
            <w:r>
              <w:t xml:space="preserve">Self-host híbrido o cloud dedicado</w:t>
            </w:r>
          </w:p>
        </w:tc>
        <w:tc>
          <w:tcPr/>
          <w:p>
            <w:pPr>
              <w:pStyle w:val="Compact"/>
              <w:jc w:val="left"/>
            </w:pPr>
            <w:r>
              <w:t xml:space="preserve">5 sistemas IA, reporting Art. 71 automatizado, soporte 8h, formación 2 días,</w:t>
            </w:r>
            <w:r>
              <w:t xml:space="preserve"> </w:t>
            </w:r>
            <w:r>
              <w:rPr>
                <w:bCs/>
                <w:b/>
              </w:rPr>
              <w:t xml:space="preserve">solución integral (cumplimiento + gobierno + evaluación + monitorización)</w:t>
            </w:r>
          </w:p>
        </w:tc>
      </w:tr>
      <w:tr>
        <w:tc>
          <w:tcPr/>
          <w:p>
            <w:pPr>
              <w:pStyle w:val="Compact"/>
              <w:jc w:val="left"/>
            </w:pPr>
            <w:r>
              <w:rPr>
                <w:bCs/>
                <w:b/>
              </w:rPr>
              <w:t xml:space="preserve">Public National</w:t>
            </w:r>
          </w:p>
        </w:tc>
        <w:tc>
          <w:tcPr/>
          <w:p>
            <w:pPr>
              <w:pStyle w:val="Compact"/>
              <w:jc w:val="left"/>
            </w:pPr>
            <w:r>
              <w:rPr>
                <w:bCs/>
                <w:b/>
              </w:rPr>
              <w:t xml:space="preserve">60.000 €</w:t>
            </w:r>
          </w:p>
        </w:tc>
        <w:tc>
          <w:tcPr/>
          <w:p>
            <w:pPr>
              <w:pStyle w:val="Compact"/>
              <w:jc w:val="left"/>
            </w:pPr>
            <w:r>
              <w:t xml:space="preserve">Ministerios, agencias estatales, fuerzas seguridad</w:t>
            </w:r>
          </w:p>
        </w:tc>
        <w:tc>
          <w:tcPr/>
          <w:p>
            <w:pPr>
              <w:pStyle w:val="Compact"/>
              <w:jc w:val="left"/>
            </w:pPr>
            <w:r>
              <w:t xml:space="preserve">Self-host clusters + alta disponibilidad</w:t>
            </w:r>
          </w:p>
        </w:tc>
        <w:tc>
          <w:tcPr/>
          <w:p>
            <w:pPr>
              <w:pStyle w:val="Compact"/>
              <w:jc w:val="left"/>
            </w:pPr>
            <w:r>
              <w:t xml:space="preserve">10 sistemas IA, cumplimiento ENS Alto, soporte 4h, formación 3 días, auditoría anual incluida,</w:t>
            </w:r>
            <w:r>
              <w:t xml:space="preserve"> </w:t>
            </w:r>
            <w:r>
              <w:rPr>
                <w:bCs/>
                <w:b/>
              </w:rPr>
              <w:t xml:space="preserve">solución completa CodeflowX</w:t>
            </w:r>
          </w:p>
        </w:tc>
      </w:tr>
    </w:tbl>
    <w:p>
      <w:pPr>
        <w:pStyle w:val="BodyText"/>
      </w:pPr>
      <w:r>
        <w:rPr>
          <w:bCs/>
          <w:b/>
        </w:rPr>
        <w:t xml:space="preserve">Partners sector público:</w:t>
      </w:r>
      <w:r>
        <w:t xml:space="preserve"> </w:t>
      </w:r>
      <w:r>
        <w:t xml:space="preserve">- Venta obligatoria vía partner homologado (20-25% margen)</w:t>
      </w:r>
      <w:r>
        <w:t xml:space="preserve"> </w:t>
      </w:r>
      <w:r>
        <w:t xml:space="preserve">- Procesos RFP: incluir soporte técnico CodeflowX en preventa</w:t>
      </w:r>
      <w:r>
        <w:t xml:space="preserve"> </w:t>
      </w:r>
      <w:r>
        <w:t xml:space="preserve">- Descuento early adopter 10% si firma antes Abr 2026</w:t>
      </w:r>
    </w:p>
    <w:p>
      <w:r>
        <w:pict>
          <v:rect style="width:0;height:1.5pt" o:hralign="center" o:hrstd="t" o:hr="t"/>
        </w:pict>
      </w:r>
    </w:p>
    <w:bookmarkEnd w:id="25"/>
    <w:bookmarkStart w:id="26" w:name="tabla-comparativa-rápida"/>
    <w:p>
      <w:pPr>
        <w:pStyle w:val="Heading2"/>
      </w:pPr>
      <w:r>
        <w:t xml:space="preserve">🔄 TABLA COMPARATIVA RÁPIDA</w:t>
      </w:r>
    </w:p>
    <w:tbl>
      <w:tblPr>
        <w:tblStyle w:val="Table"/>
        <w:tblW w:type="pct" w:w="5000"/>
        <w:tblLook w:firstRow="1" w:lastRow="0" w:firstColumn="0" w:lastColumn="0" w:noHBand="0" w:noVBand="0" w:val="0020"/>
        <w:jc w:val="start"/>
      </w:tblPr>
      <w:tblGrid>
        <w:gridCol w:w="1466"/>
        <w:gridCol w:w="880"/>
        <w:gridCol w:w="1173"/>
        <w:gridCol w:w="1466"/>
        <w:gridCol w:w="1026"/>
        <w:gridCol w:w="1906"/>
      </w:tblGrid>
      <w:tr>
        <w:trPr>
          <w:tblHeader w:val="true"/>
        </w:trPr>
        <w:tc>
          <w:tcPr/>
          <w:p>
            <w:pPr>
              <w:pStyle w:val="Compact"/>
              <w:jc w:val="left"/>
            </w:pPr>
            <w:r>
              <w:t xml:space="preserve">Segmento</w:t>
            </w:r>
          </w:p>
        </w:tc>
        <w:tc>
          <w:tcPr/>
          <w:p>
            <w:pPr>
              <w:pStyle w:val="Compact"/>
              <w:jc w:val="left"/>
            </w:pPr>
            <w:r>
              <w:t xml:space="preserve">Plan</w:t>
            </w:r>
          </w:p>
        </w:tc>
        <w:tc>
          <w:tcPr/>
          <w:p>
            <w:pPr>
              <w:pStyle w:val="Compact"/>
              <w:jc w:val="left"/>
            </w:pPr>
            <w:r>
              <w:t xml:space="preserve">Precio</w:t>
            </w:r>
          </w:p>
        </w:tc>
        <w:tc>
          <w:tcPr/>
          <w:p>
            <w:pPr>
              <w:pStyle w:val="Compact"/>
              <w:jc w:val="left"/>
            </w:pPr>
            <w:r>
              <w:t xml:space="preserve">Márgenes</w:t>
            </w:r>
          </w:p>
        </w:tc>
        <w:tc>
          <w:tcPr/>
          <w:p>
            <w:pPr>
              <w:pStyle w:val="Compact"/>
              <w:jc w:val="left"/>
            </w:pPr>
            <w:r>
              <w:t xml:space="preserve">Canal</w:t>
            </w:r>
          </w:p>
        </w:tc>
        <w:tc>
          <w:tcPr/>
          <w:p>
            <w:pPr>
              <w:pStyle w:val="Compact"/>
              <w:jc w:val="left"/>
            </w:pPr>
            <w:r>
              <w:t xml:space="preserve">Comentarios</w:t>
            </w:r>
          </w:p>
        </w:tc>
      </w:tr>
      <w:tr>
        <w:tc>
          <w:tcPr/>
          <w:p>
            <w:pPr>
              <w:pStyle w:val="Compact"/>
              <w:jc w:val="left"/>
            </w:pPr>
            <w:r>
              <w:t xml:space="preserve">Freelance/microagencia</w:t>
            </w:r>
          </w:p>
        </w:tc>
        <w:tc>
          <w:tcPr/>
          <w:p>
            <w:pPr>
              <w:pStyle w:val="Compact"/>
              <w:jc w:val="left"/>
            </w:pPr>
            <w:r>
              <w:t xml:space="preserve">Cloud Compliance</w:t>
            </w:r>
          </w:p>
        </w:tc>
        <w:tc>
          <w:tcPr/>
          <w:p>
            <w:pPr>
              <w:pStyle w:val="Compact"/>
              <w:jc w:val="left"/>
            </w:pPr>
            <w:r>
              <w:t xml:space="preserve">149 €/mes</w:t>
            </w:r>
          </w:p>
        </w:tc>
        <w:tc>
          <w:tcPr/>
          <w:p>
            <w:pPr>
              <w:pStyle w:val="Compact"/>
              <w:jc w:val="left"/>
            </w:pPr>
            <w:r>
              <w:t xml:space="preserve">76%</w:t>
            </w:r>
          </w:p>
        </w:tc>
        <w:tc>
          <w:tcPr/>
          <w:p>
            <w:pPr>
              <w:pStyle w:val="Compact"/>
              <w:jc w:val="left"/>
            </w:pPr>
            <w:r>
              <w:t xml:space="preserve">Directo</w:t>
            </w:r>
          </w:p>
        </w:tc>
        <w:tc>
          <w:tcPr/>
          <w:p>
            <w:pPr>
              <w:pStyle w:val="Compact"/>
              <w:jc w:val="left"/>
            </w:pPr>
            <w:r>
              <w:t xml:space="preserve">1 proyecto gobernado (compliance rápido)</w:t>
            </w:r>
          </w:p>
        </w:tc>
      </w:tr>
      <w:tr>
        <w:tc>
          <w:tcPr/>
          <w:p>
            <w:pPr>
              <w:pStyle w:val="Compact"/>
              <w:jc w:val="left"/>
            </w:pPr>
            <w:r>
              <w:t xml:space="preserve">Agencia/consultora mediana</w:t>
            </w:r>
          </w:p>
        </w:tc>
        <w:tc>
          <w:tcPr/>
          <w:p>
            <w:pPr>
              <w:pStyle w:val="Compact"/>
              <w:jc w:val="left"/>
            </w:pPr>
            <w:r>
              <w:t xml:space="preserve">Cloud Governance</w:t>
            </w:r>
          </w:p>
        </w:tc>
        <w:tc>
          <w:tcPr/>
          <w:p>
            <w:pPr>
              <w:pStyle w:val="Compact"/>
              <w:jc w:val="left"/>
            </w:pPr>
            <w:r>
              <w:t xml:space="preserve">699 €/mes</w:t>
            </w:r>
          </w:p>
        </w:tc>
        <w:tc>
          <w:tcPr/>
          <w:p>
            <w:pPr>
              <w:pStyle w:val="Compact"/>
              <w:jc w:val="left"/>
            </w:pPr>
            <w:r>
              <w:t xml:space="preserve">90%</w:t>
            </w:r>
          </w:p>
        </w:tc>
        <w:tc>
          <w:tcPr/>
          <w:p>
            <w:pPr>
              <w:pStyle w:val="Compact"/>
              <w:jc w:val="left"/>
            </w:pPr>
            <w:r>
              <w:t xml:space="preserve">Directo/Partner</w:t>
            </w:r>
          </w:p>
        </w:tc>
        <w:tc>
          <w:tcPr/>
          <w:p>
            <w:pPr>
              <w:pStyle w:val="Compact"/>
              <w:jc w:val="left"/>
            </w:pPr>
            <w:r>
              <w:t xml:space="preserve">3 proyectos simultáneos, workflows avanzados</w:t>
            </w:r>
          </w:p>
        </w:tc>
      </w:tr>
      <w:tr>
        <w:tc>
          <w:tcPr/>
          <w:p>
            <w:pPr>
              <w:pStyle w:val="Compact"/>
              <w:jc w:val="left"/>
            </w:pPr>
            <w:r>
              <w:t xml:space="preserve">Partner SaaS (white-label)</w:t>
            </w:r>
          </w:p>
        </w:tc>
        <w:tc>
          <w:tcPr/>
          <w:p>
            <w:pPr>
              <w:pStyle w:val="Compact"/>
              <w:jc w:val="left"/>
            </w:pPr>
            <w:r>
              <w:t xml:space="preserve">Cloud Enterprise</w:t>
            </w:r>
          </w:p>
        </w:tc>
        <w:tc>
          <w:tcPr/>
          <w:p>
            <w:pPr>
              <w:pStyle w:val="Compact"/>
              <w:jc w:val="left"/>
            </w:pPr>
            <w:r>
              <w:t xml:space="preserve">1.199 €/mes</w:t>
            </w:r>
          </w:p>
        </w:tc>
        <w:tc>
          <w:tcPr/>
          <w:p>
            <w:pPr>
              <w:pStyle w:val="Compact"/>
              <w:jc w:val="left"/>
            </w:pPr>
            <w:r>
              <w:t xml:space="preserve">91%</w:t>
            </w:r>
          </w:p>
        </w:tc>
        <w:tc>
          <w:tcPr/>
          <w:p>
            <w:pPr>
              <w:pStyle w:val="Compact"/>
              <w:jc w:val="left"/>
            </w:pPr>
            <w:r>
              <w:t xml:space="preserve">Directo/Partner</w:t>
            </w:r>
          </w:p>
        </w:tc>
        <w:tc>
          <w:tcPr/>
          <w:p>
            <w:pPr>
              <w:pStyle w:val="Compact"/>
              <w:jc w:val="left"/>
            </w:pPr>
            <w:r>
              <w:t xml:space="preserve">Multi-tenant, marca blanca, 5 clientes incluidos</w:t>
            </w:r>
          </w:p>
        </w:tc>
      </w:tr>
      <w:tr>
        <w:tc>
          <w:tcPr/>
          <w:p>
            <w:pPr>
              <w:pStyle w:val="Compact"/>
              <w:jc w:val="left"/>
            </w:pPr>
            <w:r>
              <w:t xml:space="preserve">Enterprise (self-host)</w:t>
            </w:r>
          </w:p>
        </w:tc>
        <w:tc>
          <w:tcPr/>
          <w:p>
            <w:pPr>
              <w:pStyle w:val="Compact"/>
              <w:jc w:val="left"/>
            </w:pPr>
            <w:r>
              <w:t xml:space="preserve">Corporate Standard</w:t>
            </w:r>
          </w:p>
        </w:tc>
        <w:tc>
          <w:tcPr/>
          <w:p>
            <w:pPr>
              <w:pStyle w:val="Compact"/>
              <w:jc w:val="left"/>
            </w:pPr>
            <w:r>
              <w:t xml:space="preserve">24k €/año</w:t>
            </w:r>
          </w:p>
        </w:tc>
        <w:tc>
          <w:tcPr/>
          <w:p>
            <w:pPr>
              <w:pStyle w:val="Compact"/>
              <w:jc w:val="left"/>
            </w:pPr>
            <w:r>
              <w:t xml:space="preserve">80%</w:t>
            </w:r>
          </w:p>
        </w:tc>
        <w:tc>
          <w:tcPr/>
          <w:p>
            <w:pPr>
              <w:pStyle w:val="Compact"/>
              <w:jc w:val="left"/>
            </w:pPr>
            <w:r>
              <w:t xml:space="preserve">Partner</w:t>
            </w:r>
          </w:p>
        </w:tc>
        <w:tc>
          <w:tcPr/>
          <w:p>
            <w:pPr>
              <w:pStyle w:val="Compact"/>
              <w:jc w:val="left"/>
            </w:pPr>
            <w:r>
              <w:t xml:space="preserve">5 sistemas IA, soporte L3, despliegue rápido</w:t>
            </w:r>
          </w:p>
        </w:tc>
      </w:tr>
      <w:tr>
        <w:tc>
          <w:tcPr/>
          <w:p>
            <w:pPr>
              <w:pStyle w:val="Compact"/>
              <w:jc w:val="left"/>
            </w:pPr>
            <w:r>
              <w:t xml:space="preserve">Enterprise regulado</w:t>
            </w:r>
          </w:p>
        </w:tc>
        <w:tc>
          <w:tcPr/>
          <w:p>
            <w:pPr>
              <w:pStyle w:val="Compact"/>
              <w:jc w:val="left"/>
            </w:pPr>
            <w:r>
              <w:t xml:space="preserve">Corporate Enterprise</w:t>
            </w:r>
          </w:p>
        </w:tc>
        <w:tc>
          <w:tcPr/>
          <w:p>
            <w:pPr>
              <w:pStyle w:val="Compact"/>
              <w:jc w:val="left"/>
            </w:pPr>
            <w:r>
              <w:t xml:space="preserve">48k €/año</w:t>
            </w:r>
          </w:p>
        </w:tc>
        <w:tc>
          <w:tcPr/>
          <w:p>
            <w:pPr>
              <w:pStyle w:val="Compact"/>
              <w:jc w:val="left"/>
            </w:pPr>
            <w:r>
              <w:t xml:space="preserve">80%</w:t>
            </w:r>
          </w:p>
        </w:tc>
        <w:tc>
          <w:tcPr/>
          <w:p>
            <w:pPr>
              <w:pStyle w:val="Compact"/>
              <w:jc w:val="left"/>
            </w:pPr>
            <w:r>
              <w:t xml:space="preserve">Partner Elite</w:t>
            </w:r>
          </w:p>
        </w:tc>
        <w:tc>
          <w:tcPr/>
          <w:p>
            <w:pPr>
              <w:pStyle w:val="Compact"/>
              <w:jc w:val="left"/>
            </w:pPr>
            <w:r>
              <w:t xml:space="preserve">HA + SIEM + roadmap dedicado</w:t>
            </w:r>
          </w:p>
        </w:tc>
      </w:tr>
      <w:tr>
        <w:tc>
          <w:tcPr/>
          <w:p>
            <w:pPr>
              <w:pStyle w:val="Compact"/>
              <w:jc w:val="left"/>
            </w:pPr>
            <w:r>
              <w:t xml:space="preserve">Ayuntamiento pequeño</w:t>
            </w:r>
          </w:p>
        </w:tc>
        <w:tc>
          <w:tcPr/>
          <w:p>
            <w:pPr>
              <w:pStyle w:val="Compact"/>
              <w:jc w:val="left"/>
            </w:pPr>
            <w:r>
              <w:t xml:space="preserve">Public Local</w:t>
            </w:r>
          </w:p>
        </w:tc>
        <w:tc>
          <w:tcPr/>
          <w:p>
            <w:pPr>
              <w:pStyle w:val="Compact"/>
              <w:jc w:val="left"/>
            </w:pPr>
            <w:r>
              <w:t xml:space="preserve">12k €/año</w:t>
            </w:r>
          </w:p>
        </w:tc>
        <w:tc>
          <w:tcPr/>
          <w:p>
            <w:pPr>
              <w:pStyle w:val="Compact"/>
              <w:jc w:val="left"/>
            </w:pPr>
            <w:r>
              <w:t xml:space="preserve">72%</w:t>
            </w:r>
          </w:p>
        </w:tc>
        <w:tc>
          <w:tcPr/>
          <w:p>
            <w:pPr>
              <w:pStyle w:val="Compact"/>
              <w:jc w:val="left"/>
            </w:pPr>
            <w:r>
              <w:t xml:space="preserve">Partner público</w:t>
            </w:r>
          </w:p>
        </w:tc>
        <w:tc>
          <w:tcPr/>
          <w:p>
            <w:pPr>
              <w:pStyle w:val="Compact"/>
              <w:jc w:val="left"/>
            </w:pPr>
            <w:r>
              <w:t xml:space="preserve">Cloud dedicado UE, FRIA incluida</w:t>
            </w:r>
          </w:p>
        </w:tc>
      </w:tr>
      <w:tr>
        <w:tc>
          <w:tcPr/>
          <w:p>
            <w:pPr>
              <w:pStyle w:val="Compact"/>
              <w:jc w:val="left"/>
            </w:pPr>
            <w:r>
              <w:t xml:space="preserve">Organismo regional</w:t>
            </w:r>
          </w:p>
        </w:tc>
        <w:tc>
          <w:tcPr/>
          <w:p>
            <w:pPr>
              <w:pStyle w:val="Compact"/>
              <w:jc w:val="left"/>
            </w:pPr>
            <w:r>
              <w:t xml:space="preserve">Public Regional</w:t>
            </w:r>
          </w:p>
        </w:tc>
        <w:tc>
          <w:tcPr/>
          <w:p>
            <w:pPr>
              <w:pStyle w:val="Compact"/>
              <w:jc w:val="left"/>
            </w:pPr>
            <w:r>
              <w:t xml:space="preserve">24k €/año</w:t>
            </w:r>
          </w:p>
        </w:tc>
        <w:tc>
          <w:tcPr/>
          <w:p>
            <w:pPr>
              <w:pStyle w:val="Compact"/>
              <w:jc w:val="left"/>
            </w:pPr>
            <w:r>
              <w:t xml:space="preserve">80%</w:t>
            </w:r>
          </w:p>
        </w:tc>
        <w:tc>
          <w:tcPr/>
          <w:p>
            <w:pPr>
              <w:pStyle w:val="Compact"/>
              <w:jc w:val="left"/>
            </w:pPr>
            <w:r>
              <w:t xml:space="preserve">Partner</w:t>
            </w:r>
          </w:p>
        </w:tc>
        <w:tc>
          <w:tcPr/>
          <w:p>
            <w:pPr>
              <w:pStyle w:val="Compact"/>
              <w:jc w:val="left"/>
            </w:pPr>
            <w:r>
              <w:t xml:space="preserve">5 sistemas, reporting Art. 71</w:t>
            </w:r>
          </w:p>
        </w:tc>
      </w:tr>
      <w:tr>
        <w:tc>
          <w:tcPr/>
          <w:p>
            <w:pPr>
              <w:pStyle w:val="Compact"/>
              <w:jc w:val="left"/>
            </w:pPr>
            <w:r>
              <w:t xml:space="preserve">Organismo nacional</w:t>
            </w:r>
          </w:p>
        </w:tc>
        <w:tc>
          <w:tcPr/>
          <w:p>
            <w:pPr>
              <w:pStyle w:val="Compact"/>
              <w:jc w:val="left"/>
            </w:pPr>
            <w:r>
              <w:t xml:space="preserve">Public National</w:t>
            </w:r>
          </w:p>
        </w:tc>
        <w:tc>
          <w:tcPr/>
          <w:p>
            <w:pPr>
              <w:pStyle w:val="Compact"/>
              <w:jc w:val="left"/>
            </w:pPr>
            <w:r>
              <w:t xml:space="preserve">60k €/año</w:t>
            </w:r>
          </w:p>
        </w:tc>
        <w:tc>
          <w:tcPr/>
          <w:p>
            <w:pPr>
              <w:pStyle w:val="Compact"/>
              <w:jc w:val="left"/>
            </w:pPr>
            <w:r>
              <w:t xml:space="preserve">82%</w:t>
            </w:r>
          </w:p>
        </w:tc>
        <w:tc>
          <w:tcPr/>
          <w:p>
            <w:pPr>
              <w:pStyle w:val="Compact"/>
              <w:jc w:val="left"/>
            </w:pPr>
            <w:r>
              <w:t xml:space="preserve">Partner Elite</w:t>
            </w:r>
          </w:p>
        </w:tc>
        <w:tc>
          <w:tcPr/>
          <w:p>
            <w:pPr>
              <w:pStyle w:val="Compact"/>
              <w:jc w:val="left"/>
            </w:pPr>
            <w:r>
              <w:t xml:space="preserve">ENS Alto + auditoría anual</w:t>
            </w:r>
          </w:p>
        </w:tc>
      </w:tr>
    </w:tbl>
    <w:p>
      <w:r>
        <w:pict>
          <v:rect style="width:0;height:1.5pt" o:hralign="center" o:hrstd="t" o:hr="t"/>
        </w:pict>
      </w:r>
    </w:p>
    <w:bookmarkEnd w:id="26"/>
    <w:bookmarkStart w:id="27" w:name="supuestos-financieros"/>
    <w:p>
      <w:pPr>
        <w:pStyle w:val="Heading2"/>
      </w:pPr>
      <w:r>
        <w:t xml:space="preserve">📌 SUPUESTOS FINANCIEROS</w:t>
      </w:r>
    </w:p>
    <w:p>
      <w:pPr>
        <w:numPr>
          <w:ilvl w:val="0"/>
          <w:numId w:val="1003"/>
        </w:numPr>
        <w:pStyle w:val="Compact"/>
      </w:pPr>
      <w:r>
        <w:t xml:space="preserve">Coste operativo cloud fijo: 35 €/mes por instancia básica (Compute + almacenamiento + monitorización)</w:t>
      </w:r>
    </w:p>
    <w:p>
      <w:pPr>
        <w:numPr>
          <w:ilvl w:val="0"/>
          <w:numId w:val="1003"/>
        </w:numPr>
        <w:pStyle w:val="Compact"/>
      </w:pPr>
      <w:r>
        <w:t xml:space="preserve">Coste soporte medio: 1h/mes técnico N2 (valorado 35 €) → incluido en margen</w:t>
      </w:r>
    </w:p>
    <w:p>
      <w:pPr>
        <w:numPr>
          <w:ilvl w:val="0"/>
          <w:numId w:val="1003"/>
        </w:numPr>
        <w:pStyle w:val="Compact"/>
      </w:pPr>
      <w:r>
        <w:t xml:space="preserve">Descuentos máximos sin aprobación dirección:</w:t>
      </w:r>
    </w:p>
    <w:p>
      <w:pPr>
        <w:numPr>
          <w:ilvl w:val="1"/>
          <w:numId w:val="1004"/>
        </w:numPr>
        <w:pStyle w:val="Compact"/>
      </w:pPr>
      <w:r>
        <w:t xml:space="preserve">Cloud Basic/Professional: hasta 10% (anualidad)</w:t>
      </w:r>
    </w:p>
    <w:p>
      <w:pPr>
        <w:numPr>
          <w:ilvl w:val="1"/>
          <w:numId w:val="1004"/>
        </w:numPr>
        <w:pStyle w:val="Compact"/>
      </w:pPr>
      <w:r>
        <w:t xml:space="preserve">Cloud OEM: negociación caso a caso (mínimo 650 €/mes)</w:t>
      </w:r>
    </w:p>
    <w:p>
      <w:pPr>
        <w:numPr>
          <w:ilvl w:val="1"/>
          <w:numId w:val="1004"/>
        </w:numPr>
        <w:pStyle w:val="Compact"/>
      </w:pPr>
      <w:r>
        <w:t xml:space="preserve">Corporate/Public: hasta 15% si volumen ≥3 licencias</w:t>
      </w:r>
    </w:p>
    <w:p>
      <w:pPr>
        <w:numPr>
          <w:ilvl w:val="0"/>
          <w:numId w:val="1003"/>
        </w:numPr>
        <w:pStyle w:val="Compact"/>
      </w:pPr>
      <w:r>
        <w:t xml:space="preserve">Partners reciben margen estándar:</w:t>
      </w:r>
    </w:p>
    <w:p>
      <w:pPr>
        <w:numPr>
          <w:ilvl w:val="1"/>
          <w:numId w:val="1005"/>
        </w:numPr>
        <w:pStyle w:val="Compact"/>
      </w:pPr>
      <w:r>
        <w:t xml:space="preserve">OEM: comisión 15%</w:t>
      </w:r>
    </w:p>
    <w:p>
      <w:pPr>
        <w:numPr>
          <w:ilvl w:val="1"/>
          <w:numId w:val="1005"/>
        </w:numPr>
        <w:pStyle w:val="Compact"/>
      </w:pPr>
      <w:r>
        <w:t xml:space="preserve">Corporate Standard: 25%</w:t>
      </w:r>
    </w:p>
    <w:p>
      <w:pPr>
        <w:numPr>
          <w:ilvl w:val="1"/>
          <w:numId w:val="1005"/>
        </w:numPr>
        <w:pStyle w:val="Compact"/>
      </w:pPr>
      <w:r>
        <w:t xml:space="preserve">Corporate Enterprise: 30%</w:t>
      </w:r>
    </w:p>
    <w:p>
      <w:pPr>
        <w:numPr>
          <w:ilvl w:val="1"/>
          <w:numId w:val="1005"/>
        </w:numPr>
        <w:pStyle w:val="Compact"/>
      </w:pPr>
      <w:r>
        <w:t xml:space="preserve">Public sector: 20-25% según homologación</w:t>
      </w:r>
    </w:p>
    <w:p>
      <w:r>
        <w:pict>
          <v:rect style="width:0;height:1.5pt" o:hralign="center" o:hrstd="t" o:hr="t"/>
        </w:pict>
      </w:r>
    </w:p>
    <w:bookmarkEnd w:id="27"/>
    <w:bookmarkStart w:id="28" w:name="estrategia-comercial-resumida"/>
    <w:p>
      <w:pPr>
        <w:pStyle w:val="Heading2"/>
      </w:pPr>
      <w:r>
        <w:t xml:space="preserve">🚀 ESTRATEGIA COMERCIAL RESUMIDA</w:t>
      </w:r>
    </w:p>
    <w:p>
      <w:pPr>
        <w:numPr>
          <w:ilvl w:val="0"/>
          <w:numId w:val="1006"/>
        </w:numPr>
        <w:pStyle w:val="Compact"/>
      </w:pPr>
      <w:r>
        <w:rPr>
          <w:bCs/>
          <w:b/>
        </w:rPr>
        <w:t xml:space="preserve">Cloud Basic</w:t>
      </w:r>
      <w:r>
        <w:t xml:space="preserve"> </w:t>
      </w:r>
      <w:r>
        <w:t xml:space="preserve">→ Captar volumen (meta 200 clientes año 1). Upsell a Professional.</w:t>
      </w:r>
    </w:p>
    <w:p>
      <w:pPr>
        <w:numPr>
          <w:ilvl w:val="0"/>
          <w:numId w:val="1006"/>
        </w:numPr>
        <w:pStyle w:val="Compact"/>
      </w:pPr>
      <w:r>
        <w:rPr>
          <w:bCs/>
          <w:b/>
        </w:rPr>
        <w:t xml:space="preserve">Cloud Professional</w:t>
      </w:r>
      <w:r>
        <w:t xml:space="preserve"> </w:t>
      </w:r>
      <w:r>
        <w:t xml:space="preserve">→ Enfocado en agencias/consultoras mid-market (meta 120 clientes año 1).</w:t>
      </w:r>
    </w:p>
    <w:p>
      <w:pPr>
        <w:numPr>
          <w:ilvl w:val="0"/>
          <w:numId w:val="1006"/>
        </w:numPr>
        <w:pStyle w:val="Compact"/>
      </w:pPr>
      <w:r>
        <w:rPr>
          <w:bCs/>
          <w:b/>
        </w:rPr>
        <w:t xml:space="preserve">Cloud OEM</w:t>
      </w:r>
      <w:r>
        <w:t xml:space="preserve"> </w:t>
      </w:r>
      <w:r>
        <w:t xml:space="preserve">→ 20 partners SaaS en 12 meses (metas 800€/mes + variable).</w:t>
      </w:r>
    </w:p>
    <w:p>
      <w:pPr>
        <w:numPr>
          <w:ilvl w:val="0"/>
          <w:numId w:val="1006"/>
        </w:numPr>
        <w:pStyle w:val="Compact"/>
      </w:pPr>
      <w:r>
        <w:rPr>
          <w:bCs/>
          <w:b/>
        </w:rPr>
        <w:t xml:space="preserve">Corporate Self-host</w:t>
      </w:r>
      <w:r>
        <w:t xml:space="preserve"> </w:t>
      </w:r>
      <w:r>
        <w:t xml:space="preserve">→ 30 licencias Standard + 10 Enterprise vía partners (objetivo 1,44M€/año).</w:t>
      </w:r>
    </w:p>
    <w:p>
      <w:pPr>
        <w:numPr>
          <w:ilvl w:val="0"/>
          <w:numId w:val="1006"/>
        </w:numPr>
        <w:pStyle w:val="Compact"/>
      </w:pPr>
      <w:r>
        <w:rPr>
          <w:bCs/>
          <w:b/>
        </w:rPr>
        <w:t xml:space="preserve">Public Sector</w:t>
      </w:r>
      <w:r>
        <w:t xml:space="preserve"> </w:t>
      </w:r>
      <w:r>
        <w:t xml:space="preserve">→ 40 licencias Local + 10 Regional + 3 National (objetivo 1,32M€/año).</w:t>
      </w:r>
    </w:p>
    <w:p>
      <w:r>
        <w:pict>
          <v:rect style="width:0;height:1.5pt" o:hralign="center" o:hrstd="t" o:hr="t"/>
        </w:pict>
      </w:r>
    </w:p>
    <w:p>
      <w:pPr>
        <w:pStyle w:val="FirstParagraph"/>
      </w:pPr>
      <w:r>
        <w:rPr>
          <w:bCs/>
          <w:b/>
        </w:rPr>
        <w:t xml:space="preserve">Documento preparado por:</w:t>
      </w:r>
      <w:r>
        <w:t xml:space="preserve"> </w:t>
      </w:r>
      <w:r>
        <w:t xml:space="preserve">Equipo Strategy &amp; Pricing</w:t>
      </w:r>
      <w:r>
        <w:br/>
      </w:r>
      <w:r>
        <w:rPr>
          <w:bCs/>
          <w:b/>
        </w:rPr>
        <w:t xml:space="preserve">Revisado por:</w:t>
      </w:r>
      <w:r>
        <w:t xml:space="preserve"> </w:t>
      </w:r>
      <w:r>
        <w:t xml:space="preserve">Dirección Comercial</w:t>
      </w:r>
      <w:r>
        <w:br/>
      </w:r>
      <w:r>
        <w:rPr>
          <w:bCs/>
          <w:b/>
        </w:rPr>
        <w:t xml:space="preserve">Última actualización:</w:t>
      </w:r>
      <w:r>
        <w:t xml:space="preserve"> </w:t>
      </w:r>
      <w:r>
        <w:t xml:space="preserve">Noviembre 2025</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2025-11-07T09:01:30Z</dcterms:created>
  <dcterms:modified xsi:type="dcterms:W3CDTF">2025-11-07T09:01:30Z</dcterms:modified>
</cp:coreProperties>
</file>

<file path=docProps/custom.xml><?xml version="1.0" encoding="utf-8"?>
<Properties xmlns="http://schemas.openxmlformats.org/officeDocument/2006/custom-properties" xmlns:vt="http://schemas.openxmlformats.org/officeDocument/2006/docPropsVTypes"/>
</file>