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X3585acc487f11d1c8e41d12a8c21bd71c78b05c"/>
    <w:p>
      <w:pPr>
        <w:pStyle w:val="Heading1"/>
      </w:pPr>
      <w:r>
        <w:t xml:space="preserve">RESPUESTAS TÉCNICAS - EXPERTO GOBIERNO DE DATOS</w:t>
      </w:r>
    </w:p>
    <w:bookmarkStart w:id="20" w:name="Xbefbccb53848e771600fe8f49da70994ff21b7b"/>
    <w:p>
      <w:pPr>
        <w:pStyle w:val="Heading2"/>
      </w:pPr>
      <w:r>
        <w:t xml:space="preserve">CodeflowX - Análisis Gobierno Datos y GDPR Compliance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Para:</w:t>
      </w:r>
      <w:r>
        <w:t xml:space="preserve"> </w:t>
      </w:r>
      <w:r>
        <w:t xml:space="preserve">Experto Gobierno de Datos</w:t>
      </w:r>
      <w:r>
        <w:br/>
      </w:r>
      <w:r>
        <w:rPr>
          <w:bCs/>
          <w:b/>
        </w:rPr>
        <w:t xml:space="preserve">De:</w:t>
      </w:r>
      <w:r>
        <w:t xml:space="preserve"> </w:t>
      </w:r>
      <w:r>
        <w:t xml:space="preserve">CodeflowX Team - Manuel González, CTO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2"/>
      </w:pPr>
      <w:r>
        <w:t xml:space="preserve">🎯 RESUMEN EJECUTIVO</w:t>
      </w:r>
    </w:p>
    <w:p>
      <w:pPr>
        <w:pStyle w:val="FirstParagraph"/>
      </w:pPr>
      <w:r>
        <w:t xml:space="preserve">Agradecemos las preguntas técnicas detalladas. A continuación respondemos con total transparencia sobre nuestra arquitectura de gobierno de datos, implementación GDPR y EU AI Act.</w:t>
      </w:r>
    </w:p>
    <w:p>
      <w:pPr>
        <w:pStyle w:val="BodyText"/>
      </w:pPr>
      <w:r>
        <w:rPr>
          <w:bCs/>
          <w:b/>
        </w:rPr>
        <w:t xml:space="preserve">Enfoque:</w:t>
      </w:r>
      <w:r>
        <w:t xml:space="preserve"> </w:t>
      </w:r>
      <w:r>
        <w:t xml:space="preserve">Respuestas honestas basadas en implementación real, reconociendo gaps donde existen.</w:t>
      </w:r>
    </w:p>
    <w:p>
      <w:r>
        <w:pict>
          <v:rect style="width:0;height:1.5pt" o:hralign="center" o:hrstd="t" o:hr="t"/>
        </w:pict>
      </w:r>
    </w:p>
    <w:bookmarkEnd w:id="21"/>
    <w:bookmarkStart w:id="25" w:name="Xe451239c9575417c1480e579ae07483578e0957"/>
    <w:p>
      <w:pPr>
        <w:pStyle w:val="Heading2"/>
      </w:pPr>
      <w:r>
        <w:t xml:space="preserve">📊 RESPUESTA 1: DATA-IN-PERIMETER Y CONECTIVIDAD EXTERNA</w:t>
      </w:r>
    </w:p>
    <w:bookmarkStart w:id="22" w:name="cómo-garantizamos-data-in-perimeter"/>
    <w:p>
      <w:pPr>
        <w:pStyle w:val="Heading3"/>
      </w:pPr>
      <w:r>
        <w:rPr>
          <w:bCs/>
          <w:b/>
        </w:rPr>
        <w:t xml:space="preserve">¿Cómo garantizamos data-in-perimeter?</w:t>
      </w:r>
    </w:p>
    <w:p>
      <w:pPr>
        <w:pStyle w:val="FirstParagraph"/>
      </w:pPr>
      <w:r>
        <w:rPr>
          <w:bCs/>
          <w:b/>
        </w:rPr>
        <w:t xml:space="preserve">Arquitectura self-hosted: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Componentes 100% on-premise (sin salida datos):</w:t>
      </w:r>
      <w:r>
        <w:t xml:space="preserve"> </w:t>
      </w:r>
      <w:r>
        <w:t xml:space="preserve">- Backend Spring Boot (Govern Platform)</w:t>
      </w:r>
      <w:r>
        <w:t xml:space="preserve"> </w:t>
      </w:r>
      <w:r>
        <w:t xml:space="preserve">- PostgreSQL (base datos relacional)</w:t>
      </w:r>
      <w:r>
        <w:t xml:space="preserve"> </w:t>
      </w:r>
      <w:r>
        <w:t xml:space="preserve">- Qdrant (base datos vectorial)</w:t>
      </w:r>
      <w:r>
        <w:t xml:space="preserve"> </w:t>
      </w:r>
      <w:r>
        <w:t xml:space="preserve">- OpenSearch (logs y búsqueda)</w:t>
      </w:r>
      <w:r>
        <w:t xml:space="preserve"> </w:t>
      </w:r>
      <w:r>
        <w:t xml:space="preserve">- Prometheus/Grafana (métricas)</w:t>
      </w:r>
      <w:r>
        <w:t xml:space="preserve"> </w:t>
      </w:r>
      <w:r>
        <w:t xml:space="preserve">- RabbitMQ/Kafka (mensajería)</w:t>
      </w:r>
      <w:r>
        <w:t xml:space="preserve"> </w:t>
      </w:r>
      <w:r>
        <w:t xml:space="preserve">- 20+ microservicios Python evaluación</w:t>
      </w:r>
    </w:p>
    <w:p>
      <w:pPr>
        <w:pStyle w:val="BodyText"/>
      </w:pPr>
      <w:r>
        <w:rPr>
          <w:bCs/>
          <w:b/>
        </w:rPr>
        <w:t xml:space="preserve">Todos los datos sensibles (modelos, prompts, evaluaciones, logs, compliance) permanecen dentro del perímetro cliente.</w:t>
      </w:r>
    </w:p>
    <w:p>
      <w:r>
        <w:pict>
          <v:rect style="width:0;height:1.5pt" o:hralign="center" o:hrstd="t" o:hr="t"/>
        </w:pict>
      </w:r>
    </w:p>
    <w:bookmarkEnd w:id="22"/>
    <w:bookmarkStart w:id="23" w:name="Xdbb13cf95a2daf07a988ef3ebb527c0a4d394c3"/>
    <w:p>
      <w:pPr>
        <w:pStyle w:val="Heading3"/>
      </w:pPr>
      <w:r>
        <w:rPr>
          <w:bCs/>
          <w:b/>
        </w:rPr>
        <w:t xml:space="preserve">Componentes que SÍ requieren conectividad externa (opcional):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LLM Providers externos (si cliente los usa):</w:t>
      </w:r>
      <w:r>
        <w:t xml:space="preserve"> </w:t>
      </w:r>
      <w:r>
        <w:t xml:space="preserve">- OpenAI API (GPT-4, GPT-3.5)</w:t>
      </w:r>
      <w:r>
        <w:t xml:space="preserve"> </w:t>
      </w:r>
      <w:r>
        <w:t xml:space="preserve">- Anthropic API (Claude 3.5)</w:t>
      </w:r>
      <w:r>
        <w:t xml:space="preserve"> </w:t>
      </w:r>
      <w:r>
        <w:t xml:space="preserve">- Azure OpenAI</w:t>
      </w:r>
      <w:r>
        <w:t xml:space="preserve"> </w:t>
      </w:r>
      <w:r>
        <w:t xml:space="preserve">- Google Vertex AI</w:t>
      </w:r>
      <w:r>
        <w:t xml:space="preserve"> </w:t>
      </w:r>
      <w:r>
        <w:t xml:space="preserve">- AWS Bedrock</w:t>
      </w:r>
    </w:p>
    <w:p>
      <w:pPr>
        <w:pStyle w:val="BodyText"/>
      </w:pPr>
      <w:r>
        <w:rPr>
          <w:bCs/>
          <w:b/>
        </w:rPr>
        <w:t xml:space="preserve">Flujo datos:</w:t>
      </w:r>
    </w:p>
    <w:p>
      <w:pPr>
        <w:pStyle w:val="SourceCode"/>
      </w:pPr>
      <w:r>
        <w:rPr>
          <w:rStyle w:val="VerbatimChar"/>
        </w:rPr>
        <w:t xml:space="preserve">Cliente Self-Hosted → API Externa LLM → Respuesta → Cliente Self-Hosted</w:t>
      </w:r>
      <w:r>
        <w:br/>
      </w:r>
      <w:r>
        <w:rPr>
          <w:rStyle w:val="VerbatimChar"/>
        </w:rPr>
        <w:t xml:space="preserve">                      (solo prompts)        (solo text)</w:t>
      </w:r>
    </w:p>
    <w:p>
      <w:pPr>
        <w:pStyle w:val="FirstParagraph"/>
      </w:pPr>
      <w:r>
        <w:rPr>
          <w:bCs/>
          <w:b/>
        </w:rPr>
        <w:t xml:space="preserve">Datos enviados:</w:t>
      </w:r>
      <w:r>
        <w:t xml:space="preserve"> </w:t>
      </w:r>
      <w:r>
        <w:t xml:space="preserve">Solo prompts de evaluación (NO metadatos sensibles, NO datos compliance)</w:t>
      </w:r>
      <w:r>
        <w:br/>
      </w:r>
      <w:r>
        <w:rPr>
          <w:bCs/>
          <w:b/>
        </w:rPr>
        <w:t xml:space="preserve">Datos recibidos:</w:t>
      </w:r>
      <w:r>
        <w:t xml:space="preserve"> </w:t>
      </w:r>
      <w:r>
        <w:t xml:space="preserve">Solo respuestas texto modelo</w:t>
      </w:r>
    </w:p>
    <w:p>
      <w:pPr>
        <w:pStyle w:val="BodyText"/>
      </w:pPr>
      <w:r>
        <w:rPr>
          <w:bCs/>
          <w:b/>
        </w:rPr>
        <w:t xml:space="preserve">Mitigación:</w:t>
      </w:r>
      <w:r>
        <w:t xml:space="preserve"> </w:t>
      </w:r>
      <w:r>
        <w:t xml:space="preserve">- ✅ Cliente puede usar</w:t>
      </w:r>
      <w:r>
        <w:t xml:space="preserve"> </w:t>
      </w:r>
      <w:r>
        <w:rPr>
          <w:bCs/>
          <w:b/>
        </w:rPr>
        <w:t xml:space="preserve">modelos on-premise</w:t>
      </w:r>
      <w:r>
        <w:t xml:space="preserve"> </w:t>
      </w:r>
      <w:r>
        <w:t xml:space="preserve">(Llama, Mistral self-hosted)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Proxy interno</w:t>
      </w:r>
      <w:r>
        <w:t xml:space="preserve"> </w:t>
      </w:r>
      <w:r>
        <w:t xml:space="preserve">opcional para LLMs externos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Azure OpenAI en región UE</w:t>
      </w:r>
      <w:r>
        <w:t xml:space="preserve"> </w:t>
      </w:r>
      <w:r>
        <w:t xml:space="preserve">para clientes que requieren DPA Microsoft</w:t>
      </w:r>
      <w:r>
        <w:t xml:space="preserve"> </w:t>
      </w:r>
      <w:r>
        <w:t xml:space="preserve">- ✅ Configuración granular: Cliente decide qué modelos usar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Conectividad externa OPCIONAL (instalación/actualización):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Instaladores Docker:</w:t>
      </w:r>
      <w:r>
        <w:t xml:space="preserve"> </w:t>
      </w:r>
      <w:r>
        <w:t xml:space="preserve">Descarga imágenes desde registry CodeflowX (solo instalación inicial)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Actualizaciones:</w:t>
      </w:r>
      <w:r>
        <w:t xml:space="preserve"> </w:t>
      </w:r>
      <w:r>
        <w:t xml:space="preserve">Pull imágenes nuevas versiones (planificado, no automático)</w:t>
      </w:r>
    </w:p>
    <w:p>
      <w:pPr>
        <w:pStyle w:val="BodyText"/>
      </w:pPr>
      <w:r>
        <w:rPr>
          <w:bCs/>
          <w:b/>
        </w:rPr>
        <w:t xml:space="preserve">Solución air-gapped: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Opción disponible:</w:t>
      </w:r>
      <w:r>
        <w:t xml:space="preserve"> </w:t>
      </w:r>
      <w:r>
        <w:t xml:space="preserve">Entrega imágenes Docker en USB/disco para ambientes desconectados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Registro privado:</w:t>
      </w:r>
      <w:r>
        <w:t xml:space="preserve"> </w:t>
      </w:r>
      <w:r>
        <w:t xml:space="preserve">Cliente puede hospedar propio registry Docker interno</w:t>
      </w:r>
    </w:p>
    <w:p>
      <w:r>
        <w:pict>
          <v:rect style="width:0;height:1.5pt" o:hralign="center" o:hrstd="t" o:hr="t"/>
        </w:pict>
      </w:r>
    </w:p>
    <w:bookmarkEnd w:id="23"/>
    <w:bookmarkStart w:id="24" w:name="garantía-data-in-perimeter"/>
    <w:p>
      <w:pPr>
        <w:pStyle w:val="Heading3"/>
      </w:pPr>
      <w:r>
        <w:rPr>
          <w:bCs/>
          <w:b/>
        </w:rPr>
        <w:t xml:space="preserve">Garantía data-in-perimeter:</w:t>
      </w:r>
    </w:p>
    <w:p>
      <w:pPr>
        <w:pStyle w:val="FirstParagraph"/>
      </w:pPr>
      <w:r>
        <w:rPr>
          <w:bCs/>
          <w:b/>
        </w:rPr>
        <w:t xml:space="preserve">✅ SÍ garantizado para:</w:t>
      </w:r>
      <w:r>
        <w:t xml:space="preserve"> </w:t>
      </w:r>
      <w:r>
        <w:t xml:space="preserve">- Datos compliance (FRIA, QMS, Risk Assessments)</w:t>
      </w:r>
      <w:r>
        <w:t xml:space="preserve"> </w:t>
      </w:r>
      <w:r>
        <w:t xml:space="preserve">- Logs inmutables (Art. 19)</w:t>
      </w:r>
      <w:r>
        <w:t xml:space="preserve"> </w:t>
      </w:r>
      <w:r>
        <w:t xml:space="preserve">- Metadatos modelos y proyectos</w:t>
      </w:r>
      <w:r>
        <w:t xml:space="preserve"> </w:t>
      </w:r>
      <w:r>
        <w:t xml:space="preserve">- Evaluaciones y métricas</w:t>
      </w:r>
      <w:r>
        <w:t xml:space="preserve"> </w:t>
      </w:r>
      <w:r>
        <w:t xml:space="preserve">- Datos entrenamiento y datasets</w:t>
      </w:r>
    </w:p>
    <w:p>
      <w:pPr>
        <w:pStyle w:val="BodyText"/>
      </w:pPr>
      <w:r>
        <w:rPr>
          <w:bCs/>
          <w:b/>
        </w:rPr>
        <w:t xml:space="preserve">⚠️ Depende configuración cliente:</w:t>
      </w:r>
      <w:r>
        <w:t xml:space="preserve"> </w:t>
      </w:r>
      <w:r>
        <w:t xml:space="preserve">- Si usa LLMs externos → Prompts salen (controlado por cliente)</w:t>
      </w:r>
      <w:r>
        <w:t xml:space="preserve"> </w:t>
      </w:r>
      <w:r>
        <w:t xml:space="preserve">- Si usa modelos on-premise → 100% data-in-perimeter</w:t>
      </w:r>
    </w:p>
    <w:p>
      <w:pPr>
        <w:pStyle w:val="BodyText"/>
      </w:pPr>
      <w:r>
        <w:rPr>
          <w:bCs/>
          <w:b/>
        </w:rPr>
        <w:t xml:space="preserve">Recomendación sectores críticos (banca, salud, público):</w:t>
      </w:r>
      <w:r>
        <w:t xml:space="preserve"> </w:t>
      </w:r>
      <w:r>
        <w:t xml:space="preserve">- Usar modelos on-premise (Llama, Mistral self-hosted)</w:t>
      </w:r>
      <w:r>
        <w:t xml:space="preserve"> </w:t>
      </w:r>
      <w:r>
        <w:t xml:space="preserve">- O Azure OpenAI región UE con DPA Microsoft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espuesta-2-dpia-y-datos-de-prueba"/>
    <w:p>
      <w:pPr>
        <w:pStyle w:val="Heading2"/>
      </w:pPr>
      <w:r>
        <w:t xml:space="preserve">📊 RESPUESTA 2: DPIA Y DATOS DE PRUEBA</w:t>
      </w:r>
    </w:p>
    <w:bookmarkStart w:id="26" w:name="Xc544e765059b295f4f7e948af8315d04caa08d5"/>
    <w:p>
      <w:pPr>
        <w:pStyle w:val="Heading3"/>
      </w:pPr>
      <w:r>
        <w:rPr>
          <w:bCs/>
          <w:b/>
        </w:rPr>
        <w:t xml:space="preserve">¿Realizamos DPIA sobre datos procesados en evaluaciones?</w:t>
      </w:r>
    </w:p>
    <w:p>
      <w:pPr>
        <w:pStyle w:val="FirstParagraph"/>
      </w:pPr>
      <w:r>
        <w:rPr>
          <w:bCs/>
          <w:b/>
        </w:rPr>
        <w:t xml:space="preserve">Respuesta: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SÍ, implementado</w:t>
      </w:r>
    </w:p>
    <w:p>
      <w:pPr>
        <w:pStyle w:val="BodyText"/>
      </w:pPr>
      <w:r>
        <w:rPr>
          <w:bCs/>
          <w:b/>
        </w:rPr>
        <w:t xml:space="preserve">Implementación:</w:t>
      </w:r>
      <w:r>
        <w:t xml:space="preserve"> </w:t>
      </w:r>
      <w:r>
        <w:t xml:space="preserve">DPIA integrada en proceso FRIA según Art. 27.4 AI Act</w:t>
      </w:r>
    </w:p>
    <w:p>
      <w:pPr>
        <w:pStyle w:val="BodyText"/>
      </w:pPr>
      <w:r>
        <w:rPr>
          <w:bCs/>
          <w:b/>
        </w:rPr>
        <w:t xml:space="preserve">Art. 27.4 AI Act: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La evaluación de impacto podrá integrarse en una evaluación de impacto relativa a la protección de datos contemplada en el artículo 35 del RGPD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Entidad:</w:t>
      </w:r>
      <w:r>
        <w:t xml:space="preserve"> </w:t>
      </w:r>
      <w:r>
        <w:rPr>
          <w:rStyle w:val="VerbatimChar"/>
        </w:rPr>
        <w:t xml:space="preserve">FriaAssessment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FRIAFUNDAMENTALRIGHTSASSESSMENTS</w:t>
      </w:r>
      <w:r>
        <w:t xml:space="preserve">)</w:t>
      </w:r>
      <w:r>
        <w:br/>
      </w:r>
      <w:r>
        <w:rPr>
          <w:bCs/>
          <w:b/>
        </w:rPr>
        <w:t xml:space="preserve">Campos DPIA incluidos:</w:t>
      </w:r>
      <w:r>
        <w:t xml:space="preserve"> </w:t>
      </w:r>
      <w:r>
        <w:t xml:space="preserve">- Descripción tratamiento datos (Art. 35.7.a GDPR)</w:t>
      </w:r>
      <w:r>
        <w:t xml:space="preserve"> </w:t>
      </w:r>
      <w:r>
        <w:t xml:space="preserve">- Evaluación necesidad y proporcionalidad (Art. 35.7.b)</w:t>
      </w:r>
      <w:r>
        <w:t xml:space="preserve"> </w:t>
      </w:r>
      <w:r>
        <w:t xml:space="preserve">- Riesgos derechos y libertades (Art. 35.7.c)</w:t>
      </w:r>
      <w:r>
        <w:t xml:space="preserve"> </w:t>
      </w:r>
      <w:r>
        <w:t xml:space="preserve">- Medidas mitigación (Art. 35.7.d)</w:t>
      </w:r>
      <w:r>
        <w:t xml:space="preserve"> </w:t>
      </w:r>
      <w:r>
        <w:t xml:space="preserve">- Aprobación DPO si aplica (Art. 35.2)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rPr>
          <w:rStyle w:val="VerbatimChar"/>
        </w:rPr>
        <w:t xml:space="preserve">fria_assessment_process</w:t>
      </w:r>
      <w:r>
        <w:t xml:space="preserve"> </w:t>
      </w:r>
      <w:r>
        <w:t xml:space="preserve">(cubre FRIA + DPIA integrado)</w:t>
      </w:r>
    </w:p>
    <w:p>
      <w:pPr>
        <w:pStyle w:val="BodyText"/>
      </w:pPr>
      <w:r>
        <w:rPr>
          <w:bCs/>
          <w:b/>
        </w:rPr>
        <w:t xml:space="preserve">Campos DPIA:</w:t>
      </w:r>
      <w:r>
        <w:t xml:space="preserve"> </w:t>
      </w:r>
      <w:r>
        <w:t xml:space="preserve">- Descripción tratamiento datos</w:t>
      </w:r>
      <w:r>
        <w:t xml:space="preserve"> </w:t>
      </w:r>
      <w:r>
        <w:t xml:space="preserve">- Necesidad y proporcionalidad</w:t>
      </w:r>
      <w:r>
        <w:t xml:space="preserve"> </w:t>
      </w:r>
      <w:r>
        <w:t xml:space="preserve">- Riesgos derechos y libertades</w:t>
      </w:r>
      <w:r>
        <w:t xml:space="preserve"> </w:t>
      </w:r>
      <w:r>
        <w:t xml:space="preserve">- Medidas mitigación</w:t>
      </w:r>
      <w:r>
        <w:t xml:space="preserve"> </w:t>
      </w:r>
      <w:r>
        <w:t xml:space="preserve">- Aprobación DPO (si aplica)</w:t>
      </w:r>
    </w:p>
    <w:p>
      <w:r>
        <w:pict>
          <v:rect style="width:0;height:1.5pt" o:hralign="center" o:hrstd="t" o:hr="t"/>
        </w:pict>
      </w:r>
    </w:p>
    <w:bookmarkEnd w:id="26"/>
    <w:bookmarkStart w:id="27" w:name="X475acd9d1de30ebd197166af59402d3dd322deb"/>
    <w:p>
      <w:pPr>
        <w:pStyle w:val="Heading3"/>
      </w:pPr>
      <w:r>
        <w:rPr>
          <w:bCs/>
          <w:b/>
        </w:rPr>
        <w:t xml:space="preserve">¿Qué datos prueba usamos y cómo pseudonimizamos?</w:t>
      </w:r>
    </w:p>
    <w:p>
      <w:pPr>
        <w:pStyle w:val="FirstParagraph"/>
      </w:pPr>
      <w:r>
        <w:rPr>
          <w:bCs/>
          <w:b/>
        </w:rPr>
        <w:t xml:space="preserve">Datasets públicos pre-configurados (NO datos reales):</w:t>
      </w:r>
      <w:r>
        <w:t xml:space="preserve"> </w:t>
      </w:r>
      <w:r>
        <w:t xml:space="preserve">- HumanEval (164 problemas Python) - Sin PII</w:t>
      </w:r>
      <w:r>
        <w:t xml:space="preserve"> </w:t>
      </w:r>
      <w:r>
        <w:t xml:space="preserve">- MS MARCO (8,841 passage ranking) - Datos públicos</w:t>
      </w:r>
      <w:r>
        <w:t xml:space="preserve"> </w:t>
      </w:r>
      <w:r>
        <w:t xml:space="preserve">- SQuAD (10,570 Q&amp;A pairs) - Wikipedia pública</w:t>
      </w:r>
      <w:r>
        <w:t xml:space="preserve"> </w:t>
      </w:r>
      <w:r>
        <w:t xml:space="preserve">- CNN/DailyMail (11,490 summarization) - News públicas</w:t>
      </w:r>
      <w:r>
        <w:t xml:space="preserve"> </w:t>
      </w:r>
      <w:r>
        <w:t xml:space="preserve">- TriviaQA (87,622 trivia) - Sin PII</w:t>
      </w:r>
      <w:r>
        <w:t xml:space="preserve"> </w:t>
      </w:r>
      <w:r>
        <w:t xml:space="preserve">- StereoSet (17,000 bias detection) - Datos sintéticos</w:t>
      </w:r>
    </w:p>
    <w:p>
      <w:pPr>
        <w:pStyle w:val="BodyText"/>
      </w:pPr>
      <w:r>
        <w:rPr>
          <w:bCs/>
          <w:b/>
        </w:rPr>
        <w:t xml:space="preserve">Datasets cliente (datos reales):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Análisis PII automático (Microsoft Presidio):</w:t>
      </w:r>
      <w:r>
        <w:t xml:space="preserve"> </w:t>
      </w:r>
      <w:r>
        <w:t xml:space="preserve">- Detección automática: Email, teléfono, DNI, tarjetas crédito, direcciones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50+ tipos PII</w:t>
      </w:r>
      <w:r>
        <w:t xml:space="preserve"> </w:t>
      </w:r>
      <w:r>
        <w:t xml:space="preserve">detectados</w:t>
      </w:r>
      <w:r>
        <w:t xml:space="preserve"> </w:t>
      </w:r>
      <w:r>
        <w:t xml:space="preserve">- Score riesgo PII (LOW/MEDIUM/HIGH/CRITICAL)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Pseudonimización/Anonimización implementada:</w:t>
      </w:r>
    </w:p>
    <w:p>
      <w:pPr>
        <w:pStyle w:val="BodyText"/>
      </w:pPr>
      <w:r>
        <w:rPr>
          <w:bCs/>
          <w:b/>
        </w:rPr>
        <w:t xml:space="preserve">Técnicas disponibles: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k-anonymity</w:t>
      </w:r>
      <w:r>
        <w:t xml:space="preserve"> </w:t>
      </w:r>
      <w:r>
        <w:t xml:space="preserve">(k=2,5,10 configurable)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l-diversity</w:t>
      </w:r>
      <w:r>
        <w:t xml:space="preserve"> </w:t>
      </w:r>
      <w:r>
        <w:t xml:space="preserve">(diversidad atributos sensibles)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t-closeness</w:t>
      </w:r>
      <w:r>
        <w:t xml:space="preserve"> </w:t>
      </w:r>
      <w:r>
        <w:t xml:space="preserve">(distribución preservada)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Masking</w:t>
      </w:r>
      <w:r>
        <w:t xml:space="preserve"> </w:t>
      </w:r>
      <w:r>
        <w:t xml:space="preserve">(reemplazo tokens)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Hashing</w:t>
      </w:r>
      <w:r>
        <w:t xml:space="preserve"> </w:t>
      </w:r>
      <w:r>
        <w:t xml:space="preserve">(SHA-256 irreversible)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Generalization</w:t>
      </w:r>
      <w:r>
        <w:t xml:space="preserve"> </w:t>
      </w:r>
      <w:r>
        <w:t xml:space="preserve">(agregación valores)</w:t>
      </w:r>
    </w:p>
    <w:p>
      <w:pPr>
        <w:pStyle w:val="BodyText"/>
      </w:pP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leka-bias-detection-service</w:t>
      </w:r>
      <w:r>
        <w:br/>
      </w:r>
      <w:r>
        <w:rPr>
          <w:bCs/>
          <w:b/>
        </w:rPr>
        <w:t xml:space="preserve">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/api/privacy/analyze</w:t>
      </w:r>
      <w:r>
        <w:t xml:space="preserve"> </w:t>
      </w:r>
      <w:r>
        <w:t xml:space="preserve">- Análisis k-anonymity, l-diversity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/api/privacy/detect-pii</w:t>
      </w:r>
      <w:r>
        <w:t xml:space="preserve"> </w:t>
      </w:r>
      <w:r>
        <w:t xml:space="preserve">- Detección PII con Presidio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/api/privacy/anonymize</w:t>
      </w:r>
      <w:r>
        <w:t xml:space="preserve"> </w:t>
      </w:r>
      <w:r>
        <w:t xml:space="preserve">- Anonimización datos</w:t>
      </w:r>
    </w:p>
    <w:p>
      <w:pPr>
        <w:pStyle w:val="BodyText"/>
      </w:pPr>
      <w:r>
        <w:rPr>
          <w:bCs/>
          <w:b/>
        </w:rPr>
        <w:t xml:space="preserve">Flujo evaluación con datos cliente:</w:t>
      </w:r>
    </w:p>
    <w:p>
      <w:pPr>
        <w:pStyle w:val="SourceCode"/>
      </w:pPr>
      <w:r>
        <w:rPr>
          <w:rStyle w:val="VerbatimChar"/>
        </w:rPr>
        <w:t xml:space="preserve">1. Cliente carga dataset</w:t>
      </w:r>
      <w:r>
        <w:br/>
      </w:r>
      <w:r>
        <w:rPr>
          <w:rStyle w:val="VerbatimChar"/>
        </w:rPr>
        <w:t xml:space="preserve">2. Análisis PII automático (Presidio)</w:t>
      </w:r>
      <w:r>
        <w:br/>
      </w:r>
      <w:r>
        <w:rPr>
          <w:rStyle w:val="VerbatimChar"/>
        </w:rPr>
        <w:t xml:space="preserve">3. Si PII detected → Alerta usuario</w:t>
      </w:r>
      <w:r>
        <w:br/>
      </w:r>
      <w:r>
        <w:rPr>
          <w:rStyle w:val="VerbatimChar"/>
        </w:rPr>
        <w:t xml:space="preserve">4. Usuario decide: Anonimizar / Masking / Pseudonimizar</w:t>
      </w:r>
      <w:r>
        <w:br/>
      </w:r>
      <w:r>
        <w:rPr>
          <w:rStyle w:val="VerbatimChar"/>
        </w:rPr>
        <w:t xml:space="preserve">5. Evaluación sobre datos procesados</w:t>
      </w:r>
      <w:r>
        <w:br/>
      </w:r>
      <w:r>
        <w:rPr>
          <w:rStyle w:val="VerbatimChar"/>
        </w:rPr>
        <w:t xml:space="preserve">6. Resultados NO contienen PII original</w:t>
      </w:r>
      <w:r>
        <w:br/>
      </w:r>
      <w:r>
        <w:rPr>
          <w:rStyle w:val="VerbatimChar"/>
        </w:rPr>
        <w:t xml:space="preserve">7. Logs almacenan datos anonimizados</w:t>
      </w:r>
    </w:p>
    <w:p>
      <w:pPr>
        <w:pStyle w:val="FirstParagraph"/>
      </w:pPr>
      <w:r>
        <w:rPr>
          <w:bCs/>
          <w:b/>
        </w:rPr>
        <w:t xml:space="preserve">DPIA específica evaluaciones:</w:t>
      </w:r>
      <w:r>
        <w:t xml:space="preserve"> </w:t>
      </w:r>
      <w:r>
        <w:t xml:space="preserve">- ✅ Análisis previo riesgo PII en dataset</w:t>
      </w:r>
      <w:r>
        <w:t xml:space="preserve"> </w:t>
      </w:r>
      <w:r>
        <w:t xml:space="preserve">- ✅ Justificación necesidad datos específicos</w:t>
      </w:r>
      <w:r>
        <w:t xml:space="preserve"> </w:t>
      </w:r>
      <w:r>
        <w:t xml:space="preserve">- ✅ Medidas técnicas (k-anonymity, masking)</w:t>
      </w:r>
      <w:r>
        <w:t xml:space="preserve"> </w:t>
      </w:r>
      <w:r>
        <w:t xml:space="preserve">- ✅ Retención limitada (datasets eliminados post-evaluación)</w:t>
      </w:r>
      <w:r>
        <w:t xml:space="preserve"> </w:t>
      </w:r>
      <w:r>
        <w:t xml:space="preserve">- ✅ Acceso restringido (RBAC)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46cc5418eddf8b397fcb79a888b1328c712219a"/>
    <w:p>
      <w:pPr>
        <w:pStyle w:val="Heading2"/>
      </w:pPr>
      <w:r>
        <w:t xml:space="preserve">📊 RESPUESTA 3: TRANSFERENCIAS INTERNACIONALES</w:t>
      </w:r>
    </w:p>
    <w:bookmarkStart w:id="32" w:name="X8a1f978747a747e0d29218505a024e0d5fecc22"/>
    <w:p>
      <w:pPr>
        <w:pStyle w:val="Heading3"/>
      </w:pPr>
      <w:r>
        <w:rPr>
          <w:bCs/>
          <w:b/>
        </w:rPr>
        <w:t xml:space="preserve">¿Cómo gestionamos transferencias fuera EEE con OpenAI/Anthropic?</w:t>
      </w:r>
    </w:p>
    <w:p>
      <w:pPr>
        <w:pStyle w:val="FirstParagraph"/>
      </w:pPr>
      <w:r>
        <w:rPr>
          <w:bCs/>
          <w:b/>
        </w:rPr>
        <w:t xml:space="preserve">Respuesta honesta: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Depende configuración cliente y modelo DPA</w:t>
      </w:r>
    </w:p>
    <w:p>
      <w:pPr>
        <w:pStyle w:val="BodyText"/>
      </w:pPr>
      <w:r>
        <w:rPr>
          <w:bCs/>
          <w:b/>
        </w:rPr>
        <w:t xml:space="preserve">Escenarios:</w:t>
      </w:r>
    </w:p>
    <w:bookmarkStart w:id="29" w:name="X39b4e6509e6ba63688f77f2792d76fc5a4af6f9"/>
    <w:p>
      <w:pPr>
        <w:pStyle w:val="Heading4"/>
      </w:pPr>
      <w:r>
        <w:rPr>
          <w:bCs/>
          <w:b/>
        </w:rPr>
        <w:t xml:space="preserve">A. Cliente usa modelos on-premise (Llama, Mistral):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 hay transferencia internacional</w:t>
      </w:r>
      <w:r>
        <w:t xml:space="preserve"> </w:t>
      </w:r>
      <w:r>
        <w:t xml:space="preserve">- Datos permanecen 100% en infraestructura cliente (UE/EEE)</w:t>
      </w:r>
      <w:r>
        <w:t xml:space="preserve"> </w:t>
      </w:r>
      <w:r>
        <w:t xml:space="preserve">- Compliance GDPR garantizado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Recomendado para:</w:t>
      </w:r>
      <w:r>
        <w:t xml:space="preserve"> </w:t>
      </w:r>
      <w:r>
        <w:t xml:space="preserve">Sectores críticos (banca, salud, público)</w:t>
      </w:r>
    </w:p>
    <w:bookmarkEnd w:id="29"/>
    <w:bookmarkStart w:id="30" w:name="b.-cliente-usa-openai-api-usa"/>
    <w:p>
      <w:pPr>
        <w:pStyle w:val="Heading4"/>
      </w:pPr>
      <w:r>
        <w:rPr>
          <w:bCs/>
          <w:b/>
        </w:rPr>
        <w:t xml:space="preserve">B. Cliente usa OpenAI API (USA):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SÍ hay transferencia internacional → Requiere salvaguardas Art. 46 GDPR</w:t>
      </w:r>
    </w:p>
    <w:p>
      <w:pPr>
        <w:pStyle w:val="BodyText"/>
      </w:pPr>
      <w:r>
        <w:rPr>
          <w:bCs/>
          <w:b/>
        </w:rPr>
        <w:t xml:space="preserve">Opciones implementadas:</w:t>
      </w:r>
    </w:p>
    <w:p>
      <w:pPr>
        <w:pStyle w:val="BodyText"/>
      </w:pPr>
      <w:r>
        <w:rPr>
          <w:bCs/>
          <w:b/>
        </w:rPr>
        <w:t xml:space="preserve">Opción 1 - DPA OpenAI (Standard Contractual Clauses):</w:t>
      </w:r>
      <w:r>
        <w:t xml:space="preserve"> </w:t>
      </w:r>
      <w:r>
        <w:t xml:space="preserve">- OpenAI tiene DPA basado en</w:t>
      </w:r>
      <w:r>
        <w:t xml:space="preserve"> </w:t>
      </w:r>
      <w:r>
        <w:rPr>
          <w:bCs/>
          <w:b/>
        </w:rPr>
        <w:t xml:space="preserve">SCC (Cláusulas Contractuales Tipo) aprobadas UE</w:t>
      </w:r>
      <w:r>
        <w:t xml:space="preserve"> </w:t>
      </w:r>
      <w:r>
        <w:t xml:space="preserve">- Cliente firma DPA OpenAI directamente</w:t>
      </w:r>
      <w:r>
        <w:t xml:space="preserve"> </w:t>
      </w:r>
      <w:r>
        <w:t xml:space="preserve">- CodeflowX NO intermediario (cliente → OpenAI directo)</w:t>
      </w:r>
      <w:r>
        <w:t xml:space="preserve"> </w:t>
      </w:r>
      <w:r>
        <w:t xml:space="preserve">- ✅ Válido GDPR si cliente acepta</w:t>
      </w:r>
    </w:p>
    <w:p>
      <w:pPr>
        <w:pStyle w:val="BodyText"/>
      </w:pPr>
      <w:r>
        <w:rPr>
          <w:bCs/>
          <w:b/>
        </w:rPr>
        <w:t xml:space="preserve">Opción 2 - Azure OpenAI (región UE):</w:t>
      </w:r>
      <w:r>
        <w:t xml:space="preserve"> </w:t>
      </w:r>
      <w:r>
        <w:t xml:space="preserve">- Microsoft Azure OpenAI deployed en</w:t>
      </w:r>
      <w:r>
        <w:t xml:space="preserve"> </w:t>
      </w:r>
      <w:r>
        <w:rPr>
          <w:bCs/>
          <w:b/>
        </w:rPr>
        <w:t xml:space="preserve">North Europe (Irlanda) o West Europe (Países Bajos)</w:t>
      </w:r>
      <w:r>
        <w:t xml:space="preserve"> </w:t>
      </w:r>
      <w:r>
        <w:t xml:space="preserve">- Datos procesados dentro UE/EEE</w:t>
      </w:r>
      <w:r>
        <w:t xml:space="preserve"> </w:t>
      </w:r>
      <w:r>
        <w:t xml:space="preserve">- DPA Microsoft (SCCs aprobadas)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Mejor opción</w:t>
      </w:r>
      <w:r>
        <w:t xml:space="preserve"> </w:t>
      </w:r>
      <w:r>
        <w:t xml:space="preserve">para clientes enterprise UE</w:t>
      </w:r>
    </w:p>
    <w:bookmarkEnd w:id="30"/>
    <w:bookmarkStart w:id="31" w:name="c.-cliente-usa-anthropic-api-usa"/>
    <w:p>
      <w:pPr>
        <w:pStyle w:val="Heading4"/>
      </w:pPr>
      <w:r>
        <w:rPr>
          <w:bCs/>
          <w:b/>
        </w:rPr>
        <w:t xml:space="preserve">C. Cliente usa Anthropic API (USA):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SÍ hay transferencia internacional</w:t>
      </w:r>
      <w:r>
        <w:t xml:space="preserve"> </w:t>
      </w:r>
      <w:r>
        <w:t xml:space="preserve">- Similar OpenAI: DPA Anthropic con SCCs</w:t>
      </w:r>
      <w:r>
        <w:t xml:space="preserve"> </w:t>
      </w:r>
      <w:r>
        <w:t xml:space="preserve">- Cliente firma DPA directamente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1eb9aaec72e2c4136a018b74fbc870961081c13"/>
    <w:p>
      <w:pPr>
        <w:pStyle w:val="Heading3"/>
      </w:pPr>
      <w:r>
        <w:rPr>
          <w:bCs/>
          <w:b/>
        </w:rPr>
        <w:t xml:space="preserve">¿Implementamos cláusulas contractuales tipo?</w:t>
      </w:r>
    </w:p>
    <w:p>
      <w:pPr>
        <w:pStyle w:val="FirstParagraph"/>
      </w:pPr>
      <w:r>
        <w:rPr>
          <w:bCs/>
          <w:b/>
        </w:rPr>
        <w:t xml:space="preserve">Nuestra posición: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CodeflowX NO 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processor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 datos clientes con LLMs externos</w:t>
      </w:r>
      <w:r>
        <w:t xml:space="preserve"> </w:t>
      </w:r>
      <w:r>
        <w:t xml:space="preserve">- Cliente decide qué LLM usar (configuración)</w:t>
      </w:r>
      <w:r>
        <w:t xml:space="preserve"> </w:t>
      </w:r>
      <w:r>
        <w:t xml:space="preserve">- Cliente firma DPA con proveedor LLM directamente</w:t>
      </w:r>
      <w:r>
        <w:t xml:space="preserve"> </w:t>
      </w:r>
      <w:r>
        <w:t xml:space="preserve">- CodeflowX facilita configuración pero NO intermedia datos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CodeflowX SÍ 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processor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para:</w:t>
      </w:r>
      <w:r>
        <w:t xml:space="preserve"> </w:t>
      </w:r>
      <w:r>
        <w:t xml:space="preserve">- Datos almacenados en PostgreSQL (compliance, logs, etc.)</w:t>
      </w:r>
      <w:r>
        <w:t xml:space="preserve"> </w:t>
      </w:r>
      <w:r>
        <w:t xml:space="preserve">- Procesamiento interno evaluaciones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 esto:</w:t>
      </w:r>
      <w:r>
        <w:t xml:space="preserve"> </w:t>
      </w:r>
      <w:r>
        <w:t xml:space="preserve">Ofrecemos DPA CodeflowX con SCCs si cliente lo requiere</w:t>
      </w:r>
    </w:p>
    <w:p>
      <w:pPr>
        <w:pStyle w:val="BodyText"/>
      </w:pPr>
      <w:r>
        <w:rPr>
          <w:bCs/>
          <w:b/>
        </w:rPr>
        <w:t xml:space="preserve">Documento disponible: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Data Processing Agreement CodeflowX</w:t>
      </w:r>
      <w:r>
        <w:t xml:space="preserve"> </w:t>
      </w:r>
      <w:r>
        <w:t xml:space="preserve">(template SCCs aprobadas UE)</w:t>
      </w:r>
      <w:r>
        <w:t xml:space="preserve"> </w:t>
      </w:r>
      <w:r>
        <w:t xml:space="preserve">- ✅ Anexo técnicas seguridad (ISO 27001)</w:t>
      </w:r>
      <w:r>
        <w:t xml:space="preserve"> </w:t>
      </w:r>
      <w:r>
        <w:t xml:space="preserve">- ✅ Sub-procesadores listados</w:t>
      </w:r>
    </w:p>
    <w:p>
      <w:pPr>
        <w:pStyle w:val="BodyText"/>
      </w:pPr>
      <w:r>
        <w:rPr>
          <w:bCs/>
          <w:b/>
        </w:rPr>
        <w:t xml:space="preserve">Tracking transferencias:</w:t>
      </w:r>
      <w:r>
        <w:t xml:space="preserve"> </w:t>
      </w:r>
      <w:r>
        <w:t xml:space="preserve">- Campo:</w:t>
      </w:r>
      <w:r>
        <w:t xml:space="preserve"> </w:t>
      </w:r>
      <w:r>
        <w:rPr>
          <w:rStyle w:val="VerbatimChar"/>
        </w:rPr>
        <w:t xml:space="preserve">Data Processing → International Transfers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DPRDATA PROCESSING</w:t>
      </w:r>
      <w:r>
        <w:t xml:space="preserve">)</w:t>
      </w:r>
      <w:r>
        <w:t xml:space="preserve"> </w:t>
      </w:r>
      <w:r>
        <w:t xml:space="preserve">- Registro: Proveedor, país destino, salvaguarda aplicada (SCC, DPA, Adequacy Decision)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4d10163102280b8cd052462732ab5df81121a48"/>
    <w:p>
      <w:pPr>
        <w:pStyle w:val="Heading2"/>
      </w:pPr>
      <w:r>
        <w:t xml:space="preserve">📊 RESPUESTA 4: EJERCICIO DERECHOS GDPR (Art. 15-22)</w:t>
      </w:r>
    </w:p>
    <w:bookmarkStart w:id="35" w:name="X56eeee481a2ab0476aa658823e965741388b947"/>
    <w:p>
      <w:pPr>
        <w:pStyle w:val="Heading3"/>
      </w:pPr>
      <w:r>
        <w:rPr>
          <w:bCs/>
          <w:b/>
        </w:rPr>
        <w:t xml:space="preserve">¿Cómo facilitamos ejercicio derechos sobre datos evaluaciones y logs?</w:t>
      </w:r>
    </w:p>
    <w:p>
      <w:pPr>
        <w:pStyle w:val="FirstParagraph"/>
      </w:pPr>
      <w:r>
        <w:rPr>
          <w:bCs/>
          <w:b/>
        </w:rPr>
        <w:t xml:space="preserve">Respuesta: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Implementado - Sistema automatizado</w:t>
      </w:r>
    </w:p>
    <w:p>
      <w:pPr>
        <w:pStyle w:val="BodyText"/>
      </w:pPr>
      <w:r>
        <w:rPr>
          <w:bCs/>
          <w:b/>
        </w:rPr>
        <w:t xml:space="preserve">Entidad:</w:t>
      </w:r>
      <w:r>
        <w:t xml:space="preserve"> </w:t>
      </w:r>
      <w:r>
        <w:rPr>
          <w:rStyle w:val="VerbatimChar"/>
        </w:rPr>
        <w:t xml:space="preserve">DataSubjectRequest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DSRDATASUBJECTREQUESTS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 Derechos GDPR implementados: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1365"/>
        <w:gridCol w:w="3550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Derecho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Exportación datos interesado (JSON/PDF)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corrección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Supresión (Olvido)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datos + logs (con excepciones legales)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restricción procesamiento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Exportación JSON/XML/CSV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oposición 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Explicabilidad decisiones automatizadas (SHAP/LIME)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roceso-ejercicio-derecho"/>
    <w:p>
      <w:pPr>
        <w:pStyle w:val="Heading3"/>
      </w:pPr>
      <w:r>
        <w:rPr>
          <w:bCs/>
          <w:b/>
        </w:rPr>
        <w:t xml:space="preserve">Proceso ejercicio derecho:</w:t>
      </w:r>
    </w:p>
    <w:p>
      <w:pPr>
        <w:pStyle w:val="FirstParagraph"/>
      </w:pPr>
      <w:r>
        <w:rPr>
          <w:bCs/>
          <w:b/>
        </w:rPr>
        <w:t xml:space="preserve">1. Solicitud recibida (email/web/API):</w:t>
      </w:r>
      <w:r>
        <w:t xml:space="preserve"> </w:t>
      </w:r>
      <w:r>
        <w:t xml:space="preserve">- ✅ Creación automática</w:t>
      </w:r>
      <w:r>
        <w:t xml:space="preserve"> </w:t>
      </w:r>
      <w:r>
        <w:rPr>
          <w:rStyle w:val="VerbatimChar"/>
        </w:rPr>
        <w:t xml:space="preserve">DataSubjectRequest</w:t>
      </w:r>
      <w:r>
        <w:t xml:space="preserve"> </w:t>
      </w:r>
      <w:r>
        <w:t xml:space="preserve">- ✅ Campos: tipo derecho, identificación solicitante, fecha límite (30 días)</w:t>
      </w:r>
      <w:r>
        <w:t xml:space="preserve"> </w:t>
      </w:r>
      <w:r>
        <w:t xml:space="preserve">- ✅ Workflow BPMN:</w:t>
      </w:r>
      <w:r>
        <w:t xml:space="preserve"> </w:t>
      </w:r>
      <w:r>
        <w:rPr>
          <w:rStyle w:val="VerbatimChar"/>
        </w:rPr>
        <w:t xml:space="preserve">data_subject_rights_workflow</w:t>
      </w:r>
    </w:p>
    <w:p>
      <w:pPr>
        <w:pStyle w:val="BodyText"/>
      </w:pPr>
      <w:r>
        <w:rPr>
          <w:bCs/>
          <w:b/>
        </w:rPr>
        <w:t xml:space="preserve">2. Identificación datos interesado:</w:t>
      </w:r>
      <w:r>
        <w:t xml:space="preserve"> </w:t>
      </w:r>
      <w:r>
        <w:t xml:space="preserve">- ✅ Búsqueda cross-table (evaluaciones, logs, compliance docs)</w:t>
      </w:r>
      <w:r>
        <w:t xml:space="preserve"> </w:t>
      </w:r>
      <w:r>
        <w:t xml:space="preserve">- ✅ Identificadores: Email, UUID user, metadatos</w:t>
      </w:r>
    </w:p>
    <w:p>
      <w:pPr>
        <w:pStyle w:val="BodyText"/>
      </w:pPr>
      <w:r>
        <w:rPr>
          <w:bCs/>
          <w:b/>
        </w:rPr>
        <w:t xml:space="preserve">3. Ejecución derecho:</w:t>
      </w:r>
    </w:p>
    <w:p>
      <w:pPr>
        <w:pStyle w:val="BodyText"/>
      </w:pPr>
      <w:r>
        <w:rPr>
          <w:bCs/>
          <w:b/>
        </w:rPr>
        <w:t xml:space="preserve">Art. 15 (Acceso):</w:t>
      </w:r>
      <w:r>
        <w:t xml:space="preserve"> </w:t>
      </w:r>
      <w:r>
        <w:t xml:space="preserve">- ✅ Reporte PDF/JSON con TODOS los datos:</w:t>
      </w:r>
      <w:r>
        <w:t xml:space="preserve"> </w:t>
      </w:r>
      <w:r>
        <w:t xml:space="preserve">- Evaluaciones realizadas</w:t>
      </w:r>
      <w:r>
        <w:t xml:space="preserve"> </w:t>
      </w:r>
      <w:r>
        <w:t xml:space="preserve">- Logs inmutables (anonimizados si terceros)</w:t>
      </w:r>
      <w:r>
        <w:t xml:space="preserve"> </w:t>
      </w:r>
      <w:r>
        <w:t xml:space="preserve">- Metadatos proyectos</w:t>
      </w:r>
      <w:r>
        <w:t xml:space="preserve"> </w:t>
      </w:r>
      <w:r>
        <w:t xml:space="preserve">- Datos compliance (FRIA, Risk Assessments)</w:t>
      </w:r>
      <w:r>
        <w:t xml:space="preserve"> </w:t>
      </w:r>
      <w:r>
        <w:t xml:space="preserve">- ✅ Plazo: 30 días (automatizado recordatorio día 25)</w:t>
      </w:r>
    </w:p>
    <w:p>
      <w:pPr>
        <w:pStyle w:val="BodyText"/>
      </w:pPr>
      <w:r>
        <w:rPr>
          <w:bCs/>
          <w:b/>
        </w:rPr>
        <w:t xml:space="preserve">Art. 17 (Supresión/Olvido):</w:t>
      </w:r>
      <w:r>
        <w:t xml:space="preserve"> </w:t>
      </w:r>
      <w:r>
        <w:t xml:space="preserve">- ✅ Eliminación datos personales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Excepciones legales (Art. 17.3):</w:t>
      </w:r>
      <w:r>
        <w:t xml:space="preserve"> </w:t>
      </w:r>
      <w:r>
        <w:t xml:space="preserve">- Logs inmutables Art. 19 AI Act (CONFLICTO normativo)</w:t>
      </w:r>
      <w:r>
        <w:t xml:space="preserve"> </w:t>
      </w:r>
      <w:r>
        <w:t xml:space="preserve">- Datos compliance obligatorio conservar (Art. 18 AI Act: 10 años)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Pseudonimización irreversible (hashing) en vez de eliminación</w:t>
      </w:r>
      <w:r>
        <w:t xml:space="preserve"> </w:t>
      </w:r>
      <w:r>
        <w:t xml:space="preserve">- ✅ Confirmación eliminación con certificado</w:t>
      </w:r>
    </w:p>
    <w:p>
      <w:pPr>
        <w:pStyle w:val="BodyText"/>
      </w:pPr>
      <w:r>
        <w:rPr>
          <w:bCs/>
          <w:b/>
        </w:rPr>
        <w:t xml:space="preserve">Art. 20 (Portabilidad):</w:t>
      </w:r>
      <w:r>
        <w:t xml:space="preserve"> </w:t>
      </w:r>
      <w:r>
        <w:t xml:space="preserve">- ✅ Exportación formatos: JSON, XML, CSV</w:t>
      </w:r>
      <w:r>
        <w:t xml:space="preserve"> </w:t>
      </w:r>
      <w:r>
        <w:t xml:space="preserve">- ✅ Estructura legible máquina</w:t>
      </w:r>
      <w:r>
        <w:t xml:space="preserve"> </w:t>
      </w:r>
      <w:r>
        <w:t xml:space="preserve">- ✅ Transferencia otro responsable (si solicitado)</w:t>
      </w:r>
    </w:p>
    <w:p>
      <w:pPr>
        <w:pStyle w:val="BodyText"/>
      </w:pPr>
      <w:r>
        <w:rPr>
          <w:bCs/>
          <w:b/>
        </w:rPr>
        <w:t xml:space="preserve">Art. 22 (Explicación decisiones):</w:t>
      </w:r>
      <w:r>
        <w:t xml:space="preserve"> </w:t>
      </w:r>
      <w:r>
        <w:t xml:space="preserve">- ✅ Explicabilidad modelo: SHAP, LIME</w:t>
      </w:r>
      <w:r>
        <w:t xml:space="preserve"> </w:t>
      </w:r>
      <w:r>
        <w:t xml:space="preserve">- ✅ Human-friendly explanations (no técnico)</w:t>
      </w:r>
      <w:r>
        <w:t xml:space="preserve"> </w:t>
      </w:r>
      <w:r>
        <w:t xml:space="preserve">- ✅ Factores influyeron decisión</w:t>
      </w:r>
    </w:p>
    <w:p>
      <w:r>
        <w:pict>
          <v:rect style="width:0;height:1.5pt" o:hralign="center" o:hrstd="t" o:hr="t"/>
        </w:pict>
      </w:r>
    </w:p>
    <w:bookmarkEnd w:id="36"/>
    <w:bookmarkStart w:id="37" w:name="challenges-específicos-ai-act-vs-gdpr"/>
    <w:p>
      <w:pPr>
        <w:pStyle w:val="Heading3"/>
      </w:pPr>
      <w:r>
        <w:rPr>
          <w:bCs/>
          <w:b/>
        </w:rPr>
        <w:t xml:space="preserve">Challenges específicos AI Act vs GDPR:</w:t>
      </w:r>
    </w:p>
    <w:p>
      <w:pPr>
        <w:pStyle w:val="FirstParagraph"/>
      </w:pPr>
      <w:r>
        <w:rPr>
          <w:bCs/>
          <w:b/>
        </w:rPr>
        <w:t xml:space="preserve">⚠️ CONFLICTO NORMATIVO: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440"/>
        <w:gridCol w:w="1080"/>
        <w:gridCol w:w="3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Retención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18: 10 años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17: Derecho supresión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Pseudonimización irreversible (hashing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19: No modificables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16: Rectificación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inmutables + Nota rectificación anexa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12: Conservación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17: 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Anonimización manteniendo estructura audit</w:t>
            </w:r>
          </w:p>
        </w:tc>
      </w:tr>
    </w:tbl>
    <w:p>
      <w:pPr>
        <w:pStyle w:val="BodyText"/>
      </w:pPr>
      <w:r>
        <w:rPr>
          <w:bCs/>
          <w:b/>
        </w:rPr>
        <w:t xml:space="preserve">Nuestra interpretación legal:</w:t>
      </w:r>
      <w:r>
        <w:t xml:space="preserve"> </w:t>
      </w:r>
      <w:r>
        <w:t xml:space="preserve">- Art. 17.3.b GDPR: Excepción</w:t>
      </w:r>
      <w:r>
        <w:t xml:space="preserve"> </w:t>
      </w:r>
      <w:r>
        <w:t xml:space="preserve">“</w:t>
      </w:r>
      <w:r>
        <w:t xml:space="preserve">cumplimiento obligación legal UE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AI Act prevalece</w:t>
      </w:r>
      <w:r>
        <w:t xml:space="preserve"> </w:t>
      </w:r>
      <w:r>
        <w:t xml:space="preserve">- Aplicamos</w:t>
      </w:r>
      <w:r>
        <w:t xml:space="preserve"> </w:t>
      </w:r>
      <w:r>
        <w:rPr>
          <w:bCs/>
          <w:b/>
        </w:rPr>
        <w:t xml:space="preserve">pseudonimización fuerte</w:t>
      </w:r>
      <w:r>
        <w:t xml:space="preserve"> </w:t>
      </w:r>
      <w:r>
        <w:t xml:space="preserve">(SHA-256 irreversible) en vez de eliminación</w:t>
      </w:r>
      <w:r>
        <w:t xml:space="preserve"> </w:t>
      </w:r>
      <w:r>
        <w:t xml:space="preserve">- Mantenemos estructura logs (compliance) pero sin datos personales identificables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Interpretación validable con DPO cliente y/o autoridad protección datos.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respuesta-5-audit-pack-anexo-iv"/>
    <w:p>
      <w:pPr>
        <w:pStyle w:val="Heading2"/>
      </w:pPr>
      <w:r>
        <w:t xml:space="preserve">📊 RESPUESTA 5: AUDIT PACK (Anexo IV)</w:t>
      </w:r>
    </w:p>
    <w:bookmarkStart w:id="39" w:name="Xf3ebe6368262747206a8bf91a750e3301f2d01f"/>
    <w:p>
      <w:pPr>
        <w:pStyle w:val="Heading3"/>
      </w:pPr>
      <w:r>
        <w:rPr>
          <w:bCs/>
          <w:b/>
        </w:rPr>
        <w:t xml:space="preserve">¿Incluye TODOS los elementos requeridos Anexo IV?</w:t>
      </w:r>
    </w:p>
    <w:p>
      <w:pPr>
        <w:pStyle w:val="FirstParagraph"/>
      </w:pPr>
      <w:r>
        <w:rPr>
          <w:bCs/>
          <w:b/>
        </w:rPr>
        <w:t xml:space="preserve">Respuesta: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SÍ - 12 secciones Anexo IV completas</w:t>
      </w:r>
    </w:p>
    <w:p>
      <w:pPr>
        <w:pStyle w:val="BodyText"/>
      </w:pPr>
      <w:r>
        <w:rPr>
          <w:bCs/>
          <w:b/>
        </w:rPr>
        <w:t xml:space="preserve">Anexo IV - Documentación Técnica (Art. 11.1):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382"/>
        <w:gridCol w:w="3268"/>
        <w:gridCol w:w="10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Descripción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previsto, usuarios, nivel 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Descripción detallada elementos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datos input/output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Auto-generado desde metadatos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Seguimiento, interpretación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Capacidades, limitaciones,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Especificaciones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Hardware, software, 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Auto-detectado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Descripción proceso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Metodología, lifecycle,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integration +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Validación 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results, métricas, benchmarks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 métricas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EU Declaration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declaración (Anexo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Descripción gestión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 implementado (Art.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módulos QMS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Gestión cambios y 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log, 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commits + manual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 supervisión (Art.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HITL workflows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 protección (Art. 15.3-15.5)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controls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 Precisión, robustez, 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performance (Art. 15.1-15.2)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Automático desde evaluaciones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elementos-específicos-cubiertos"/>
    <w:p>
      <w:pPr>
        <w:pStyle w:val="Heading3"/>
      </w:pPr>
      <w:r>
        <w:rPr>
          <w:bCs/>
          <w:b/>
        </w:rPr>
        <w:t xml:space="preserve">Elementos específicos cubiertos:</w:t>
      </w:r>
    </w:p>
    <w:p>
      <w:pPr>
        <w:pStyle w:val="FirstParagraph"/>
      </w:pPr>
      <w:r>
        <w:rPr>
          <w:bCs/>
          <w:b/>
        </w:rPr>
        <w:t xml:space="preserve">Training Dataset (Anexo IV.6.a):</w:t>
      </w:r>
      <w:r>
        <w:t xml:space="preserve"> </w:t>
      </w:r>
      <w:r>
        <w:t xml:space="preserve">- ✅ Descripción dataset (tamaño, fuente, características)</w:t>
      </w:r>
      <w:r>
        <w:t xml:space="preserve"> </w:t>
      </w:r>
      <w:r>
        <w:t xml:space="preserve">- ✅ Metodología recolección</w:t>
      </w:r>
      <w:r>
        <w:t xml:space="preserve"> </w:t>
      </w:r>
      <w:r>
        <w:t xml:space="preserve">- ✅ Criterios filtrado y limpieza</w:t>
      </w:r>
      <w:r>
        <w:t xml:space="preserve"> </w:t>
      </w:r>
      <w:r>
        <w:t xml:space="preserve">- ✅ Análisis bias pre-training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PII detection</w:t>
      </w:r>
      <w:r>
        <w:t xml:space="preserve"> </w:t>
      </w:r>
      <w:r>
        <w:t xml:space="preserve">(Presidio) sobre training data</w:t>
      </w:r>
      <w:r>
        <w:t xml:space="preserve"> </w:t>
      </w:r>
      <w:r>
        <w:t xml:space="preserve">- ✅ Licencias y copyright (si aplicable)</w:t>
      </w:r>
    </w:p>
    <w:p>
      <w:pPr>
        <w:pStyle w:val="BodyText"/>
      </w:pPr>
      <w:r>
        <w:rPr>
          <w:bCs/>
          <w:b/>
        </w:rPr>
        <w:t xml:space="preserve">Arquitectura Modelo (Anexo IV.2.b):</w:t>
      </w:r>
      <w:r>
        <w:t xml:space="preserve"> </w:t>
      </w:r>
      <w:r>
        <w:t xml:space="preserve">- ✅ Tipo modelo (transformer, CNN, etc.)</w:t>
      </w:r>
      <w:r>
        <w:t xml:space="preserve"> </w:t>
      </w:r>
      <w:r>
        <w:t xml:space="preserve">- ✅ Número parámetros</w:t>
      </w:r>
      <w:r>
        <w:t xml:space="preserve"> </w:t>
      </w:r>
      <w:r>
        <w:t xml:space="preserve">- ✅ Capas y configuración</w:t>
      </w:r>
      <w:r>
        <w:t xml:space="preserve"> </w:t>
      </w:r>
      <w:r>
        <w:t xml:space="preserve">- ✅ Fine-tuning aplicado (si aplica)</w:t>
      </w:r>
      <w:r>
        <w:t xml:space="preserve"> </w:t>
      </w:r>
      <w:r>
        <w:t xml:space="preserve">- ✅ Adapters usados (LoRA tracking)</w:t>
      </w:r>
    </w:p>
    <w:p>
      <w:pPr>
        <w:pStyle w:val="BodyText"/>
      </w:pPr>
      <w:r>
        <w:rPr>
          <w:bCs/>
          <w:b/>
        </w:rPr>
        <w:t xml:space="preserve">Métricas Performance (Anexo IV.6.b):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Auto-generadas desde evaluaciones:</w:t>
      </w:r>
      <w:r>
        <w:t xml:space="preserve"> </w:t>
      </w:r>
      <w:r>
        <w:t xml:space="preserve">- Accuracy, Precision, Recall, F1</w:t>
      </w:r>
      <w:r>
        <w:t xml:space="preserve"> </w:t>
      </w:r>
      <w:r>
        <w:t xml:space="preserve">- BLEU, ROUGE (si LLM)</w:t>
      </w:r>
      <w:r>
        <w:t xml:space="preserve"> </w:t>
      </w:r>
      <w:r>
        <w:t xml:space="preserve">- Toxicity, Bias scores</w:t>
      </w:r>
      <w:r>
        <w:t xml:space="preserve"> </w:t>
      </w:r>
      <w:r>
        <w:t xml:space="preserve">- Adversarial robustness</w:t>
      </w:r>
      <w:r>
        <w:t xml:space="preserve"> </w:t>
      </w:r>
      <w:r>
        <w:t xml:space="preserve">- ✅ Benchmarks vs modelos referencia</w:t>
      </w:r>
      <w:r>
        <w:t xml:space="preserve"> </w:t>
      </w:r>
      <w:r>
        <w:t xml:space="preserve">- ✅ Error rates y limitaciones conocidas</w:t>
      </w:r>
    </w:p>
    <w:p>
      <w:pPr>
        <w:pStyle w:val="BodyText"/>
      </w:pPr>
      <w:r>
        <w:rPr>
          <w:bCs/>
          <w:b/>
        </w:rPr>
        <w:t xml:space="preserve">Gestión Riesgos (Anexo IV.8):</w:t>
      </w:r>
      <w:r>
        <w:t xml:space="preserve"> </w:t>
      </w:r>
      <w:r>
        <w:t xml:space="preserve">- ✅ Risk Assessment completo (Art. 9)</w:t>
      </w:r>
      <w:r>
        <w:t xml:space="preserve"> </w:t>
      </w:r>
      <w:r>
        <w:t xml:space="preserve">- ✅ Riesgos identificados + severidad</w:t>
      </w:r>
      <w:r>
        <w:t xml:space="preserve"> </w:t>
      </w:r>
      <w:r>
        <w:t xml:space="preserve">- ✅ Medidas mitigación implementadas</w:t>
      </w:r>
      <w:r>
        <w:t xml:space="preserve"> </w:t>
      </w:r>
      <w:r>
        <w:t xml:space="preserve">- ✅ Residual risks documentados</w:t>
      </w:r>
    </w:p>
    <w:p>
      <w:pPr>
        <w:pStyle w:val="BodyText"/>
      </w:pPr>
      <w:r>
        <w:rPr>
          <w:bCs/>
          <w:b/>
        </w:rPr>
        <w:t xml:space="preserve">Medidas Ciberseguridad (Anexo IV.11):</w:t>
      </w:r>
      <w:r>
        <w:t xml:space="preserve"> </w:t>
      </w:r>
      <w:r>
        <w:t xml:space="preserve">- ✅ Adversarial testing results</w:t>
      </w:r>
      <w:r>
        <w:t xml:space="preserve"> </w:t>
      </w:r>
      <w:r>
        <w:t xml:space="preserve">- ✅ Vulnerability scanning</w:t>
      </w:r>
      <w:r>
        <w:t xml:space="preserve"> </w:t>
      </w:r>
      <w:r>
        <w:t xml:space="preserve">- ✅ Prompt injection detection</w:t>
      </w:r>
      <w:r>
        <w:t xml:space="preserve"> </w:t>
      </w:r>
      <w:r>
        <w:t xml:space="preserve">- ✅ Data leakage prevention</w:t>
      </w:r>
      <w:r>
        <w:t xml:space="preserve"> </w:t>
      </w:r>
      <w:r>
        <w:t xml:space="preserve">- ✅ Encryption (en reposo y tránsito)</w:t>
      </w:r>
      <w:r>
        <w:t xml:space="preserve"> </w:t>
      </w:r>
      <w:r>
        <w:t xml:space="preserve">- ✅ Access control (RBAC)</w:t>
      </w:r>
    </w:p>
    <w:p>
      <w:r>
        <w:pict>
          <v:rect style="width:0;height:1.5pt" o:hralign="center" o:hrstd="t" o:hr="t"/>
        </w:pict>
      </w:r>
    </w:p>
    <w:bookmarkEnd w:id="40"/>
    <w:bookmarkStart w:id="41" w:name="generación-automática-audit-pack"/>
    <w:p>
      <w:pPr>
        <w:pStyle w:val="Heading3"/>
      </w:pPr>
      <w:r>
        <w:rPr>
          <w:bCs/>
          <w:b/>
        </w:rPr>
        <w:t xml:space="preserve">Generación automática audit pack: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/api/documentation/generate-technical-doc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project_id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t xml:space="preserve">PDF Anexo IV completo (50-100 páginas) con:</w:t>
      </w:r>
      <w:r>
        <w:t xml:space="preserve"> </w:t>
      </w:r>
      <w:r>
        <w:t xml:space="preserve">- 12 secciones pobladas automáticamente</w:t>
      </w:r>
      <w:r>
        <w:t xml:space="preserve"> </w:t>
      </w:r>
      <w:r>
        <w:t xml:space="preserve">- Gráficos métricas evaluación</w:t>
      </w:r>
      <w:r>
        <w:t xml:space="preserve"> </w:t>
      </w:r>
      <w:r>
        <w:t xml:space="preserve">- Tablas risk assessment</w:t>
      </w:r>
      <w:r>
        <w:t xml:space="preserve"> </w:t>
      </w:r>
      <w:r>
        <w:t xml:space="preserve">- Screenshots arquitectura</w:t>
      </w:r>
      <w:r>
        <w:t xml:space="preserve"> </w:t>
      </w:r>
      <w:r>
        <w:t xml:space="preserve">- Logs auditoría anexos</w:t>
      </w:r>
    </w:p>
    <w:p>
      <w:pPr>
        <w:pStyle w:val="BodyText"/>
      </w:pPr>
      <w:r>
        <w:rPr>
          <w:bCs/>
          <w:b/>
        </w:rPr>
        <w:t xml:space="preserve">Generación:</w:t>
      </w:r>
      <w:r>
        <w:t xml:space="preserve"> </w:t>
      </w:r>
      <w:r>
        <w:t xml:space="preserve">Automatizada desde metadatos sistema. Exportación PDF disponible.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respuesta-6-hitl-y-stop-buttons"/>
    <w:p>
      <w:pPr>
        <w:pStyle w:val="Heading2"/>
      </w:pPr>
      <w:r>
        <w:t xml:space="preserve">📊 RESPUESTA 6: HITL Y STOP BUTTONS</w:t>
      </w:r>
    </w:p>
    <w:bookmarkStart w:id="46" w:name="Xbaedbebbb46eb60b84bc86849fb3f5ff0f343be"/>
    <w:p>
      <w:pPr>
        <w:pStyle w:val="Heading3"/>
      </w:pPr>
      <w:r>
        <w:rPr>
          <w:bCs/>
          <w:b/>
        </w:rPr>
        <w:t xml:space="preserve">¿Implementamos HITL más allá de aprobación? ¿Hay stop buttons?</w:t>
      </w:r>
    </w:p>
    <w:p>
      <w:pPr>
        <w:pStyle w:val="FirstParagraph"/>
      </w:pPr>
      <w:r>
        <w:rPr>
          <w:bCs/>
          <w:b/>
        </w:rPr>
        <w:t xml:space="preserve">Respuesta: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SÍ - Múltiples niveles intervención</w:t>
      </w:r>
    </w:p>
    <w:p>
      <w:pPr>
        <w:pStyle w:val="BodyText"/>
      </w:pPr>
      <w:r>
        <w:rPr>
          <w:bCs/>
          <w:b/>
        </w:rPr>
        <w:t xml:space="preserve">Implementación HITL (Art. 14):</w:t>
      </w:r>
    </w:p>
    <w:bookmarkStart w:id="43" w:name="nivel-1-aprobación-workflows-básico"/>
    <w:p>
      <w:pPr>
        <w:pStyle w:val="Heading4"/>
      </w:pPr>
      <w:r>
        <w:rPr>
          <w:bCs/>
          <w:b/>
        </w:rPr>
        <w:t xml:space="preserve">Nivel 1: Aprobación Workflows (Básico)</w:t>
      </w:r>
    </w:p>
    <w:p>
      <w:pPr>
        <w:numPr>
          <w:ilvl w:val="0"/>
          <w:numId w:val="1001"/>
        </w:numPr>
        <w:pStyle w:val="Compact"/>
      </w:pPr>
      <w:r>
        <w:t xml:space="preserve">✅ Tareas BPMN requieren aprobación humana</w:t>
      </w:r>
    </w:p>
    <w:p>
      <w:pPr>
        <w:numPr>
          <w:ilvl w:val="0"/>
          <w:numId w:val="1001"/>
        </w:numPr>
        <w:pStyle w:val="Compact"/>
      </w:pPr>
      <w:r>
        <w:t xml:space="preserve">✅ Ejemplos: Aprobar FRIA, Aprobar QMS, Aprobar deployment</w:t>
      </w:r>
    </w:p>
    <w:bookmarkEnd w:id="43"/>
    <w:bookmarkStart w:id="44" w:name="nivel-2-human-oversight-decisions"/>
    <w:p>
      <w:pPr>
        <w:pStyle w:val="Heading4"/>
      </w:pPr>
      <w:r>
        <w:rPr>
          <w:bCs/>
          <w:b/>
        </w:rPr>
        <w:t xml:space="preserve">Nivel 2: Human Oversight Decisions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Entidad:</w:t>
      </w:r>
      <w:r>
        <w:t xml:space="preserve"> </w:t>
      </w:r>
      <w:r>
        <w:rPr>
          <w:rStyle w:val="VerbatimChar"/>
        </w:rPr>
        <w:t xml:space="preserve">HumanOversightLog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HOLHUMANOVERSIGHTLOGS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Triggers automáticos HITL:</w:t>
      </w:r>
    </w:p>
    <w:p>
      <w:pPr>
        <w:numPr>
          <w:ilvl w:val="1"/>
          <w:numId w:val="1003"/>
        </w:numPr>
        <w:pStyle w:val="Compact"/>
      </w:pPr>
      <w:r>
        <w:t xml:space="preserve">Risk score &gt; 80 (alto riesgo)</w:t>
      </w:r>
    </w:p>
    <w:p>
      <w:pPr>
        <w:numPr>
          <w:ilvl w:val="1"/>
          <w:numId w:val="1003"/>
        </w:numPr>
        <w:pStyle w:val="Compact"/>
      </w:pPr>
      <w:r>
        <w:t xml:space="preserve">Confidence &lt; 70% (baja confianza modelo)</w:t>
      </w:r>
    </w:p>
    <w:p>
      <w:pPr>
        <w:numPr>
          <w:ilvl w:val="1"/>
          <w:numId w:val="1003"/>
        </w:numPr>
        <w:pStyle w:val="Compact"/>
      </w:pPr>
      <w:r>
        <w:t xml:space="preserve">Grupos vulnerables afectados</w:t>
      </w:r>
    </w:p>
    <w:p>
      <w:pPr>
        <w:numPr>
          <w:ilvl w:val="1"/>
          <w:numId w:val="1003"/>
        </w:numPr>
        <w:pStyle w:val="Compact"/>
      </w:pPr>
      <w:r>
        <w:t xml:space="preserve">Decisión impacto legal/económico</w:t>
      </w:r>
    </w:p>
    <w:p>
      <w:pPr>
        <w:numPr>
          <w:ilvl w:val="1"/>
          <w:numId w:val="1003"/>
        </w:numPr>
        <w:pStyle w:val="Compact"/>
      </w:pPr>
      <w:r>
        <w:t xml:space="preserve">Drift detected (modelo degradado)</w:t>
      </w:r>
    </w:p>
    <w:p>
      <w:pPr>
        <w:pStyle w:val="FirstParagraph"/>
      </w:pPr>
      <w:r>
        <w:rPr>
          <w:bCs/>
          <w:b/>
        </w:rPr>
        <w:t xml:space="preserve">Flujo:</w:t>
      </w:r>
    </w:p>
    <w:p>
      <w:pPr>
        <w:pStyle w:val="SourceCode"/>
      </w:pPr>
      <w:r>
        <w:rPr>
          <w:rStyle w:val="VerbatimChar"/>
        </w:rPr>
        <w:t xml:space="preserve">1. Decisión IA generada</w:t>
      </w:r>
      <w:r>
        <w:br/>
      </w:r>
      <w:r>
        <w:rPr>
          <w:rStyle w:val="VerbatimChar"/>
        </w:rPr>
        <w:t xml:space="preserve">2. Sistema evalúa triggers HITL</w:t>
      </w:r>
      <w:r>
        <w:br/>
      </w:r>
      <w:r>
        <w:rPr>
          <w:rStyle w:val="VerbatimChar"/>
        </w:rPr>
        <w:t xml:space="preserve">3. Si trigger → PAUSA decisión automática</w:t>
      </w:r>
      <w:r>
        <w:br/>
      </w:r>
      <w:r>
        <w:rPr>
          <w:rStyle w:val="VerbatimChar"/>
        </w:rPr>
        <w:t xml:space="preserve">4. Notificación human reviewer (email/Slack/UI)</w:t>
      </w:r>
      <w:r>
        <w:br/>
      </w:r>
      <w:r>
        <w:rPr>
          <w:rStyle w:val="VerbatimChar"/>
        </w:rPr>
        <w:t xml:space="preserve">5. UI presenta: Input, Predicción, Confianza, Explicación (SHAP)</w:t>
      </w:r>
      <w:r>
        <w:br/>
      </w:r>
      <w:r>
        <w:rPr>
          <w:rStyle w:val="VerbatimChar"/>
        </w:rPr>
        <w:t xml:space="preserve">6. Human decide: APPROVE / REJECT / REQUEST_INFO</w:t>
      </w:r>
      <w:r>
        <w:br/>
      </w:r>
      <w:r>
        <w:rPr>
          <w:rStyle w:val="VerbatimChar"/>
        </w:rPr>
        <w:t xml:space="preserve">7. Decisión registrada immutable log (Art. 19)</w:t>
      </w:r>
      <w:r>
        <w:br/>
      </w:r>
      <w:r>
        <w:rPr>
          <w:rStyle w:val="VerbatimChar"/>
        </w:rPr>
        <w:t xml:space="preserve">8. Proceso continúa con decisión final</w:t>
      </w:r>
    </w:p>
    <w:bookmarkEnd w:id="44"/>
    <w:bookmarkStart w:id="45" w:name="X3de946d71bf0e459e99f59e3b8b173b7487532c"/>
    <w:p>
      <w:pPr>
        <w:pStyle w:val="Heading4"/>
      </w:pPr>
      <w:r>
        <w:rPr>
          <w:bCs/>
          <w:b/>
        </w:rPr>
        <w:t xml:space="preserve">Nivel 3: Stop Buttons / Intervención Tiempo Real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Implementado en múltiples capas:</w:t>
      </w:r>
    </w:p>
    <w:p>
      <w:pPr>
        <w:pStyle w:val="BodyText"/>
      </w:pPr>
      <w:r>
        <w:rPr>
          <w:bCs/>
          <w:b/>
        </w:rPr>
        <w:t xml:space="preserve">A. Experiments/Training (UI ZKoss):</w:t>
      </w:r>
      <w:r>
        <w:t xml:space="preserve"> </w:t>
      </w:r>
      <w:r>
        <w:t xml:space="preserve">-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Stop Experiment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stopExperiment()</w:t>
      </w:r>
      <w:r>
        <w:t xml:space="preserve"> </w:t>
      </w:r>
      <w:r>
        <w:t xml:space="preserve">method)</w:t>
      </w:r>
      <w:r>
        <w:t xml:space="preserve"> </w:t>
      </w:r>
      <w:r>
        <w:t xml:space="preserve">- Detiene entrenamiento inmediatamente</w:t>
      </w:r>
      <w:r>
        <w:t xml:space="preserve"> </w:t>
      </w:r>
      <w:r>
        <w:t xml:space="preserve">- Estado →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- Checkpoint guardado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Componente:</w:t>
      </w:r>
      <w:r>
        <w:t xml:space="preserve"> </w:t>
      </w:r>
      <w:r>
        <w:rPr>
          <w:rStyle w:val="VerbatimChar"/>
        </w:rPr>
        <w:t xml:space="preserve">ExperimentsDetailViewModel.java</w:t>
      </w:r>
    </w:p>
    <w:p>
      <w:pPr>
        <w:pStyle w:val="BodyText"/>
      </w:pPr>
      <w:r>
        <w:rPr>
          <w:bCs/>
          <w:b/>
        </w:rPr>
        <w:t xml:space="preserve">B. Notebooks/Execution (UI React):</w:t>
      </w:r>
      <w:r>
        <w:t xml:space="preserve"> </w:t>
      </w:r>
      <w:r>
        <w:t xml:space="preserve">-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Detener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stopExecution()</w:t>
      </w:r>
      <w:r>
        <w:t xml:space="preserve"> </w:t>
      </w:r>
      <w:r>
        <w:t xml:space="preserve">method)</w:t>
      </w:r>
      <w:r>
        <w:t xml:space="preserve"> </w:t>
      </w:r>
      <w:r>
        <w:t xml:space="preserve">- Para ejecución células Jupyter</w:t>
      </w:r>
      <w:r>
        <w:t xml:space="preserve"> </w:t>
      </w:r>
      <w:r>
        <w:t xml:space="preserve">- Kill procesos Python background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Componente:</w:t>
      </w:r>
      <w:r>
        <w:t xml:space="preserve"> </w:t>
      </w:r>
      <w:r>
        <w:rPr>
          <w:rStyle w:val="VerbatimChar"/>
        </w:rPr>
        <w:t xml:space="preserve">notebook-editor.tsx</w:t>
      </w:r>
    </w:p>
    <w:p>
      <w:pPr>
        <w:pStyle w:val="BodyText"/>
      </w:pPr>
      <w:r>
        <w:rPr>
          <w:bCs/>
          <w:b/>
        </w:rPr>
        <w:t xml:space="preserve">C. Agent Monitoring (Microservicio Python):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Capacidad:</w:t>
      </w:r>
      <w:r>
        <w:t xml:space="preserve"> </w:t>
      </w:r>
      <w:r>
        <w:t xml:space="preserve">Detención agentes en producción mediante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Implementación:</w:t>
      </w:r>
      <w:r>
        <w:t xml:space="preserve"> </w:t>
      </w:r>
      <w:r>
        <w:t xml:space="preserve">Workflows HITL + flags status agent</w:t>
      </w:r>
      <w:r>
        <w:t xml:space="preserve"> </w:t>
      </w:r>
      <w:r>
        <w:t xml:space="preserve">- Estados: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EMERGENCY_STOPPED</w:t>
      </w:r>
      <w:r>
        <w:t xml:space="preserve"> </w:t>
      </w:r>
      <w:r>
        <w:t xml:space="preserve">- Notificación inmediata equipo</w:t>
      </w:r>
      <w:r>
        <w:t xml:space="preserve"> </w:t>
      </w:r>
      <w:r>
        <w:t xml:space="preserve">- Logs inmutables razón parada (Art. 19)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Microservicio:</w:t>
      </w:r>
      <w:r>
        <w:t xml:space="preserve"> </w:t>
      </w:r>
      <w:r>
        <w:rPr>
          <w:rStyle w:val="VerbatimChar"/>
        </w:rPr>
        <w:t xml:space="preserve">leka-agent-monitoring</w:t>
      </w:r>
    </w:p>
    <w:p>
      <w:pPr>
        <w:pStyle w:val="BodyText"/>
      </w:pPr>
      <w:r>
        <w:rPr>
          <w:bCs/>
          <w:b/>
        </w:rPr>
        <w:t xml:space="preserve">D. Model Inference (API):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POST /api/model/halt-inference</w:t>
      </w:r>
      <w:r>
        <w:t xml:space="preserve"> </w:t>
      </w:r>
      <w:r>
        <w:t xml:space="preserve">- Detiene inferencias modelo específico</w:t>
      </w:r>
      <w:r>
        <w:t xml:space="preserve"> </w:t>
      </w:r>
      <w:r>
        <w:t xml:space="preserve">- Circuit breaker activado</w:t>
      </w:r>
      <w:r>
        <w:t xml:space="preserve"> </w:t>
      </w:r>
      <w:r>
        <w:t xml:space="preserve">- Requiere aprobación reinicio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override-capability-art.-14.4.d"/>
    <w:p>
      <w:pPr>
        <w:pStyle w:val="Heading3"/>
      </w:pPr>
      <w:r>
        <w:rPr>
          <w:bCs/>
          <w:b/>
        </w:rPr>
        <w:t xml:space="preserve">Override capability (Art. 14.4.d):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Implementado:</w:t>
      </w:r>
      <w:r>
        <w:t xml:space="preserve"> </w:t>
      </w:r>
      <w:r>
        <w:t xml:space="preserve">- Human reviewer puede</w:t>
      </w:r>
      <w:r>
        <w:t xml:space="preserve"> </w:t>
      </w:r>
      <w:r>
        <w:rPr>
          <w:bCs/>
          <w:b/>
        </w:rPr>
        <w:t xml:space="preserve">overridear</w:t>
      </w:r>
      <w:r>
        <w:t xml:space="preserve"> </w:t>
      </w:r>
      <w:r>
        <w:t xml:space="preserve">decisión IA</w:t>
      </w:r>
      <w:r>
        <w:t xml:space="preserve"> </w:t>
      </w:r>
      <w:r>
        <w:t xml:space="preserve">- ✅ Justificación obligatoria (min. 50 chars)</w:t>
      </w:r>
      <w:r>
        <w:t xml:space="preserve"> </w:t>
      </w:r>
      <w:r>
        <w:t xml:space="preserve">- ✅ Registro inmutable override (Art. 19)</w:t>
      </w:r>
      <w:r>
        <w:t xml:space="preserve"> </w:t>
      </w:r>
      <w:r>
        <w:t xml:space="preserve">- ✅ Estadísticas: Override rate, HITL rate</w:t>
      </w:r>
    </w:p>
    <w:p>
      <w:pPr>
        <w:pStyle w:val="BodyText"/>
      </w:pPr>
      <w:r>
        <w:rPr>
          <w:bCs/>
          <w:b/>
        </w:rPr>
        <w:t xml:space="preserve">Métricas tracking:</w:t>
      </w:r>
      <w:r>
        <w:t xml:space="preserve"> </w:t>
      </w:r>
      <w:r>
        <w:t xml:space="preserve">- HITL interventions / total decisions</w:t>
      </w:r>
      <w:r>
        <w:t xml:space="preserve"> </w:t>
      </w:r>
      <w:r>
        <w:t xml:space="preserve">- Override rate (%)</w:t>
      </w:r>
      <w:r>
        <w:t xml:space="preserve"> </w:t>
      </w:r>
      <w:r>
        <w:t xml:space="preserve">- Tiempo promedio intervención humana</w:t>
      </w:r>
      <w:r>
        <w:t xml:space="preserve"> </w:t>
      </w:r>
      <w:r>
        <w:t xml:space="preserve">- Razones override más frecuentes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espuesta-7-instrucciones-de-uso-art.-13"/>
    <w:p>
      <w:pPr>
        <w:pStyle w:val="Heading2"/>
      </w:pPr>
      <w:r>
        <w:t xml:space="preserve">📊 RESPUESTA 7: INSTRUCCIONES DE USO (Art. 13)</w:t>
      </w:r>
    </w:p>
    <w:bookmarkStart w:id="49" w:name="X55f9e7e8dfdc0dd0921ddb8a4f1a99354955fcf"/>
    <w:p>
      <w:pPr>
        <w:pStyle w:val="Heading3"/>
      </w:pPr>
      <w:r>
        <w:rPr>
          <w:bCs/>
          <w:b/>
        </w:rPr>
        <w:t xml:space="preserve">¿Generamos automáticamente instrucciones de uso para alto riesgo?</w:t>
      </w:r>
    </w:p>
    <w:p>
      <w:pPr>
        <w:pStyle w:val="FirstParagraph"/>
      </w:pPr>
      <w:r>
        <w:rPr>
          <w:bCs/>
          <w:b/>
        </w:rPr>
        <w:t xml:space="preserve">Respuesta: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SÍ - Auto-generación desde metadatos</w:t>
      </w:r>
    </w:p>
    <w:p>
      <w:pPr>
        <w:pStyle w:val="BodyText"/>
      </w:pPr>
      <w:r>
        <w:rPr>
          <w:bCs/>
          <w:b/>
        </w:rPr>
        <w:t xml:space="preserve">Art. 13.3.b - Instrucciones de Uso (Instructions for Use):</w:t>
      </w:r>
    </w:p>
    <w:p>
      <w:pPr>
        <w:pStyle w:val="BodyText"/>
      </w:pPr>
      <w:r>
        <w:rPr>
          <w:bCs/>
          <w:b/>
        </w:rPr>
        <w:t xml:space="preserve">Elementos obligatorios generados: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2582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 Art. 13.3.b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Identidad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Uso previsto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Project.intendedUse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Nivel precisión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Evaluaciones automáticas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Robustez y 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Adversarial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Outputs esperados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Duración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Mantenimiento y actualizaciones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Medidas supervisión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HITL config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</w:t>
            </w:r>
            <w:r>
              <w:rPr>
                <w:bCs/>
                <w:b/>
              </w:rPr>
              <w:t xml:space="preserve"> </w:t>
            </w:r>
            <w:r>
              <w:t xml:space="preserve">Limitaciones conocidas****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Auto-detectadas evaluaciones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ómo-documentamos-limitaciones-conocidas"/>
    <w:p>
      <w:pPr>
        <w:pStyle w:val="Heading3"/>
      </w:pPr>
      <w:r>
        <w:rPr>
          <w:bCs/>
          <w:b/>
        </w:rPr>
        <w:t xml:space="preserve">¿Cómo documentamos limitaciones conocidas?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Detección automática limitaciones:</w:t>
      </w:r>
    </w:p>
    <w:p>
      <w:pPr>
        <w:pStyle w:val="BodyText"/>
      </w:pPr>
      <w:r>
        <w:rPr>
          <w:bCs/>
          <w:b/>
        </w:rPr>
        <w:t xml:space="preserve">Fuentes: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Evaluaciones métricas:</w:t>
      </w:r>
      <w:r>
        <w:t xml:space="preserve"> </w:t>
      </w:r>
      <w:r>
        <w:t xml:space="preserve">- Si Accuracy &lt; 95% → Limitación</w:t>
      </w:r>
      <w:r>
        <w:t xml:space="preserve"> </w:t>
      </w:r>
      <w:r>
        <w:t xml:space="preserve">“</w:t>
      </w:r>
      <w:r>
        <w:t xml:space="preserve">precision moderada</w:t>
      </w:r>
      <w:r>
        <w:t xml:space="preserve">”</w:t>
      </w:r>
      <w:r>
        <w:t xml:space="preserve"> </w:t>
      </w:r>
      <w:r>
        <w:t xml:space="preserve">- Si Bias score &gt; 20% → Limitación</w:t>
      </w:r>
      <w:r>
        <w:t xml:space="preserve"> </w:t>
      </w:r>
      <w:r>
        <w:t xml:space="preserve">“</w:t>
      </w:r>
      <w:r>
        <w:t xml:space="preserve">posible sesgo demográfico</w:t>
      </w:r>
      <w:r>
        <w:t xml:space="preserve">”</w:t>
      </w:r>
      <w:r>
        <w:t xml:space="preserve"> </w:t>
      </w:r>
      <w:r>
        <w:t xml:space="preserve">- Si Hallucination rate &gt; 10% → Limitación</w:t>
      </w:r>
      <w:r>
        <w:t xml:space="preserve"> </w:t>
      </w:r>
      <w:r>
        <w:t xml:space="preserve">“</w:t>
      </w:r>
      <w:r>
        <w:t xml:space="preserve">puede generar información incorrecta</w:t>
      </w:r>
      <w:r>
        <w:t xml:space="preserve">”</w:t>
      </w:r>
      <w:r>
        <w:t xml:space="preserve"> </w:t>
      </w:r>
      <w:r>
        <w:t xml:space="preserve">- Si Adversarial robustness &lt; 70% → Limitación</w:t>
      </w:r>
      <w:r>
        <w:t xml:space="preserve"> </w:t>
      </w:r>
      <w:r>
        <w:t xml:space="preserve">“</w:t>
      </w:r>
      <w:r>
        <w:t xml:space="preserve">vulnerable ataques adversarios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Análisis datos entrenamiento:</w:t>
      </w:r>
    </w:p>
    <w:p>
      <w:pPr>
        <w:numPr>
          <w:ilvl w:val="1"/>
          <w:numId w:val="1005"/>
        </w:numPr>
        <w:pStyle w:val="Compact"/>
      </w:pPr>
      <w:r>
        <w:t xml:space="preserve">Gaps cobertura geográfica → Limitación</w:t>
      </w:r>
      <w:r>
        <w:t xml:space="preserve"> </w:t>
      </w:r>
      <w:r>
        <w:t xml:space="preserve">“</w:t>
      </w:r>
      <w:r>
        <w:t xml:space="preserve">datos primariamente región X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Desbalanceo clases → Limitación</w:t>
      </w:r>
      <w:r>
        <w:t xml:space="preserve"> </w:t>
      </w:r>
      <w:r>
        <w:t xml:space="preserve">“</w:t>
      </w:r>
      <w:r>
        <w:t xml:space="preserve">mejor performance clase Y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Temporal coverage → Limitación</w:t>
      </w:r>
      <w:r>
        <w:t xml:space="preserve"> </w:t>
      </w:r>
      <w:r>
        <w:t xml:space="preserve">“</w:t>
      </w:r>
      <w:r>
        <w:t xml:space="preserve">datos hasta fecha X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Condiciones uso:</w:t>
      </w:r>
    </w:p>
    <w:p>
      <w:pPr>
        <w:numPr>
          <w:ilvl w:val="1"/>
          <w:numId w:val="1006"/>
        </w:numPr>
        <w:pStyle w:val="Compact"/>
      </w:pPr>
      <w:r>
        <w:t xml:space="preserve">Input constraints → Limitación</w:t>
      </w:r>
      <w:r>
        <w:t xml:space="preserve"> </w:t>
      </w:r>
      <w:r>
        <w:t xml:space="preserve">“</w:t>
      </w:r>
      <w:r>
        <w:t xml:space="preserve">requiere input formato X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Output constraints → Limitación</w:t>
      </w:r>
      <w:r>
        <w:t xml:space="preserve"> </w:t>
      </w:r>
      <w:r>
        <w:t xml:space="preserve">“</w:t>
      </w:r>
      <w:r>
        <w:t xml:space="preserve">genera outputs limitados a Y tokens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Context window → Limitación</w:t>
      </w:r>
      <w:r>
        <w:t xml:space="preserve"> </w:t>
      </w:r>
      <w:r>
        <w:t xml:space="preserve">“</w:t>
      </w:r>
      <w:r>
        <w:t xml:space="preserve">contexto máximo Z tokens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Template generado:</w:t>
      </w:r>
    </w:p>
    <w:p>
      <w:pPr>
        <w:pStyle w:val="SourceCode"/>
      </w:pPr>
      <w:r>
        <w:rPr>
          <w:rStyle w:val="FunctionTok"/>
        </w:rPr>
        <w:t xml:space="preserve">## LIMITACIONES CONOCIDAS</w:t>
      </w:r>
      <w:r>
        <w:br/>
      </w:r>
      <w:r>
        <w:br/>
      </w:r>
      <w:r>
        <w:rPr>
          <w:rStyle w:val="FunctionTok"/>
        </w:rPr>
        <w:t xml:space="preserve">### Precisión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Accuracy general: 87.3% (evaluado con dataset XYZ)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Performance degradada en: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categorías específicas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Bias Potencial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Sesgo detectado atributo: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género/edad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(score: 23.4%)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Recomendación: Supervisión humana decisiones grupo vulnerable</w:t>
      </w:r>
      <w:r>
        <w:br/>
      </w:r>
      <w:r>
        <w:br/>
      </w:r>
      <w:r>
        <w:rPr>
          <w:rStyle w:val="FunctionTok"/>
        </w:rPr>
        <w:t xml:space="preserve">### Robustez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Adversarial robustness: 72.1%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Vulnerable 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tipos ataques específicos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Mitigación: Input validation + HITL</w:t>
      </w:r>
      <w:r>
        <w:br/>
      </w:r>
      <w:r>
        <w:br/>
      </w:r>
      <w:r>
        <w:rPr>
          <w:rStyle w:val="FunctionTok"/>
        </w:rPr>
        <w:t xml:space="preserve">### Datos Entrenamiento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Cobertura geográfica: Primariamente Europa/Norte América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Temporal: Datos hasta Octubre 2024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Idiomas: Inglés (90%), Español (8%), otros (2%)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respuesta-8-eu-database-art.-71"/>
    <w:p>
      <w:pPr>
        <w:pStyle w:val="Heading2"/>
      </w:pPr>
      <w:r>
        <w:t xml:space="preserve">📊 RESPUESTA 8: EU DATABASE (Art. 71)</w:t>
      </w:r>
    </w:p>
    <w:bookmarkStart w:id="52" w:name="X4e4d780e5f1bb5a6d596b28502190cb70644b3a"/>
    <w:p>
      <w:pPr>
        <w:pStyle w:val="Heading3"/>
      </w:pPr>
      <w:r>
        <w:rPr>
          <w:bCs/>
          <w:b/>
        </w:rPr>
        <w:t xml:space="preserve">¿Preparamos información registro EU Database? ¿Qué campos exactos?</w:t>
      </w:r>
    </w:p>
    <w:p>
      <w:pPr>
        <w:pStyle w:val="FirstParagraph"/>
      </w:pPr>
      <w:r>
        <w:rPr>
          <w:bCs/>
          <w:b/>
        </w:rPr>
        <w:t xml:space="preserve">Respuesta: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SÍ - Entidad completa con 3 secciones Anexo VIII</w:t>
      </w:r>
    </w:p>
    <w:p>
      <w:pPr>
        <w:pStyle w:val="BodyText"/>
      </w:pPr>
      <w:r>
        <w:rPr>
          <w:bCs/>
          <w:b/>
        </w:rPr>
        <w:t xml:space="preserve">Entidad:</w:t>
      </w:r>
      <w:r>
        <w:t xml:space="preserve"> </w:t>
      </w:r>
      <w:r>
        <w:rPr>
          <w:rStyle w:val="VerbatimChar"/>
        </w:rPr>
        <w:t xml:space="preserve">EuRegistration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REGEUREGISTRATIONS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Start w:id="56" w:name="anexo-viii---3-secciones"/>
    <w:p>
      <w:pPr>
        <w:pStyle w:val="Heading3"/>
      </w:pPr>
      <w:r>
        <w:rPr>
          <w:bCs/>
          <w:b/>
        </w:rPr>
        <w:t xml:space="preserve">Anexo VIII - 3 Secciones:</w:t>
      </w:r>
    </w:p>
    <w:bookmarkStart w:id="53" w:name="X6af749ff47f841e991010b23e6047cf108020df"/>
    <w:p>
      <w:pPr>
        <w:pStyle w:val="Heading4"/>
      </w:pPr>
      <w:r>
        <w:rPr>
          <w:bCs/>
          <w:b/>
        </w:rPr>
        <w:t xml:space="preserve">SECCIÓN A: Sistemas IA Alto Riesgo (Art. 49.1) - 13 campos: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608"/>
        <w:gridCol w:w="210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Anexo 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Auto-populated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Nombre y tipo sistema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Proveedor (nombre, dirección, contacto)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provider.name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provider.address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Representante autorizado UE (si no-UE)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provider.authorizedRep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Responsable despliegue (datos contacto)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deployer.contactInfo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Categoría Anexo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project.annexIIICategories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Uso previsto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project.intendedUse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Región geográfica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project.geographicScope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Certificado conformity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conformityAssessment.certificateId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Link declaración UE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conformityDeclaration.url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URL instrucciones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instructionsForUse.url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Número 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ceMarking.number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Link documentación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technicalDoc.url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Link resumen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systemSummary.url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53"/>
    <w:bookmarkStart w:id="54" w:name="Xd455538d742c8761e56e4119d0c4c72fa6bed30"/>
    <w:p>
      <w:pPr>
        <w:pStyle w:val="Heading4"/>
      </w:pPr>
      <w:r>
        <w:rPr>
          <w:bCs/>
          <w:b/>
        </w:rPr>
        <w:t xml:space="preserve">SECCIÓN B: Sistemas Identificación Biométrica (Art. 49.2) - 9 campos:</w:t>
      </w:r>
    </w:p>
    <w:p>
      <w:pPr>
        <w:numPr>
          <w:ilvl w:val="0"/>
          <w:numId w:val="1007"/>
        </w:numPr>
        <w:pStyle w:val="Compact"/>
      </w:pPr>
      <w:r>
        <w:t xml:space="preserve">Similar a Sección A pero específicos biometría</w:t>
      </w:r>
    </w:p>
    <w:p>
      <w:pPr>
        <w:numPr>
          <w:ilvl w:val="0"/>
          <w:numId w:val="1007"/>
        </w:numPr>
        <w:pStyle w:val="Compact"/>
      </w:pPr>
      <w:r>
        <w:t xml:space="preserve">✅ Implementados si</w:t>
      </w:r>
      <w:r>
        <w:t xml:space="preserve"> </w:t>
      </w:r>
      <w:r>
        <w:rPr>
          <w:rStyle w:val="VerbatimChar"/>
        </w:rPr>
        <w:t xml:space="preserve">annexIIICategory = "III.1"</w:t>
      </w:r>
    </w:p>
    <w:bookmarkEnd w:id="54"/>
    <w:bookmarkStart w:id="55" w:name="Xc085931384940da2f2157eb3a8c486eb6d74aea"/>
    <w:p>
      <w:pPr>
        <w:pStyle w:val="Heading4"/>
      </w:pPr>
      <w:r>
        <w:rPr>
          <w:bCs/>
          <w:b/>
        </w:rPr>
        <w:t xml:space="preserve">SECCIÓN C: Infraestructuras Críticas (Art. 49.3) - 5 campos:</w:t>
      </w:r>
    </w:p>
    <w:p>
      <w:pPr>
        <w:numPr>
          <w:ilvl w:val="0"/>
          <w:numId w:val="1008"/>
        </w:numPr>
        <w:pStyle w:val="Compact"/>
      </w:pPr>
      <w:r>
        <w:t xml:space="preserve">Subset Sección A para infraestructuras críticas</w:t>
      </w:r>
    </w:p>
    <w:p>
      <w:pPr>
        <w:numPr>
          <w:ilvl w:val="0"/>
          <w:numId w:val="1008"/>
        </w:numPr>
        <w:pStyle w:val="Compact"/>
      </w:pPr>
      <w:r>
        <w:t xml:space="preserve">✅ Implementados si</w:t>
      </w:r>
      <w:r>
        <w:t xml:space="preserve"> </w:t>
      </w:r>
      <w:r>
        <w:rPr>
          <w:rStyle w:val="VerbatimChar"/>
        </w:rPr>
        <w:t xml:space="preserve">annexIIICategory = "III.2"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stado-integración"/>
    <w:p>
      <w:pPr>
        <w:pStyle w:val="Heading3"/>
      </w:pPr>
      <w:r>
        <w:rPr>
          <w:bCs/>
          <w:b/>
        </w:rPr>
        <w:t xml:space="preserve">Estado integración:</w:t>
      </w:r>
    </w:p>
    <w:p>
      <w:pPr>
        <w:pStyle w:val="FirstParagraph"/>
      </w:pPr>
      <w:r>
        <w:rPr>
          <w:bCs/>
          <w:b/>
        </w:rPr>
        <w:t xml:space="preserve">✅ Preparación datos: 100%</w:t>
      </w:r>
      <w:r>
        <w:t xml:space="preserve"> </w:t>
      </w:r>
      <w:r>
        <w:t xml:space="preserve">- Todos los campos Anexo VIII mapeados</w:t>
      </w:r>
      <w:r>
        <w:t xml:space="preserve"> </w:t>
      </w:r>
      <w:r>
        <w:t xml:space="preserve">- Auto-population desde entidades existentes</w:t>
      </w:r>
      <w:r>
        <w:t xml:space="preserve"> </w:t>
      </w:r>
      <w:r>
        <w:t xml:space="preserve">- Validación completitud pre-submission</w:t>
      </w:r>
    </w:p>
    <w:p>
      <w:pPr>
        <w:pStyle w:val="BodyText"/>
      </w:pPr>
      <w:r>
        <w:rPr>
          <w:bCs/>
          <w:b/>
        </w:rPr>
        <w:t xml:space="preserve">⏳ Integración API UE: Pendiente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Razón:</w:t>
      </w:r>
      <w:r>
        <w:t xml:space="preserve"> </w:t>
      </w:r>
      <w:r>
        <w:t xml:space="preserve">API EU Database no publicada aún por Comisión Europea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Deadline publicación API:</w:t>
      </w:r>
      <w:r>
        <w:t xml:space="preserve"> </w:t>
      </w:r>
      <w:r>
        <w:t xml:space="preserve">Estimado Q2-Q3 2026 (antes deadline 2 ago 2026)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Nuestra preparación:</w:t>
      </w:r>
      <w:r>
        <w:t xml:space="preserve"> </w:t>
      </w:r>
      <w:r>
        <w:t xml:space="preserve">- Entidad</w:t>
      </w:r>
      <w:r>
        <w:t xml:space="preserve"> </w:t>
      </w:r>
      <w:r>
        <w:rPr>
          <w:rStyle w:val="VerbatimChar"/>
        </w:rPr>
        <w:t xml:space="preserve">EuRegistration</w:t>
      </w:r>
      <w:r>
        <w:t xml:space="preserve"> </w:t>
      </w:r>
      <w:r>
        <w:t xml:space="preserve">completa</w:t>
      </w:r>
      <w:r>
        <w:t xml:space="preserve"> </w:t>
      </w:r>
      <w:r>
        <w:t xml:space="preserve">- JSON submission data preparado</w:t>
      </w:r>
      <w:r>
        <w:t xml:space="preserve"> </w:t>
      </w:r>
      <w:r>
        <w:t xml:space="preserve">- Workflow BPMN</w:t>
      </w:r>
      <w:r>
        <w:t xml:space="preserve"> </w:t>
      </w:r>
      <w:r>
        <w:rPr>
          <w:rStyle w:val="VerbatimChar"/>
        </w:rPr>
        <w:t xml:space="preserve">eu_database_registration_process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Conectaremos API en cuanto esté disponible</w:t>
      </w:r>
    </w:p>
    <w:p>
      <w:pPr>
        <w:pStyle w:val="BodyText"/>
      </w:pPr>
      <w:r>
        <w:rPr>
          <w:bCs/>
          <w:b/>
        </w:rPr>
        <w:t xml:space="preserve">Workaround temporal:</w:t>
      </w:r>
      <w:r>
        <w:t xml:space="preserve"> </w:t>
      </w:r>
      <w:r>
        <w:t xml:space="preserve">- ✅ Exportación JSON/XML submission package</w:t>
      </w:r>
      <w:r>
        <w:t xml:space="preserve"> </w:t>
      </w:r>
      <w:r>
        <w:t xml:space="preserve">- ✅ Cliente puede subir manualmente portal UE (cuando abra)</w:t>
      </w:r>
      <w:r>
        <w:t xml:space="preserve"> </w:t>
      </w:r>
      <w:r>
        <w:t xml:space="preserve">- ✅ Import response UE y almacenamiento</w:t>
      </w:r>
      <w:r>
        <w:t xml:space="preserve"> </w:t>
      </w:r>
      <w:r>
        <w:rPr>
          <w:rStyle w:val="VerbatimChar"/>
        </w:rPr>
        <w:t xml:space="preserve">regEuApiResponse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Xf6c0789b639cd6fa2b119d9412fc4cb5868b2d8"/>
    <w:p>
      <w:pPr>
        <w:pStyle w:val="Heading2"/>
      </w:pPr>
      <w:r>
        <w:t xml:space="preserve">📊 RESPUESTA 9: POLÍTICAS GRANULARES VS GLOBALES</w:t>
      </w:r>
    </w:p>
    <w:bookmarkStart w:id="63" w:name="X19cf63c2255e1ea11dc683feebc6f524ccd4c2e"/>
    <w:p>
      <w:pPr>
        <w:pStyle w:val="Heading3"/>
      </w:pPr>
      <w:r>
        <w:rPr>
          <w:bCs/>
          <w:b/>
        </w:rPr>
        <w:t xml:space="preserve">¿Las políticas son granulares por modelo/caso o globales?</w:t>
      </w:r>
    </w:p>
    <w:p>
      <w:pPr>
        <w:pStyle w:val="FirstParagraph"/>
      </w:pPr>
      <w:r>
        <w:rPr>
          <w:bCs/>
          <w:b/>
        </w:rPr>
        <w:t xml:space="preserve">Respuesta: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Ambas - Sistema híbrido granular + global</w:t>
      </w:r>
    </w:p>
    <w:p>
      <w:pPr>
        <w:pStyle w:val="BodyText"/>
      </w:pPr>
      <w:r>
        <w:rPr>
          <w:bCs/>
          <w:b/>
        </w:rPr>
        <w:t xml:space="preserve">Arquitectura políticas:</w:t>
      </w:r>
    </w:p>
    <w:bookmarkStart w:id="59" w:name="nivel-1-políticas-globales-organización"/>
    <w:p>
      <w:pPr>
        <w:pStyle w:val="Heading4"/>
      </w:pPr>
      <w:r>
        <w:rPr>
          <w:bCs/>
          <w:b/>
        </w:rPr>
        <w:t xml:space="preserve">Nivel 1: Políticas Globales (Organización)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Entidad:</w:t>
      </w:r>
      <w:r>
        <w:t xml:space="preserve"> </w:t>
      </w:r>
      <w:r>
        <w:rPr>
          <w:rStyle w:val="VerbatimChar"/>
        </w:rPr>
        <w:t xml:space="preserve">AIPolicy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AIPPOLICYFRAMEWORK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Toda la organización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Contenido:</w:t>
      </w:r>
    </w:p>
    <w:p>
      <w:pPr>
        <w:numPr>
          <w:ilvl w:val="1"/>
          <w:numId w:val="1010"/>
        </w:numPr>
        <w:pStyle w:val="Compact"/>
      </w:pPr>
      <w:r>
        <w:t xml:space="preserve">Principios gobierno IA general</w:t>
      </w:r>
    </w:p>
    <w:p>
      <w:pPr>
        <w:numPr>
          <w:ilvl w:val="1"/>
          <w:numId w:val="1010"/>
        </w:numPr>
        <w:pStyle w:val="Compact"/>
      </w:pPr>
      <w:r>
        <w:t xml:space="preserve">Compromiso compliance (ISO 42001 Clause 5.2)</w:t>
      </w:r>
    </w:p>
    <w:p>
      <w:pPr>
        <w:numPr>
          <w:ilvl w:val="1"/>
          <w:numId w:val="1010"/>
        </w:numPr>
        <w:pStyle w:val="Compact"/>
      </w:pPr>
      <w:r>
        <w:t xml:space="preserve">Roles y responsabilidades</w:t>
      </w:r>
    </w:p>
    <w:p>
      <w:pPr>
        <w:numPr>
          <w:ilvl w:val="1"/>
          <w:numId w:val="1010"/>
        </w:numPr>
        <w:pStyle w:val="Compact"/>
      </w:pPr>
      <w:r>
        <w:t xml:space="preserve">Aprobación top management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Frecuencia revisión:</w:t>
      </w:r>
      <w:r>
        <w:t xml:space="preserve"> </w:t>
      </w:r>
      <w:r>
        <w:t xml:space="preserve">Anual</w:t>
      </w:r>
    </w:p>
    <w:bookmarkEnd w:id="59"/>
    <w:bookmarkStart w:id="60" w:name="nivel-2-políticas-por-proyecto"/>
    <w:p>
      <w:pPr>
        <w:pStyle w:val="Heading4"/>
      </w:pPr>
      <w:r>
        <w:rPr>
          <w:bCs/>
          <w:b/>
        </w:rPr>
        <w:t xml:space="preserve">Nivel 2: Políticas por Proyecto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Entidad: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PRJPROJECTS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Proyecto específico (puede incluir N modelos)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Contenido:</w:t>
      </w:r>
    </w:p>
    <w:p>
      <w:pPr>
        <w:numPr>
          <w:ilvl w:val="1"/>
          <w:numId w:val="1012"/>
        </w:numPr>
        <w:pStyle w:val="Compact"/>
      </w:pPr>
      <w:r>
        <w:t xml:space="preserve">Uso previsto específico</w:t>
      </w:r>
    </w:p>
    <w:p>
      <w:pPr>
        <w:numPr>
          <w:ilvl w:val="1"/>
          <w:numId w:val="1012"/>
        </w:numPr>
        <w:pStyle w:val="Compact"/>
      </w:pPr>
      <w:r>
        <w:t xml:space="preserve">Risk appetite específico</w:t>
      </w:r>
    </w:p>
    <w:p>
      <w:pPr>
        <w:numPr>
          <w:ilvl w:val="1"/>
          <w:numId w:val="1012"/>
        </w:numPr>
        <w:pStyle w:val="Compact"/>
      </w:pPr>
      <w:r>
        <w:t xml:space="preserve">Data handling policies</w:t>
      </w:r>
    </w:p>
    <w:p>
      <w:pPr>
        <w:numPr>
          <w:ilvl w:val="1"/>
          <w:numId w:val="1012"/>
        </w:numPr>
        <w:pStyle w:val="Compact"/>
      </w:pPr>
      <w:r>
        <w:t xml:space="preserve">Compliance requirements específicos (si sector regulado)</w:t>
      </w:r>
    </w:p>
    <w:bookmarkEnd w:id="60"/>
    <w:bookmarkStart w:id="61" w:name="nivel-3-políticas-por-modelo"/>
    <w:p>
      <w:pPr>
        <w:pStyle w:val="Heading4"/>
      </w:pPr>
      <w:r>
        <w:rPr>
          <w:bCs/>
          <w:b/>
        </w:rPr>
        <w:t xml:space="preserve">Nivel 3: Políticas por Modelo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Entidad: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MODMODELS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Modelo individual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Contenido:</w:t>
      </w:r>
    </w:p>
    <w:p>
      <w:pPr>
        <w:numPr>
          <w:ilvl w:val="1"/>
          <w:numId w:val="1014"/>
        </w:numPr>
        <w:pStyle w:val="Compact"/>
      </w:pPr>
      <w:r>
        <w:t xml:space="preserve">Acceptable use policy específica</w:t>
      </w:r>
    </w:p>
    <w:p>
      <w:pPr>
        <w:numPr>
          <w:ilvl w:val="1"/>
          <w:numId w:val="1014"/>
        </w:numPr>
        <w:pStyle w:val="Compact"/>
      </w:pPr>
      <w:r>
        <w:t xml:space="preserve">Input/output constraints</w:t>
      </w:r>
    </w:p>
    <w:p>
      <w:pPr>
        <w:numPr>
          <w:ilvl w:val="1"/>
          <w:numId w:val="1014"/>
        </w:numPr>
        <w:pStyle w:val="Compact"/>
      </w:pPr>
      <w:r>
        <w:t xml:space="preserve">Performance thresholds</w:t>
      </w:r>
    </w:p>
    <w:p>
      <w:pPr>
        <w:numPr>
          <w:ilvl w:val="1"/>
          <w:numId w:val="1014"/>
        </w:numPr>
        <w:pStyle w:val="Compact"/>
      </w:pPr>
      <w:r>
        <w:t xml:space="preserve">Limitaciones conocidas</w:t>
      </w:r>
    </w:p>
    <w:p>
      <w:pPr>
        <w:numPr>
          <w:ilvl w:val="1"/>
          <w:numId w:val="1014"/>
        </w:numPr>
        <w:pStyle w:val="Compact"/>
      </w:pPr>
      <w:r>
        <w:t xml:space="preserve">Grupos vulnerables afectados</w:t>
      </w:r>
    </w:p>
    <w:bookmarkEnd w:id="61"/>
    <w:bookmarkStart w:id="62" w:name="nivel-4-políticas-por-deployment"/>
    <w:p>
      <w:pPr>
        <w:pStyle w:val="Heading4"/>
      </w:pPr>
      <w:r>
        <w:rPr>
          <w:bCs/>
          <w:b/>
        </w:rPr>
        <w:t xml:space="preserve">Nivel 4: Políticas por Deployment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Entidad: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DEPDEPLOYMENTS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Deployment específico (modelo + ambiente)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Contenido:</w:t>
      </w:r>
    </w:p>
    <w:p>
      <w:pPr>
        <w:numPr>
          <w:ilvl w:val="1"/>
          <w:numId w:val="1016"/>
        </w:numPr>
        <w:pStyle w:val="Compact"/>
      </w:pPr>
      <w:r>
        <w:t xml:space="preserve">SLA específico</w:t>
      </w:r>
    </w:p>
    <w:p>
      <w:pPr>
        <w:numPr>
          <w:ilvl w:val="1"/>
          <w:numId w:val="1016"/>
        </w:numPr>
        <w:pStyle w:val="Compact"/>
      </w:pPr>
      <w:r>
        <w:t xml:space="preserve">Human oversight requirements</w:t>
      </w:r>
    </w:p>
    <w:p>
      <w:pPr>
        <w:numPr>
          <w:ilvl w:val="1"/>
          <w:numId w:val="1016"/>
        </w:numPr>
        <w:pStyle w:val="Compact"/>
      </w:pPr>
      <w:r>
        <w:t xml:space="preserve">Monitoring thresholds</w:t>
      </w:r>
    </w:p>
    <w:p>
      <w:pPr>
        <w:numPr>
          <w:ilvl w:val="1"/>
          <w:numId w:val="1016"/>
        </w:numPr>
        <w:pStyle w:val="Compact"/>
      </w:pPr>
      <w:r>
        <w:t xml:space="preserve">Incident response específico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jemplo-granularidad"/>
    <w:p>
      <w:pPr>
        <w:pStyle w:val="Heading3"/>
      </w:pPr>
      <w:r>
        <w:rPr>
          <w:bCs/>
          <w:b/>
        </w:rPr>
        <w:t xml:space="preserve">Ejemplo granularidad: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“</w:t>
      </w:r>
      <w:r>
        <w:t xml:space="preserve">Sistema RRHH Empresa X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Política global:</w:t>
      </w:r>
      <w:r>
        <w:t xml:space="preserve"> </w:t>
      </w:r>
      <w:r>
        <w:t xml:space="preserve">AI Policy corporativa CodeflowX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Política proyecto:</w:t>
      </w:r>
      <w:r>
        <w:t xml:space="preserve"> </w:t>
      </w:r>
      <w:r>
        <w:t xml:space="preserve">Compliance Anexo III.4 (Employment) + GDPR sector RRHH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Política modelo 1</w:t>
      </w:r>
      <w:r>
        <w:t xml:space="preserve"> </w:t>
      </w:r>
      <w:r>
        <w:t xml:space="preserve">(Filtrado CVs):</w:t>
      </w:r>
      <w:r>
        <w:t xml:space="preserve"> </w:t>
      </w:r>
      <w:r>
        <w:t xml:space="preserve">- Threshold bias &lt; 10%</w:t>
      </w:r>
      <w:r>
        <w:t xml:space="preserve"> </w:t>
      </w:r>
      <w:r>
        <w:t xml:space="preserve">- HITL obligatorio si confidence &lt; 80%</w:t>
      </w:r>
      <w:r>
        <w:t xml:space="preserve"> </w:t>
      </w:r>
      <w:r>
        <w:t xml:space="preserve">- Explicación obligatoria todas decisiones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Política modelo 2</w:t>
      </w:r>
      <w:r>
        <w:t xml:space="preserve"> </w:t>
      </w:r>
      <w:r>
        <w:t xml:space="preserve">(Chatbot onboarding):</w:t>
      </w:r>
      <w:r>
        <w:t xml:space="preserve"> </w:t>
      </w:r>
      <w:r>
        <w:t xml:space="preserve">- Transparency disclosure Art. 52</w:t>
      </w:r>
      <w:r>
        <w:t xml:space="preserve"> </w:t>
      </w:r>
      <w:r>
        <w:t xml:space="preserve">- NO decisiones automatizadas</w:t>
      </w:r>
      <w:r>
        <w:t xml:space="preserve"> </w:t>
      </w:r>
      <w:r>
        <w:t xml:space="preserve">- Logs 6 meses (no 10 años)</w:t>
      </w:r>
    </w:p>
    <w:p>
      <w:pPr>
        <w:pStyle w:val="BodyText"/>
      </w:pPr>
      <w:r>
        <w:rPr>
          <w:bCs/>
          <w:b/>
        </w:rPr>
        <w:t xml:space="preserve">Herencia políticas:</w:t>
      </w:r>
    </w:p>
    <w:p>
      <w:pPr>
        <w:pStyle w:val="SourceCode"/>
      </w:pPr>
      <w:r>
        <w:rPr>
          <w:rStyle w:val="VerbatimChar"/>
        </w:rPr>
        <w:t xml:space="preserve">Global → Proyecto → Modelo → Deployment</w:t>
      </w:r>
      <w:r>
        <w:br/>
      </w:r>
      <w:r>
        <w:rPr>
          <w:rStyle w:val="VerbatimChar"/>
        </w:rPr>
        <w:t xml:space="preserve">  ↓        ↓          ↓          ↓</w:t>
      </w:r>
      <w:r>
        <w:br/>
      </w:r>
      <w:r>
        <w:rPr>
          <w:rStyle w:val="VerbatimChar"/>
        </w:rPr>
        <w:t xml:space="preserve">(Base)  (Añade)   (Refina)  (Específica)</w:t>
      </w:r>
    </w:p>
    <w:p>
      <w:pPr>
        <w:pStyle w:val="FirstParagraph"/>
      </w:pPr>
      <w:r>
        <w:rPr>
          <w:bCs/>
          <w:b/>
        </w:rPr>
        <w:t xml:space="preserve">Override:</w:t>
      </w:r>
      <w:r>
        <w:t xml:space="preserve"> </w:t>
      </w:r>
      <w:r>
        <w:t xml:space="preserve">Política más específica prevalece (deployment &gt; modelo &gt; proyecto &gt; global)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gaps-y-transparencia"/>
    <w:p>
      <w:pPr>
        <w:pStyle w:val="Heading2"/>
      </w:pPr>
      <w:r>
        <w:t xml:space="preserve">📊 GAPS Y TRANSPARENCIA</w:t>
      </w:r>
    </w:p>
    <w:bookmarkStart w:id="66" w:name="X4db58231afcfd489ac594a212c6e7f7b06724ea"/>
    <w:p>
      <w:pPr>
        <w:pStyle w:val="Heading3"/>
      </w:pPr>
      <w:r>
        <w:rPr>
          <w:bCs/>
          <w:b/>
        </w:rPr>
        <w:t xml:space="preserve">Áreas con implementación parcial (honestidad):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333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Transferencias internacionales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completo transferencias pero DPAs firmados por cliente (no CodeflowX)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Derecho supresión (Art.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Conflicto AI Act Art. 18-19 (logs 10 años) - Solución: pseudonimización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Database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no publicada por Comisión - Preparación datos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DPIA templates multi-idioma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ES/EN - Pendiente FR/DE/IT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lineage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modelos completo, datasets parcial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roadmap-corto-plazo-q1-2025"/>
    <w:p>
      <w:pPr>
        <w:pStyle w:val="Heading2"/>
      </w:pPr>
      <w:r>
        <w:t xml:space="preserve">📊 ROADMAP CORTO PLAZO (Q1 2025)</w:t>
      </w:r>
    </w:p>
    <w:p>
      <w:pPr>
        <w:pStyle w:val="FirstParagraph"/>
      </w:pPr>
      <w:r>
        <w:rPr>
          <w:bCs/>
          <w:b/>
        </w:rPr>
        <w:t xml:space="preserve">Gaps planificados cerrar: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 lineage datasets:</w:t>
      </w:r>
      <w:r>
        <w:t xml:space="preserve"> </w:t>
      </w:r>
      <w:r>
        <w:t xml:space="preserve">90% → 100% (2 semanas)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DPIA multi-idioma:</w:t>
      </w:r>
      <w:r>
        <w:t xml:space="preserve"> </w:t>
      </w:r>
      <w:r>
        <w:t xml:space="preserve">90% → 100% (1 semana)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Derecho supresión enhancement:</w:t>
      </w:r>
      <w:r>
        <w:t xml:space="preserve"> </w:t>
      </w:r>
      <w:r>
        <w:t xml:space="preserve">Workflow DPO aprobación excepciones legales (2 semanas)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Transferencias tracking:</w:t>
      </w:r>
      <w:r>
        <w:t xml:space="preserve"> </w:t>
      </w:r>
      <w:r>
        <w:t xml:space="preserve">Dashboard transferencias internacionales activas (1 semana)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EU Database API:</w:t>
      </w:r>
      <w:r>
        <w:t xml:space="preserve"> </w:t>
      </w:r>
      <w:r>
        <w:t xml:space="preserve">Integración inmediata cuando API disponible (fecha TBD Comisión)</w:t>
      </w:r>
    </w:p>
    <w:p>
      <w:r>
        <w:pict>
          <v:rect style="width:0;height:1.5pt" o:hralign="center" o:hrstd="t" o:hr="t"/>
        </w:pict>
      </w:r>
    </w:p>
    <w:bookmarkEnd w:id="68"/>
    <w:bookmarkStart w:id="70" w:name="próximos-pasos"/>
    <w:p>
      <w:pPr>
        <w:pStyle w:val="Heading2"/>
      </w:pPr>
      <w:r>
        <w:t xml:space="preserve">🤝 PRÓXIMOS PASOS</w:t>
      </w:r>
    </w:p>
    <w:bookmarkStart w:id="69" w:name="para-profundizar"/>
    <w:p>
      <w:pPr>
        <w:pStyle w:val="Heading3"/>
      </w:pPr>
      <w:r>
        <w:rPr>
          <w:bCs/>
          <w:b/>
        </w:rPr>
        <w:t xml:space="preserve">Para profundizar: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Demo técnica gobierno datos</w:t>
      </w:r>
      <w:r>
        <w:t xml:space="preserve"> </w:t>
      </w:r>
      <w:r>
        <w:t xml:space="preserve">(2 horas)</w:t>
      </w:r>
    </w:p>
    <w:p>
      <w:pPr>
        <w:numPr>
          <w:ilvl w:val="1"/>
          <w:numId w:val="1019"/>
        </w:numPr>
        <w:pStyle w:val="Compact"/>
      </w:pPr>
      <w:r>
        <w:t xml:space="preserve">Arquitectura self-hosted detallada</w:t>
      </w:r>
    </w:p>
    <w:p>
      <w:pPr>
        <w:numPr>
          <w:ilvl w:val="1"/>
          <w:numId w:val="1019"/>
        </w:numPr>
        <w:pStyle w:val="Compact"/>
      </w:pPr>
      <w:r>
        <w:t xml:space="preserve">DPIA + pseudonimización en vivo</w:t>
      </w:r>
    </w:p>
    <w:p>
      <w:pPr>
        <w:numPr>
          <w:ilvl w:val="1"/>
          <w:numId w:val="1019"/>
        </w:numPr>
        <w:pStyle w:val="Compact"/>
      </w:pPr>
      <w:r>
        <w:t xml:space="preserve">Stop buttons y HITL workflows</w:t>
      </w:r>
    </w:p>
    <w:p>
      <w:pPr>
        <w:numPr>
          <w:ilvl w:val="1"/>
          <w:numId w:val="1019"/>
        </w:numPr>
        <w:pStyle w:val="Compact"/>
      </w:pPr>
      <w:r>
        <w:t xml:space="preserve">Derechos GDPR automation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Audit técnico</w:t>
      </w:r>
      <w:r>
        <w:t xml:space="preserve"> </w:t>
      </w:r>
      <w:r>
        <w:t xml:space="preserve">(1 día)</w:t>
      </w:r>
    </w:p>
    <w:p>
      <w:pPr>
        <w:numPr>
          <w:ilvl w:val="1"/>
          <w:numId w:val="1020"/>
        </w:numPr>
        <w:pStyle w:val="Compact"/>
      </w:pPr>
      <w:r>
        <w:t xml:space="preserve">Revisión código fuente (bajo NDA)</w:t>
      </w:r>
    </w:p>
    <w:p>
      <w:pPr>
        <w:numPr>
          <w:ilvl w:val="1"/>
          <w:numId w:val="1020"/>
        </w:numPr>
        <w:pStyle w:val="Compact"/>
      </w:pPr>
      <w:r>
        <w:t xml:space="preserve">Testing PII detection</w:t>
      </w:r>
    </w:p>
    <w:p>
      <w:pPr>
        <w:numPr>
          <w:ilvl w:val="1"/>
          <w:numId w:val="1020"/>
        </w:numPr>
        <w:pStyle w:val="Compact"/>
      </w:pPr>
      <w:r>
        <w:t xml:space="preserve">Validación k-anonymity</w:t>
      </w:r>
    </w:p>
    <w:p>
      <w:pPr>
        <w:numPr>
          <w:ilvl w:val="1"/>
          <w:numId w:val="1020"/>
        </w:numPr>
        <w:pStyle w:val="Compact"/>
      </w:pPr>
      <w:r>
        <w:t xml:space="preserve">Review logs inmutables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Gap analysis específico</w:t>
      </w:r>
      <w:r>
        <w:t xml:space="preserve"> </w:t>
      </w:r>
      <w:r>
        <w:t xml:space="preserve">(medio día)</w:t>
      </w:r>
    </w:p>
    <w:p>
      <w:pPr>
        <w:numPr>
          <w:ilvl w:val="1"/>
          <w:numId w:val="1021"/>
        </w:numPr>
        <w:pStyle w:val="Compact"/>
      </w:pPr>
      <w:r>
        <w:t xml:space="preserve">Requisitos específicos vuestros</w:t>
      </w:r>
    </w:p>
    <w:p>
      <w:pPr>
        <w:numPr>
          <w:ilvl w:val="1"/>
          <w:numId w:val="1021"/>
        </w:numPr>
        <w:pStyle w:val="Compact"/>
      </w:pPr>
      <w:r>
        <w:t xml:space="preserve">Customizaciones necesarias</w:t>
      </w:r>
    </w:p>
    <w:p>
      <w:pPr>
        <w:numPr>
          <w:ilvl w:val="1"/>
          <w:numId w:val="1021"/>
        </w:numPr>
        <w:pStyle w:val="Compact"/>
      </w:pPr>
      <w:r>
        <w:t xml:space="preserve">Timeline implementación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ontacto"/>
    <w:p>
      <w:pPr>
        <w:pStyle w:val="Heading2"/>
      </w:pPr>
      <w:r>
        <w:t xml:space="preserve">📞 CONTACTO</w:t>
      </w:r>
    </w:p>
    <w:p>
      <w:pPr>
        <w:pStyle w:val="FirstParagraph"/>
      </w:pPr>
      <w:r>
        <w:rPr>
          <w:bCs/>
          <w:b/>
        </w:rPr>
        <w:t xml:space="preserve">CodeflowX AI</w:t>
      </w:r>
      <w:r>
        <w:br/>
      </w:r>
      <w:r>
        <w:rPr>
          <w:bCs/>
          <w:b/>
        </w:rPr>
        <w:t xml:space="preserve">Email técnico:</w:t>
      </w:r>
      <w:r>
        <w:t xml:space="preserve"> </w:t>
      </w:r>
      <w:r>
        <w:t xml:space="preserve">tech@codeflowx.ai</w:t>
      </w:r>
      <w:r>
        <w:br/>
      </w:r>
      <w:r>
        <w:rPr>
          <w:bCs/>
          <w:b/>
        </w:rPr>
        <w:t xml:space="preserve">Partnerships:</w:t>
      </w:r>
      <w:r>
        <w:t xml:space="preserve"> </w:t>
      </w:r>
      <w:r>
        <w:t xml:space="preserve">partners@codeflowx.ai</w:t>
      </w:r>
    </w:p>
    <w:p>
      <w:pPr>
        <w:pStyle w:val="BodyText"/>
      </w:pPr>
      <w:r>
        <w:rPr>
          <w:bCs/>
          <w:b/>
        </w:rPr>
        <w:t xml:space="preserve">Equipo Técnico:</w:t>
      </w:r>
      <w:r>
        <w:br/>
      </w:r>
      <w:r>
        <w:t xml:space="preserve">Manuel González - CTO &amp; Co-founder</w:t>
      </w:r>
      <w:r>
        <w:br/>
      </w:r>
      <w:r>
        <w:t xml:space="preserve">manuel.gonzalez@codeflowx.ai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Quedamos a disposición para profundizar en cualquier aspecto técnico.</w:t>
      </w:r>
    </w:p>
    <w:p>
      <w:pPr>
        <w:pStyle w:val="BodyText"/>
      </w:pPr>
      <w:r>
        <w:rPr>
          <w:bCs/>
          <w:b/>
        </w:rPr>
        <w:t xml:space="preserve">FIN DEL DOCUMENTO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2025-11-05T09:05:54Z</dcterms:created>
  <dcterms:modified xsi:type="dcterms:W3CDTF">2025-11-05T09:05:54Z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