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8B" w:rsidRDefault="00623C8B" w:rsidP="00623C8B">
      <w:pPr>
        <w:pStyle w:val="AGTitle"/>
        <w:spacing w:after="0"/>
      </w:pPr>
      <w:r>
        <w:t>Memo</w:t>
      </w:r>
      <w:r w:rsidR="00234FB5">
        <w:tab/>
      </w:r>
      <w:r w:rsidR="00234FB5">
        <w:tab/>
      </w:r>
      <w:r w:rsidR="00234FB5">
        <w:tab/>
      </w:r>
      <w:r w:rsidR="00234FB5">
        <w:tab/>
      </w:r>
      <w:r w:rsidR="00234FB5">
        <w:tab/>
      </w:r>
      <w:r w:rsidR="00234FB5">
        <w:tab/>
      </w:r>
      <w:r w:rsidR="00234FB5">
        <w:tab/>
      </w:r>
      <w:r w:rsidR="00234FB5">
        <w:tab/>
      </w:r>
      <w:r w:rsidR="00234FB5">
        <w:tab/>
      </w:r>
      <w:r w:rsidR="00234FB5" w:rsidRPr="00234FB5">
        <w:rPr>
          <w:b w:val="0"/>
          <w:color w:val="FF0000"/>
        </w:rPr>
        <w:t>DRAFT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6302"/>
      </w:tblGrid>
      <w:tr w:rsidR="00623C8B" w:rsidRPr="00E368D7" w:rsidTr="007B5AEC">
        <w:tc>
          <w:tcPr>
            <w:tcW w:w="1973" w:type="dxa"/>
            <w:shd w:val="clear" w:color="auto" w:fill="auto"/>
            <w:vAlign w:val="center"/>
          </w:tcPr>
          <w:p w:rsidR="00623C8B" w:rsidRPr="006D58C7" w:rsidRDefault="00623C8B" w:rsidP="007B5AEC">
            <w:pPr>
              <w:pStyle w:val="AGInfo"/>
              <w:rPr>
                <w:b/>
                <w:sz w:val="18"/>
                <w:szCs w:val="18"/>
              </w:rPr>
            </w:pPr>
            <w:r w:rsidRPr="006D58C7"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6302" w:type="dxa"/>
            <w:shd w:val="clear" w:color="auto" w:fill="auto"/>
            <w:vAlign w:val="center"/>
          </w:tcPr>
          <w:p w:rsidR="00623C8B" w:rsidRPr="00623C8B" w:rsidRDefault="00623C8B" w:rsidP="007B5AEC">
            <w:pPr>
              <w:pStyle w:val="AGInfo"/>
              <w:rPr>
                <w:sz w:val="18"/>
                <w:szCs w:val="18"/>
              </w:rPr>
            </w:pPr>
            <w:r w:rsidRPr="00623C8B">
              <w:rPr>
                <w:sz w:val="18"/>
                <w:szCs w:val="18"/>
              </w:rPr>
              <w:t>IATI Steering Committee</w:t>
            </w:r>
          </w:p>
        </w:tc>
      </w:tr>
      <w:tr w:rsidR="00623C8B" w:rsidTr="007B5AEC">
        <w:tc>
          <w:tcPr>
            <w:tcW w:w="1973" w:type="dxa"/>
            <w:vAlign w:val="center"/>
          </w:tcPr>
          <w:p w:rsidR="00623C8B" w:rsidRPr="006D58C7" w:rsidRDefault="00623C8B" w:rsidP="007B5AEC">
            <w:pPr>
              <w:pStyle w:val="AGInfo"/>
              <w:rPr>
                <w:b/>
                <w:sz w:val="18"/>
                <w:szCs w:val="18"/>
              </w:rPr>
            </w:pPr>
            <w:r w:rsidRPr="006D58C7"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6302" w:type="dxa"/>
            <w:vAlign w:val="center"/>
          </w:tcPr>
          <w:p w:rsidR="00623C8B" w:rsidRPr="006D58C7" w:rsidRDefault="00623C8B" w:rsidP="007B5AEC">
            <w:pPr>
              <w:pStyle w:val="AGInf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Advisory Group</w:t>
            </w:r>
          </w:p>
        </w:tc>
      </w:tr>
      <w:tr w:rsidR="00623C8B" w:rsidTr="007B5AEC">
        <w:tc>
          <w:tcPr>
            <w:tcW w:w="1973" w:type="dxa"/>
            <w:vAlign w:val="center"/>
          </w:tcPr>
          <w:p w:rsidR="00623C8B" w:rsidRPr="006D58C7" w:rsidRDefault="00623C8B" w:rsidP="007B5AEC">
            <w:pPr>
              <w:pStyle w:val="AGInfo"/>
              <w:rPr>
                <w:b/>
                <w:sz w:val="18"/>
                <w:szCs w:val="18"/>
              </w:rPr>
            </w:pPr>
            <w:r w:rsidRPr="006D58C7">
              <w:rPr>
                <w:b/>
                <w:sz w:val="18"/>
                <w:szCs w:val="18"/>
              </w:rPr>
              <w:t>CC</w:t>
            </w:r>
          </w:p>
        </w:tc>
        <w:tc>
          <w:tcPr>
            <w:tcW w:w="6302" w:type="dxa"/>
            <w:vAlign w:val="center"/>
          </w:tcPr>
          <w:p w:rsidR="00623C8B" w:rsidRPr="006D58C7" w:rsidRDefault="00623C8B" w:rsidP="007B5AEC">
            <w:pPr>
              <w:pStyle w:val="AGInfo"/>
              <w:rPr>
                <w:sz w:val="18"/>
                <w:szCs w:val="18"/>
              </w:rPr>
            </w:pPr>
          </w:p>
        </w:tc>
      </w:tr>
      <w:tr w:rsidR="00623C8B" w:rsidTr="007B5AEC">
        <w:tc>
          <w:tcPr>
            <w:tcW w:w="1973" w:type="dxa"/>
            <w:vAlign w:val="center"/>
          </w:tcPr>
          <w:p w:rsidR="00623C8B" w:rsidRPr="006D58C7" w:rsidRDefault="00623C8B" w:rsidP="007B5AEC">
            <w:pPr>
              <w:pStyle w:val="AGInfo"/>
              <w:rPr>
                <w:b/>
                <w:sz w:val="18"/>
                <w:szCs w:val="18"/>
              </w:rPr>
            </w:pPr>
            <w:r w:rsidRPr="006D58C7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6302" w:type="dxa"/>
            <w:vAlign w:val="center"/>
          </w:tcPr>
          <w:p w:rsidR="00623C8B" w:rsidRPr="006D58C7" w:rsidRDefault="00234FB5" w:rsidP="00234FB5">
            <w:pPr>
              <w:pStyle w:val="AGInf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</w:t>
            </w:r>
            <w:r w:rsidR="00623C8B">
              <w:rPr>
                <w:sz w:val="18"/>
                <w:szCs w:val="18"/>
              </w:rPr>
              <w:t xml:space="preserve"> 2015</w:t>
            </w:r>
          </w:p>
        </w:tc>
      </w:tr>
      <w:tr w:rsidR="00623C8B" w:rsidTr="007B5AEC">
        <w:tc>
          <w:tcPr>
            <w:tcW w:w="1973" w:type="dxa"/>
            <w:vAlign w:val="center"/>
          </w:tcPr>
          <w:p w:rsidR="00623C8B" w:rsidRPr="006D58C7" w:rsidRDefault="00623C8B" w:rsidP="007B5AEC">
            <w:pPr>
              <w:pStyle w:val="AGInfo"/>
              <w:rPr>
                <w:b/>
                <w:sz w:val="18"/>
                <w:szCs w:val="18"/>
              </w:rPr>
            </w:pPr>
            <w:r w:rsidRPr="006D58C7">
              <w:rPr>
                <w:b/>
                <w:sz w:val="18"/>
                <w:szCs w:val="18"/>
              </w:rPr>
              <w:t>RE</w:t>
            </w:r>
          </w:p>
        </w:tc>
        <w:tc>
          <w:tcPr>
            <w:tcW w:w="6302" w:type="dxa"/>
            <w:vAlign w:val="center"/>
          </w:tcPr>
          <w:p w:rsidR="00623C8B" w:rsidRPr="006D58C7" w:rsidRDefault="00EC078C" w:rsidP="00EC078C">
            <w:pPr>
              <w:pStyle w:val="AGInf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International Aid Transparency Initiative </w:t>
            </w:r>
            <w:r w:rsidR="00623C8B">
              <w:rPr>
                <w:sz w:val="18"/>
                <w:szCs w:val="18"/>
              </w:rPr>
              <w:t>Governance Structure</w:t>
            </w:r>
          </w:p>
        </w:tc>
      </w:tr>
    </w:tbl>
    <w:p w:rsidR="00623C8B" w:rsidRPr="00623C8B" w:rsidRDefault="0015105F" w:rsidP="00623C8B">
      <w:pPr>
        <w:rPr>
          <w:b/>
          <w:color w:val="5B9BD5" w:themeColor="accent1"/>
        </w:rPr>
      </w:pPr>
      <w:r>
        <w:rPr>
          <w:b/>
          <w:color w:val="5B9BD5" w:themeColor="accent1"/>
        </w:rPr>
        <w:t>Recommendation</w:t>
      </w:r>
    </w:p>
    <w:p w:rsidR="00EC078C" w:rsidRDefault="0033152B" w:rsidP="00EC078C">
      <w:r>
        <w:t xml:space="preserve">Consistent with the October 2015 External Independent Evaluation </w:t>
      </w:r>
      <w:r w:rsidR="00267F5B">
        <w:t xml:space="preserve">Final Report </w:t>
      </w:r>
      <w:r w:rsidR="00EC078C">
        <w:t xml:space="preserve">we recommend the following </w:t>
      </w:r>
      <w:r w:rsidR="007E3008">
        <w:t xml:space="preserve">interim </w:t>
      </w:r>
      <w:r w:rsidR="00EC078C">
        <w:t>governance structure for the International Aid Transparency Initiative (IATI)</w:t>
      </w:r>
      <w:r w:rsidR="009C51E3">
        <w:t xml:space="preserve"> (refer to Appendix A for further details)</w:t>
      </w:r>
      <w:r w:rsidR="00EC078C">
        <w:t>:</w:t>
      </w:r>
    </w:p>
    <w:p w:rsidR="00623C8B" w:rsidRDefault="006C4B3C" w:rsidP="006C4B3C">
      <w:r w:rsidRPr="00C644CA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22E17D8" wp14:editId="7D5587FD">
            <wp:simplePos x="0" y="0"/>
            <wp:positionH relativeFrom="margin">
              <wp:posOffset>2882265</wp:posOffset>
            </wp:positionH>
            <wp:positionV relativeFrom="paragraph">
              <wp:posOffset>896620</wp:posOffset>
            </wp:positionV>
            <wp:extent cx="2692400" cy="651510"/>
            <wp:effectExtent l="0" t="0" r="0" b="1524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03279" wp14:editId="5A4D1B01">
                <wp:simplePos x="0" y="0"/>
                <wp:positionH relativeFrom="column">
                  <wp:posOffset>1946275</wp:posOffset>
                </wp:positionH>
                <wp:positionV relativeFrom="paragraph">
                  <wp:posOffset>1207770</wp:posOffset>
                </wp:positionV>
                <wp:extent cx="101600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F543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95.1pt" to="233.2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" strokecolor="#8eaadb [1944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B6565" wp14:editId="603DBC5D">
                <wp:simplePos x="0" y="0"/>
                <wp:positionH relativeFrom="column">
                  <wp:posOffset>1942888</wp:posOffset>
                </wp:positionH>
                <wp:positionV relativeFrom="paragraph">
                  <wp:posOffset>422275</wp:posOffset>
                </wp:positionV>
                <wp:extent cx="1007110" cy="795655"/>
                <wp:effectExtent l="0" t="0" r="2159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0" cy="795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DFDA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3.25pt" to="232.3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" strokecolor="#8eaadb [1944]" strokeweight="1.5pt">
                <v:stroke dashstyle="1 1" joinstyle="miter"/>
              </v:line>
            </w:pict>
          </mc:Fallback>
        </mc:AlternateContent>
      </w:r>
      <w:r w:rsidR="00C644CA" w:rsidRPr="00C644CA">
        <w:rPr>
          <w:noProof/>
          <w:sz w:val="16"/>
          <w:szCs w:val="16"/>
        </w:rPr>
        <w:drawing>
          <wp:inline distT="0" distB="0" distL="0" distR="0" wp14:anchorId="3202870C" wp14:editId="2603AB95">
            <wp:extent cx="2963334" cy="2268855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E3008" w:rsidRDefault="00A43D5C" w:rsidP="005450B3">
      <w:r>
        <w:t>The proposed governance structure is recognized as interim as it will take time to implement and will need to be refined</w:t>
      </w:r>
      <w:r w:rsidR="006C4B3C">
        <w:t>, however it re</w:t>
      </w:r>
      <w:r w:rsidR="007B5AEC">
        <w:t xml:space="preserve">flects what is practical for 2016 </w:t>
      </w:r>
      <w:r w:rsidR="006C4B3C">
        <w:t>based on consideration of available resources</w:t>
      </w:r>
      <w:r>
        <w:t>.</w:t>
      </w:r>
      <w:r w:rsidR="000B59DA">
        <w:t xml:space="preserve">  </w:t>
      </w:r>
      <w:r w:rsidR="006C4B3C">
        <w:t xml:space="preserve">The </w:t>
      </w:r>
      <w:r w:rsidR="007B5AEC">
        <w:t>recommendation for</w:t>
      </w:r>
      <w:r w:rsidR="006C4B3C">
        <w:t xml:space="preserve"> an Executive Director is </w:t>
      </w:r>
      <w:r w:rsidR="007B5AEC">
        <w:t xml:space="preserve">acknowledged </w:t>
      </w:r>
      <w:r w:rsidR="006C4B3C">
        <w:t>but is considered intertwined with the hosting arrangement and should be further evaluated in 2017 after the development of a clear vision</w:t>
      </w:r>
      <w:r w:rsidR="007B5AEC">
        <w:t xml:space="preserve">, </w:t>
      </w:r>
      <w:r w:rsidR="006C4B3C">
        <w:t>strategy</w:t>
      </w:r>
      <w:r w:rsidR="007B5AEC">
        <w:t>, hosting arrangement and sustainable financing</w:t>
      </w:r>
      <w:r w:rsidR="006C4B3C">
        <w:t>. Another</w:t>
      </w:r>
      <w:r w:rsidR="000B59DA">
        <w:t xml:space="preserve"> proposal that </w:t>
      </w:r>
      <w:r w:rsidR="007E3008">
        <w:t>will require</w:t>
      </w:r>
      <w:r w:rsidR="000B59DA">
        <w:t xml:space="preserve"> further consideration is the establishment of a technical data st</w:t>
      </w:r>
      <w:r w:rsidR="007B5AEC">
        <w:t>andard board or sub-committee that can effectively harness and direct the potential of the Technical Advisory Group</w:t>
      </w:r>
      <w:r w:rsidR="000B59DA">
        <w:t xml:space="preserve"> </w:t>
      </w:r>
      <w:r w:rsidR="007B5AEC">
        <w:t xml:space="preserve">and </w:t>
      </w:r>
      <w:r w:rsidR="000B59DA">
        <w:t>support the</w:t>
      </w:r>
      <w:r w:rsidR="007E3008">
        <w:t xml:space="preserve"> technical</w:t>
      </w:r>
      <w:r w:rsidR="000B59DA">
        <w:t xml:space="preserve"> decision making of the </w:t>
      </w:r>
      <w:r w:rsidR="0015105F">
        <w:t>G</w:t>
      </w:r>
      <w:r w:rsidR="000B59DA">
        <w:t xml:space="preserve">overning </w:t>
      </w:r>
      <w:r w:rsidR="0015105F">
        <w:t>B</w:t>
      </w:r>
      <w:r w:rsidR="000B59DA">
        <w:t>oard.</w:t>
      </w:r>
      <w:r w:rsidR="007E3008">
        <w:t xml:space="preserve">  </w:t>
      </w:r>
    </w:p>
    <w:p w:rsidR="007B5AEC" w:rsidRDefault="00833AB9" w:rsidP="005450B3">
      <w:r>
        <w:t>The recommendation is to replace t</w:t>
      </w:r>
      <w:r w:rsidR="00712B5F">
        <w:t xml:space="preserve">he Steering Committee </w:t>
      </w:r>
      <w:r>
        <w:t xml:space="preserve">with </w:t>
      </w:r>
      <w:r w:rsidR="00712B5F">
        <w:t>a General Assembly</w:t>
      </w:r>
      <w:r w:rsidR="007B5AEC">
        <w:t xml:space="preserve"> </w:t>
      </w:r>
      <w:r w:rsidR="00DE07B5">
        <w:t>and to devolve</w:t>
      </w:r>
      <w:r w:rsidR="007B5AEC">
        <w:t xml:space="preserve"> certain powers to a </w:t>
      </w:r>
      <w:r w:rsidR="007B5AEC" w:rsidRPr="0015105F">
        <w:t>Governing Board</w:t>
      </w:r>
      <w:r w:rsidR="007B5AEC">
        <w:t>.  A Governing Board is considered necessary to facilitate faster and more r</w:t>
      </w:r>
      <w:r w:rsidR="00B33195">
        <w:t>epresentative decision making.  The following two options are presente</w:t>
      </w:r>
      <w:r w:rsidR="00DE07B5">
        <w:t xml:space="preserve">d to the Steering Committee for voting </w:t>
      </w:r>
      <w:r w:rsidR="00B33195">
        <w:t>regarding the devolution of authority from the General Assembly</w:t>
      </w:r>
      <w:r>
        <w:t xml:space="preserve"> to the Governing Board</w:t>
      </w:r>
      <w:r w:rsidR="00B33195">
        <w:t xml:space="preserve">: </w:t>
      </w:r>
    </w:p>
    <w:p w:rsidR="00B33195" w:rsidRDefault="00DE07B5" w:rsidP="00B33195">
      <w:pPr>
        <w:pStyle w:val="ListParagraph"/>
        <w:numPr>
          <w:ilvl w:val="0"/>
          <w:numId w:val="4"/>
        </w:numPr>
      </w:pPr>
      <w:r>
        <w:t>Devolve</w:t>
      </w:r>
      <w:r w:rsidR="00B33195" w:rsidRPr="00B33195">
        <w:t xml:space="preserve"> all power other than in relation to the governance structure, voting of board members and ratifying annual reports; </w:t>
      </w:r>
      <w:r w:rsidR="00833AB9">
        <w:t>OR</w:t>
      </w:r>
      <w:r w:rsidR="00B33195" w:rsidRPr="00B33195">
        <w:t xml:space="preserve"> </w:t>
      </w:r>
    </w:p>
    <w:p w:rsidR="00DE07B5" w:rsidRDefault="00DE07B5" w:rsidP="00DE07B5">
      <w:pPr>
        <w:pStyle w:val="ListParagraph"/>
        <w:numPr>
          <w:ilvl w:val="0"/>
          <w:numId w:val="4"/>
        </w:numPr>
      </w:pPr>
      <w:r>
        <w:t>Devolve</w:t>
      </w:r>
      <w:r w:rsidRPr="00B33195">
        <w:t xml:space="preserve"> all power other than in relation to </w:t>
      </w:r>
      <w:r>
        <w:t xml:space="preserve">the approval of the </w:t>
      </w:r>
      <w:r w:rsidRPr="00B33195">
        <w:t>strategy and budget</w:t>
      </w:r>
      <w:r>
        <w:t xml:space="preserve">, </w:t>
      </w:r>
      <w:r w:rsidRPr="00B33195">
        <w:t>governance structure, voting of board members and ratifying annual reports</w:t>
      </w:r>
      <w:r>
        <w:t>.</w:t>
      </w:r>
    </w:p>
    <w:p w:rsidR="00623C8B" w:rsidRDefault="007E3008" w:rsidP="00623C8B">
      <w:bookmarkStart w:id="0" w:name="_GoBack"/>
      <w:bookmarkEnd w:id="0"/>
      <w:r>
        <w:t>Effective January 2016 we recommend that a Governing Board be formed with an expectation that for the first 12 months board members meet every 4-6 weeks, primarily on a virtual basis.</w:t>
      </w:r>
    </w:p>
    <w:p w:rsidR="00623C8B" w:rsidRDefault="00623C8B" w:rsidP="00623C8B"/>
    <w:p w:rsidR="00623C8B" w:rsidRDefault="00623C8B" w:rsidP="00623C8B">
      <w:pPr>
        <w:spacing w:before="0" w:after="160" w:line="259" w:lineRule="auto"/>
        <w:rPr>
          <w:b/>
          <w:color w:val="5B9BD5" w:themeColor="accent1"/>
        </w:rPr>
        <w:sectPr w:rsidR="00623C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3C8B" w:rsidRPr="00623C8B" w:rsidRDefault="00623C8B" w:rsidP="00833AB9">
      <w:pPr>
        <w:spacing w:before="0" w:after="120" w:line="259" w:lineRule="auto"/>
        <w:rPr>
          <w:b/>
          <w:color w:val="5B9BD5" w:themeColor="accent1"/>
        </w:rPr>
      </w:pPr>
      <w:r>
        <w:rPr>
          <w:b/>
          <w:color w:val="5B9BD5" w:themeColor="accent1"/>
        </w:rPr>
        <w:lastRenderedPageBreak/>
        <w:t>Appendix</w:t>
      </w:r>
      <w:r w:rsidR="00EA160D">
        <w:rPr>
          <w:b/>
          <w:color w:val="5B9BD5" w:themeColor="accent1"/>
        </w:rPr>
        <w:t xml:space="preserve"> A: Recommended Governance Structure Elements</w:t>
      </w:r>
    </w:p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160"/>
        <w:gridCol w:w="3420"/>
        <w:gridCol w:w="2790"/>
        <w:gridCol w:w="3330"/>
      </w:tblGrid>
      <w:tr w:rsidR="006C4B3C" w:rsidRPr="00623C8B" w:rsidTr="00833AB9">
        <w:trPr>
          <w:trHeight w:val="170"/>
          <w:tblHeader/>
        </w:trPr>
        <w:tc>
          <w:tcPr>
            <w:tcW w:w="1255" w:type="dxa"/>
            <w:shd w:val="clear" w:color="auto" w:fill="BDD6EE" w:themeFill="accent1" w:themeFillTint="66"/>
            <w:hideMark/>
          </w:tcPr>
          <w:p w:rsidR="006C4B3C" w:rsidRPr="00623C8B" w:rsidRDefault="006C4B3C" w:rsidP="002C5264">
            <w:pPr>
              <w:spacing w:before="0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BDD6EE" w:themeFill="accent1" w:themeFillTint="66"/>
          </w:tcPr>
          <w:p w:rsidR="006C4B3C" w:rsidRPr="00623C8B" w:rsidRDefault="006C4B3C" w:rsidP="002C5264">
            <w:pPr>
              <w:spacing w:before="0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23C8B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General Assembly </w:t>
            </w:r>
          </w:p>
        </w:tc>
        <w:tc>
          <w:tcPr>
            <w:tcW w:w="3420" w:type="dxa"/>
            <w:shd w:val="clear" w:color="auto" w:fill="BDD6EE" w:themeFill="accent1" w:themeFillTint="66"/>
            <w:hideMark/>
          </w:tcPr>
          <w:p w:rsidR="006C4B3C" w:rsidRPr="00623C8B" w:rsidRDefault="006C4B3C" w:rsidP="002C5264">
            <w:pPr>
              <w:spacing w:before="0"/>
              <w:ind w:left="-609" w:firstLine="609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23C8B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Governing Board </w:t>
            </w:r>
          </w:p>
        </w:tc>
        <w:tc>
          <w:tcPr>
            <w:tcW w:w="2790" w:type="dxa"/>
            <w:shd w:val="clear" w:color="auto" w:fill="BDD6EE" w:themeFill="accent1" w:themeFillTint="66"/>
          </w:tcPr>
          <w:p w:rsidR="006C4B3C" w:rsidRPr="00623C8B" w:rsidRDefault="006C4B3C" w:rsidP="002C5264">
            <w:pPr>
              <w:spacing w:before="0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Technical Advisory Group</w:t>
            </w:r>
          </w:p>
        </w:tc>
        <w:tc>
          <w:tcPr>
            <w:tcW w:w="3330" w:type="dxa"/>
            <w:shd w:val="clear" w:color="auto" w:fill="BDD6EE" w:themeFill="accent1" w:themeFillTint="66"/>
            <w:hideMark/>
          </w:tcPr>
          <w:p w:rsidR="006C4B3C" w:rsidRPr="00623C8B" w:rsidRDefault="006C4B3C" w:rsidP="002C5264">
            <w:pPr>
              <w:spacing w:before="0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23C8B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Secretariat </w:t>
            </w:r>
          </w:p>
        </w:tc>
      </w:tr>
      <w:tr w:rsidR="006C4B3C" w:rsidRPr="00623C8B" w:rsidTr="00833AB9">
        <w:trPr>
          <w:trHeight w:val="3833"/>
        </w:trPr>
        <w:tc>
          <w:tcPr>
            <w:tcW w:w="1255" w:type="dxa"/>
            <w:shd w:val="clear" w:color="auto" w:fill="BDD6EE" w:themeFill="accent1" w:themeFillTint="66"/>
            <w:noWrap/>
            <w:hideMark/>
          </w:tcPr>
          <w:p w:rsidR="006C4B3C" w:rsidRPr="00623C8B" w:rsidRDefault="006C4B3C" w:rsidP="002C5264">
            <w:pPr>
              <w:spacing w:before="0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23C8B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Responsibilities</w:t>
            </w:r>
          </w:p>
        </w:tc>
        <w:tc>
          <w:tcPr>
            <w:tcW w:w="2160" w:type="dxa"/>
          </w:tcPr>
          <w:p w:rsidR="006C4B3C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Approve governance structure.</w:t>
            </w:r>
          </w:p>
          <w:p w:rsidR="006C4B3C" w:rsidRDefault="006C4B3C" w:rsidP="00CA245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Vote members of Board and Board Chair.</w:t>
            </w:r>
          </w:p>
          <w:p w:rsidR="006C4B3C" w:rsidRPr="00CA245D" w:rsidRDefault="006C4B3C" w:rsidP="00CA245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Ratify annual report.</w:t>
            </w:r>
          </w:p>
        </w:tc>
        <w:tc>
          <w:tcPr>
            <w:tcW w:w="3420" w:type="dxa"/>
            <w:shd w:val="clear" w:color="auto" w:fill="auto"/>
            <w:hideMark/>
          </w:tcPr>
          <w:p w:rsidR="006C4B3C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Approve annual strategic plan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  <w:p w:rsidR="006C4B3C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Approve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color w:val="000000"/>
                <w:sz w:val="16"/>
                <w:szCs w:val="16"/>
              </w:rPr>
              <w:t xml:space="preserve">annual 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>budget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  <w:p w:rsidR="006C4B3C" w:rsidRDefault="006C4B3C" w:rsidP="00CA245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Appoint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Exec</w:t>
            </w:r>
            <w:r>
              <w:rPr>
                <w:rFonts w:eastAsia="Times New Roman"/>
                <w:color w:val="000000"/>
                <w:sz w:val="16"/>
                <w:szCs w:val="16"/>
              </w:rPr>
              <w:t>utive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Director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  <w:p w:rsidR="006C4B3C" w:rsidRDefault="006C4B3C" w:rsidP="00CA245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Hold Executive Director to account and review performance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  <w:p w:rsidR="006C4B3C" w:rsidRPr="00667014" w:rsidRDefault="006C4B3C" w:rsidP="00CA245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Form sub-committees as necessary. </w:t>
            </w:r>
          </w:p>
        </w:tc>
        <w:tc>
          <w:tcPr>
            <w:tcW w:w="2790" w:type="dxa"/>
          </w:tcPr>
          <w:p w:rsidR="006C4B3C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C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>ommunity of practice for technologists and users of the data standard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  <w:p w:rsidR="006C4B3C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W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orking groups/task teams </w:t>
            </w:r>
            <w:r>
              <w:rPr>
                <w:rFonts w:eastAsia="Times New Roman"/>
                <w:color w:val="000000"/>
                <w:sz w:val="16"/>
                <w:szCs w:val="16"/>
              </w:rPr>
              <w:t xml:space="preserve">for 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particular areas of the Standard. </w:t>
            </w:r>
          </w:p>
          <w:p w:rsidR="006C4B3C" w:rsidRPr="00667014" w:rsidRDefault="006C4B3C" w:rsidP="00CA245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Regional groups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can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meet to support and take the initiative for finding solutions to regional problems.</w:t>
            </w:r>
          </w:p>
        </w:tc>
        <w:tc>
          <w:tcPr>
            <w:tcW w:w="3330" w:type="dxa"/>
            <w:shd w:val="clear" w:color="auto" w:fill="auto"/>
            <w:hideMark/>
          </w:tcPr>
          <w:p w:rsidR="006C4B3C" w:rsidRDefault="006C4B3C" w:rsidP="006C4B3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Lead development and execution of strategic plan and budget.</w:t>
            </w:r>
          </w:p>
          <w:p w:rsidR="006C4B3C" w:rsidRDefault="006C4B3C" w:rsidP="006C4B3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Program management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  <w:p w:rsidR="006C4B3C" w:rsidRDefault="007B5AEC" w:rsidP="006C4B3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Manage f</w:t>
            </w:r>
            <w:r w:rsidR="006C4B3C" w:rsidRPr="00667014">
              <w:rPr>
                <w:rFonts w:eastAsia="Times New Roman"/>
                <w:color w:val="000000"/>
                <w:sz w:val="16"/>
                <w:szCs w:val="16"/>
              </w:rPr>
              <w:t>undraising</w:t>
            </w:r>
            <w:r>
              <w:rPr>
                <w:rFonts w:eastAsia="Times New Roman"/>
                <w:color w:val="000000"/>
                <w:sz w:val="16"/>
                <w:szCs w:val="16"/>
              </w:rPr>
              <w:t xml:space="preserve"> and finances</w:t>
            </w:r>
            <w:r w:rsidR="006C4B3C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  <w:p w:rsidR="006C4B3C" w:rsidRDefault="006C4B3C" w:rsidP="006C4B3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Manag</w:t>
            </w:r>
            <w:r>
              <w:rPr>
                <w:rFonts w:eastAsia="Times New Roman"/>
                <w:color w:val="000000"/>
                <w:sz w:val="16"/>
                <w:szCs w:val="16"/>
              </w:rPr>
              <w:t>e the membership base.</w:t>
            </w:r>
          </w:p>
          <w:p w:rsidR="006C4B3C" w:rsidRDefault="006C4B3C" w:rsidP="006C4B3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Gender balance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  <w:p w:rsidR="006C4B3C" w:rsidRPr="007B5AEC" w:rsidRDefault="006C4B3C" w:rsidP="006C4B3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7B5AEC">
              <w:rPr>
                <w:rFonts w:eastAsia="Times New Roman"/>
                <w:color w:val="000000"/>
                <w:sz w:val="16"/>
                <w:szCs w:val="16"/>
              </w:rPr>
              <w:t>Compliance with legal authorities.</w:t>
            </w:r>
          </w:p>
          <w:p w:rsidR="006C4B3C" w:rsidRPr="007B5AEC" w:rsidRDefault="006C4B3C" w:rsidP="006C4B3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7B5AEC">
              <w:rPr>
                <w:rFonts w:eastAsia="Times New Roman"/>
                <w:color w:val="000000"/>
                <w:sz w:val="16"/>
                <w:szCs w:val="16"/>
              </w:rPr>
              <w:t>Ethics / transparency.</w:t>
            </w:r>
          </w:p>
          <w:p w:rsidR="006C4B3C" w:rsidRPr="007B5AEC" w:rsidRDefault="006C4B3C" w:rsidP="006C4B3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7B5AEC">
              <w:rPr>
                <w:rFonts w:eastAsia="Times New Roman"/>
                <w:color w:val="000000"/>
                <w:sz w:val="16"/>
                <w:szCs w:val="16"/>
              </w:rPr>
              <w:t>Risk management and accountability.</w:t>
            </w:r>
          </w:p>
          <w:p w:rsidR="006C4B3C" w:rsidRPr="007B5AEC" w:rsidRDefault="006C4B3C" w:rsidP="00BE09CF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7B5AEC">
              <w:rPr>
                <w:rFonts w:eastAsia="Times New Roman"/>
                <w:color w:val="000000"/>
                <w:sz w:val="16"/>
                <w:szCs w:val="16"/>
              </w:rPr>
              <w:t xml:space="preserve">Support TAG, General Assembly and Board Meetings. </w:t>
            </w:r>
          </w:p>
          <w:p w:rsidR="006C4B3C" w:rsidRPr="007B5AEC" w:rsidRDefault="006C4B3C" w:rsidP="00BE09CF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7B5AEC">
              <w:rPr>
                <w:rFonts w:eastAsia="Times New Roman"/>
                <w:color w:val="000000"/>
                <w:sz w:val="16"/>
                <w:szCs w:val="16"/>
              </w:rPr>
              <w:t>Manage infrastructure.</w:t>
            </w:r>
          </w:p>
          <w:p w:rsidR="006C4B3C" w:rsidRPr="007B5AEC" w:rsidRDefault="006C4B3C" w:rsidP="00BE09CF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7B5AEC">
              <w:rPr>
                <w:rFonts w:eastAsia="Times New Roman"/>
                <w:color w:val="000000"/>
                <w:sz w:val="16"/>
                <w:szCs w:val="16"/>
              </w:rPr>
              <w:t xml:space="preserve">Monitoring and evaluation. </w:t>
            </w:r>
          </w:p>
          <w:p w:rsidR="006C4B3C" w:rsidRPr="000E634B" w:rsidRDefault="000E634B" w:rsidP="000E634B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0E634B">
              <w:rPr>
                <w:rFonts w:eastAsia="Times New Roman"/>
                <w:color w:val="000000"/>
                <w:sz w:val="16"/>
                <w:szCs w:val="16"/>
              </w:rPr>
              <w:t xml:space="preserve">Communications / </w:t>
            </w:r>
            <w:r w:rsidR="006C4B3C" w:rsidRPr="000E634B">
              <w:rPr>
                <w:rFonts w:eastAsia="Times New Roman"/>
                <w:color w:val="000000"/>
                <w:sz w:val="16"/>
                <w:szCs w:val="16"/>
              </w:rPr>
              <w:t>Annual report production.</w:t>
            </w:r>
          </w:p>
          <w:p w:rsidR="006C4B3C" w:rsidRPr="007B5AEC" w:rsidRDefault="006C4B3C" w:rsidP="007B5AEC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7B5AEC">
              <w:rPr>
                <w:rFonts w:eastAsia="Times New Roman"/>
                <w:color w:val="000000"/>
                <w:sz w:val="16"/>
                <w:szCs w:val="16"/>
              </w:rPr>
              <w:t>Representation at key meetings and conferences / regional projects / programs.</w:t>
            </w:r>
          </w:p>
          <w:p w:rsidR="006C4B3C" w:rsidRPr="00667014" w:rsidRDefault="006C4B3C" w:rsidP="002C049A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7B5AEC">
              <w:rPr>
                <w:rFonts w:eastAsia="Times New Roman"/>
                <w:color w:val="000000"/>
                <w:sz w:val="16"/>
                <w:szCs w:val="16"/>
              </w:rPr>
              <w:t xml:space="preserve">Technical capacity / standard development. </w:t>
            </w:r>
          </w:p>
        </w:tc>
      </w:tr>
      <w:tr w:rsidR="006C4B3C" w:rsidRPr="00623C8B" w:rsidTr="00833AB9">
        <w:trPr>
          <w:trHeight w:val="512"/>
        </w:trPr>
        <w:tc>
          <w:tcPr>
            <w:tcW w:w="1255" w:type="dxa"/>
            <w:shd w:val="clear" w:color="auto" w:fill="BDD6EE" w:themeFill="accent1" w:themeFillTint="66"/>
            <w:noWrap/>
            <w:hideMark/>
          </w:tcPr>
          <w:p w:rsidR="006C4B3C" w:rsidRPr="00623C8B" w:rsidRDefault="006C4B3C" w:rsidP="004377F8">
            <w:pPr>
              <w:spacing w:before="0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23C8B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Funding </w:t>
            </w:r>
            <w:r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Support</w:t>
            </w:r>
          </w:p>
        </w:tc>
        <w:tc>
          <w:tcPr>
            <w:tcW w:w="2160" w:type="dxa"/>
          </w:tcPr>
          <w:p w:rsidR="006C4B3C" w:rsidRPr="00667014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Funded from fees (membership fees need therefore to reflect the full cost of hosting the meetings)</w:t>
            </w:r>
          </w:p>
        </w:tc>
        <w:tc>
          <w:tcPr>
            <w:tcW w:w="3420" w:type="dxa"/>
            <w:shd w:val="clear" w:color="auto" w:fill="auto"/>
            <w:hideMark/>
          </w:tcPr>
          <w:p w:rsidR="006C4B3C" w:rsidRDefault="006C4B3C" w:rsidP="00B66775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Virtual meetings, s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ecretariat to provide administrative support. </w:t>
            </w:r>
          </w:p>
          <w:p w:rsidR="006C4B3C" w:rsidRPr="00845D7B" w:rsidRDefault="006C4B3C" w:rsidP="00845D7B">
            <w:pPr>
              <w:spacing w:before="0"/>
              <w:ind w:left="21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</w:tcPr>
          <w:p w:rsidR="006C4B3C" w:rsidRPr="00667014" w:rsidRDefault="006C4B3C" w:rsidP="00B66775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Funding required t</w:t>
            </w:r>
            <w:r>
              <w:rPr>
                <w:rFonts w:eastAsia="Times New Roman"/>
                <w:color w:val="000000"/>
                <w:sz w:val="16"/>
                <w:szCs w:val="16"/>
              </w:rPr>
              <w:t>o continue the annual meetings.</w:t>
            </w:r>
          </w:p>
        </w:tc>
        <w:tc>
          <w:tcPr>
            <w:tcW w:w="3330" w:type="dxa"/>
            <w:shd w:val="clear" w:color="auto" w:fill="auto"/>
            <w:hideMark/>
          </w:tcPr>
          <w:p w:rsidR="006C4B3C" w:rsidRPr="00667014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Funded via the hosting agreement and in kind contributions.</w:t>
            </w:r>
          </w:p>
        </w:tc>
      </w:tr>
      <w:tr w:rsidR="006C4B3C" w:rsidRPr="00623C8B" w:rsidTr="00833AB9">
        <w:trPr>
          <w:trHeight w:val="855"/>
        </w:trPr>
        <w:tc>
          <w:tcPr>
            <w:tcW w:w="1255" w:type="dxa"/>
            <w:shd w:val="clear" w:color="auto" w:fill="BDD6EE" w:themeFill="accent1" w:themeFillTint="66"/>
            <w:noWrap/>
            <w:hideMark/>
          </w:tcPr>
          <w:p w:rsidR="006C4B3C" w:rsidRPr="00623C8B" w:rsidRDefault="006C4B3C" w:rsidP="002C5264">
            <w:pPr>
              <w:spacing w:before="0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23C8B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Composition</w:t>
            </w:r>
          </w:p>
        </w:tc>
        <w:tc>
          <w:tcPr>
            <w:tcW w:w="2160" w:type="dxa"/>
          </w:tcPr>
          <w:p w:rsidR="006C4B3C" w:rsidRDefault="006C4B3C" w:rsidP="00CA245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Full fee paying members are entitled to vote.</w:t>
            </w:r>
          </w:p>
          <w:p w:rsidR="006C4B3C" w:rsidRPr="00667014" w:rsidRDefault="006C4B3C" w:rsidP="00CA245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Non-members can only observe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20" w:type="dxa"/>
            <w:shd w:val="clear" w:color="auto" w:fill="auto"/>
            <w:hideMark/>
          </w:tcPr>
          <w:p w:rsidR="006C4B3C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Each key constituency is to be represented by one primary member and an alternate, with each constituency seat having one vote.</w:t>
            </w:r>
          </w:p>
          <w:p w:rsidR="00DE07B5" w:rsidRDefault="00DE07B5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Board to ele</w:t>
            </w:r>
            <w:r w:rsidR="000E634B">
              <w:rPr>
                <w:rFonts w:eastAsia="Times New Roman"/>
                <w:color w:val="000000"/>
                <w:sz w:val="16"/>
                <w:szCs w:val="16"/>
              </w:rPr>
              <w:t>ct a Board Chair.</w:t>
            </w:r>
          </w:p>
          <w:p w:rsidR="006C4B3C" w:rsidRPr="003B50A0" w:rsidRDefault="006C4B3C" w:rsidP="00845D7B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Key constituencies to be represented include partner countries, donors, civil society, accountability networks, users, foundations and the private sector, coupled with a technical seat on the Board.</w:t>
            </w:r>
          </w:p>
        </w:tc>
        <w:tc>
          <w:tcPr>
            <w:tcW w:w="2790" w:type="dxa"/>
          </w:tcPr>
          <w:p w:rsidR="006C4B3C" w:rsidRPr="00667014" w:rsidRDefault="006C4B3C" w:rsidP="003B50A0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Open forum.</w:t>
            </w:r>
          </w:p>
        </w:tc>
        <w:tc>
          <w:tcPr>
            <w:tcW w:w="3330" w:type="dxa"/>
            <w:shd w:val="clear" w:color="auto" w:fill="auto"/>
            <w:hideMark/>
          </w:tcPr>
          <w:p w:rsidR="006C4B3C" w:rsidRPr="00667014" w:rsidRDefault="006C4B3C" w:rsidP="002C5264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Not applicable.</w:t>
            </w:r>
          </w:p>
        </w:tc>
      </w:tr>
      <w:tr w:rsidR="006C4B3C" w:rsidRPr="00623C8B" w:rsidTr="00833AB9">
        <w:trPr>
          <w:trHeight w:val="881"/>
        </w:trPr>
        <w:tc>
          <w:tcPr>
            <w:tcW w:w="1255" w:type="dxa"/>
            <w:shd w:val="clear" w:color="auto" w:fill="BDD6EE" w:themeFill="accent1" w:themeFillTint="66"/>
            <w:hideMark/>
          </w:tcPr>
          <w:p w:rsidR="006C4B3C" w:rsidRPr="00623C8B" w:rsidRDefault="006C4B3C" w:rsidP="00EA160D">
            <w:pPr>
              <w:spacing w:before="0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23C8B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Meeting Frequency </w:t>
            </w:r>
          </w:p>
        </w:tc>
        <w:tc>
          <w:tcPr>
            <w:tcW w:w="2160" w:type="dxa"/>
          </w:tcPr>
          <w:p w:rsidR="006C4B3C" w:rsidRPr="00667014" w:rsidRDefault="006C4B3C" w:rsidP="00845D7B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>Annual general meeting</w:t>
            </w:r>
            <w:r>
              <w:rPr>
                <w:rFonts w:eastAsia="Times New Roman"/>
                <w:color w:val="000000"/>
                <w:sz w:val="16"/>
                <w:szCs w:val="16"/>
              </w:rPr>
              <w:t xml:space="preserve"> hosted for half day and 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coupled with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Technical Advisory Group.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hideMark/>
          </w:tcPr>
          <w:p w:rsidR="006C4B3C" w:rsidRDefault="006C4B3C" w:rsidP="00EA160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For the first year should be considered operational and meet every four to six weeks virtually.</w:t>
            </w:r>
          </w:p>
          <w:p w:rsidR="006C4B3C" w:rsidRPr="00667014" w:rsidRDefault="006C4B3C" w:rsidP="00EA160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After first year Board should shift to more strategic focus and meet less regularly.</w:t>
            </w:r>
          </w:p>
        </w:tc>
        <w:tc>
          <w:tcPr>
            <w:tcW w:w="2790" w:type="dxa"/>
          </w:tcPr>
          <w:p w:rsidR="006C4B3C" w:rsidRDefault="006C4B3C" w:rsidP="00EA160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Annual physical meeting for two days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. </w:t>
            </w:r>
          </w:p>
          <w:p w:rsidR="006C4B3C" w:rsidRPr="00667014" w:rsidRDefault="006C4B3C" w:rsidP="00EA160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Working groups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can meet more regularly virtually.</w:t>
            </w:r>
          </w:p>
        </w:tc>
        <w:tc>
          <w:tcPr>
            <w:tcW w:w="3330" w:type="dxa"/>
            <w:shd w:val="clear" w:color="auto" w:fill="auto"/>
            <w:hideMark/>
          </w:tcPr>
          <w:p w:rsidR="006C4B3C" w:rsidRPr="00667014" w:rsidRDefault="006C4B3C" w:rsidP="00EA160D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Not applicable.</w:t>
            </w:r>
          </w:p>
        </w:tc>
      </w:tr>
      <w:tr w:rsidR="006C4B3C" w:rsidRPr="00623C8B" w:rsidTr="00833AB9">
        <w:trPr>
          <w:trHeight w:val="413"/>
        </w:trPr>
        <w:tc>
          <w:tcPr>
            <w:tcW w:w="1255" w:type="dxa"/>
            <w:shd w:val="clear" w:color="auto" w:fill="BDD6EE" w:themeFill="accent1" w:themeFillTint="66"/>
            <w:noWrap/>
            <w:hideMark/>
          </w:tcPr>
          <w:p w:rsidR="006C4B3C" w:rsidRPr="00623C8B" w:rsidRDefault="006C4B3C" w:rsidP="00845D7B">
            <w:pPr>
              <w:spacing w:before="0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623C8B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Term</w:t>
            </w:r>
          </w:p>
        </w:tc>
        <w:tc>
          <w:tcPr>
            <w:tcW w:w="2160" w:type="dxa"/>
          </w:tcPr>
          <w:p w:rsidR="006C4B3C" w:rsidRPr="00667014" w:rsidRDefault="006C4B3C" w:rsidP="00845D7B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Not applicable.</w:t>
            </w:r>
          </w:p>
        </w:tc>
        <w:tc>
          <w:tcPr>
            <w:tcW w:w="3420" w:type="dxa"/>
            <w:shd w:val="clear" w:color="auto" w:fill="auto"/>
            <w:hideMark/>
          </w:tcPr>
          <w:p w:rsidR="006C4B3C" w:rsidRPr="00667014" w:rsidRDefault="006C4B3C" w:rsidP="00845D7B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1 year initially, then half the Board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renewed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every year after that (so half the Board would serve 2 years)</w:t>
            </w:r>
            <w:r>
              <w:rPr>
                <w:rFonts w:eastAsia="Times New Roman"/>
                <w:color w:val="000000"/>
                <w:sz w:val="16"/>
                <w:szCs w:val="16"/>
              </w:rPr>
              <w:t xml:space="preserve">.  </w:t>
            </w:r>
            <w:r w:rsidRPr="00667014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6C4B3C" w:rsidRPr="00667014" w:rsidRDefault="006C4B3C" w:rsidP="00845D7B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Not applicable.</w:t>
            </w:r>
          </w:p>
        </w:tc>
        <w:tc>
          <w:tcPr>
            <w:tcW w:w="3330" w:type="dxa"/>
            <w:shd w:val="clear" w:color="auto" w:fill="auto"/>
            <w:hideMark/>
          </w:tcPr>
          <w:p w:rsidR="006C4B3C" w:rsidRPr="00667014" w:rsidRDefault="006C4B3C" w:rsidP="00845D7B">
            <w:pPr>
              <w:pStyle w:val="ListParagraph"/>
              <w:numPr>
                <w:ilvl w:val="0"/>
                <w:numId w:val="3"/>
              </w:numPr>
              <w:spacing w:before="0"/>
              <w:ind w:left="201" w:hanging="180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Not applicable.</w:t>
            </w:r>
          </w:p>
        </w:tc>
      </w:tr>
    </w:tbl>
    <w:p w:rsidR="00623C8B" w:rsidRPr="00623C8B" w:rsidRDefault="00623C8B" w:rsidP="00833AB9">
      <w:pPr>
        <w:rPr>
          <w:sz w:val="16"/>
          <w:szCs w:val="16"/>
        </w:rPr>
      </w:pPr>
    </w:p>
    <w:sectPr w:rsidR="00623C8B" w:rsidRPr="00623C8B" w:rsidSect="00623C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5785A"/>
    <w:multiLevelType w:val="hybridMultilevel"/>
    <w:tmpl w:val="D756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75F59"/>
    <w:multiLevelType w:val="hybridMultilevel"/>
    <w:tmpl w:val="637A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64DA9"/>
    <w:multiLevelType w:val="hybridMultilevel"/>
    <w:tmpl w:val="0E56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2196E"/>
    <w:multiLevelType w:val="hybridMultilevel"/>
    <w:tmpl w:val="9F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8B"/>
    <w:rsid w:val="0008477B"/>
    <w:rsid w:val="000B59DA"/>
    <w:rsid w:val="000E634B"/>
    <w:rsid w:val="0015105F"/>
    <w:rsid w:val="00234FB5"/>
    <w:rsid w:val="00267F5B"/>
    <w:rsid w:val="002C049A"/>
    <w:rsid w:val="002C5264"/>
    <w:rsid w:val="0033152B"/>
    <w:rsid w:val="003B50A0"/>
    <w:rsid w:val="003C79E6"/>
    <w:rsid w:val="004377F8"/>
    <w:rsid w:val="00462575"/>
    <w:rsid w:val="005450B3"/>
    <w:rsid w:val="005E55D2"/>
    <w:rsid w:val="00623C8B"/>
    <w:rsid w:val="00667014"/>
    <w:rsid w:val="006B11C9"/>
    <w:rsid w:val="006B7483"/>
    <w:rsid w:val="006C4B3C"/>
    <w:rsid w:val="00712B5F"/>
    <w:rsid w:val="00796021"/>
    <w:rsid w:val="007B5AEC"/>
    <w:rsid w:val="007E3008"/>
    <w:rsid w:val="00833AB9"/>
    <w:rsid w:val="00845D7B"/>
    <w:rsid w:val="009B6EFF"/>
    <w:rsid w:val="009C51E3"/>
    <w:rsid w:val="00A43D5C"/>
    <w:rsid w:val="00B33195"/>
    <w:rsid w:val="00B66775"/>
    <w:rsid w:val="00BE09CF"/>
    <w:rsid w:val="00C0218C"/>
    <w:rsid w:val="00C644CA"/>
    <w:rsid w:val="00CA245D"/>
    <w:rsid w:val="00DE07B5"/>
    <w:rsid w:val="00EA160D"/>
    <w:rsid w:val="00EC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0487-EB62-4D54-813A-A5AF416F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C8B"/>
    <w:pPr>
      <w:spacing w:before="120"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GTitle">
    <w:name w:val="AG Title"/>
    <w:basedOn w:val="Normal"/>
    <w:qFormat/>
    <w:rsid w:val="00623C8B"/>
    <w:pPr>
      <w:spacing w:before="0" w:after="280" w:line="260" w:lineRule="exact"/>
    </w:pPr>
    <w:rPr>
      <w:rFonts w:ascii="Arial" w:hAnsi="Arial"/>
      <w:b/>
      <w:caps/>
      <w:sz w:val="24"/>
    </w:rPr>
  </w:style>
  <w:style w:type="paragraph" w:customStyle="1" w:styleId="AGInfo">
    <w:name w:val="AG Info"/>
    <w:basedOn w:val="Normal"/>
    <w:qFormat/>
    <w:rsid w:val="00623C8B"/>
    <w:pPr>
      <w:spacing w:before="0" w:after="40" w:line="260" w:lineRule="exact"/>
      <w:contextualSpacing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EC07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0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0B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0B3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0B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B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DE50DD-B3BD-46EE-AE0A-585FE40BBE3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EA0251-E145-473C-ACEB-9787F639E4FC}">
      <dgm:prSet phldrT="[Text]" custT="1"/>
      <dgm:spPr/>
      <dgm:t>
        <a:bodyPr/>
        <a:lstStyle/>
        <a:p>
          <a:pPr algn="ctr"/>
          <a:r>
            <a:rPr lang="en-US" sz="800"/>
            <a:t>Technical Advisory Group</a:t>
          </a:r>
        </a:p>
      </dgm:t>
    </dgm:pt>
    <dgm:pt modelId="{E6B9F32E-4522-4CAD-9E5B-635D08EFA745}" type="parTrans" cxnId="{3EE77722-6175-4B18-A60E-B9CD53DF5BB3}">
      <dgm:prSet/>
      <dgm:spPr/>
      <dgm:t>
        <a:bodyPr/>
        <a:lstStyle/>
        <a:p>
          <a:endParaRPr lang="en-US" sz="800"/>
        </a:p>
      </dgm:t>
    </dgm:pt>
    <dgm:pt modelId="{30F1504E-18EB-45F4-B6A4-BFF7EE133508}" type="sibTrans" cxnId="{3EE77722-6175-4B18-A60E-B9CD53DF5BB3}">
      <dgm:prSet/>
      <dgm:spPr/>
      <dgm:t>
        <a:bodyPr/>
        <a:lstStyle/>
        <a:p>
          <a:endParaRPr lang="en-US" sz="800"/>
        </a:p>
      </dgm:t>
    </dgm:pt>
    <dgm:pt modelId="{3D9EF6AB-AA5F-415B-9FDC-5C09A2209DCA}" type="pres">
      <dgm:prSet presAssocID="{8EDE50DD-B3BD-46EE-AE0A-585FE40BBE3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FD5BC53-AD5A-46A7-AE26-DF7AB1212984}" type="pres">
      <dgm:prSet presAssocID="{8EDE50DD-B3BD-46EE-AE0A-585FE40BBE3D}" presName="hierFlow" presStyleCnt="0"/>
      <dgm:spPr/>
    </dgm:pt>
    <dgm:pt modelId="{F5A11D30-C89A-4E3C-B90C-AFF824E5B337}" type="pres">
      <dgm:prSet presAssocID="{8EDE50DD-B3BD-46EE-AE0A-585FE40BBE3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440B138-6A2A-4E14-A7E8-FC8A75888C5B}" type="pres">
      <dgm:prSet presAssocID="{24EA0251-E145-473C-ACEB-9787F639E4FC}" presName="Name14" presStyleCnt="0"/>
      <dgm:spPr/>
    </dgm:pt>
    <dgm:pt modelId="{27572090-327D-4655-A370-188E4A450F5D}" type="pres">
      <dgm:prSet presAssocID="{24EA0251-E145-473C-ACEB-9787F639E4FC}" presName="level1Shape" presStyleLbl="node0" presStyleIdx="0" presStyleCnt="1" custLinFactX="-40210" custLinFactNeighborX="-100000" custLinFactNeighborY="-34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9C6B0-16E4-45A0-8D18-46220D619679}" type="pres">
      <dgm:prSet presAssocID="{24EA0251-E145-473C-ACEB-9787F639E4FC}" presName="hierChild2" presStyleCnt="0"/>
      <dgm:spPr/>
    </dgm:pt>
    <dgm:pt modelId="{86B1F0B2-2576-4905-BDA0-1F5EE80D7A62}" type="pres">
      <dgm:prSet presAssocID="{8EDE50DD-B3BD-46EE-AE0A-585FE40BBE3D}" presName="bgShapesFlow" presStyleCnt="0"/>
      <dgm:spPr/>
    </dgm:pt>
  </dgm:ptLst>
  <dgm:cxnLst>
    <dgm:cxn modelId="{839AB426-FFB1-4DDF-B00E-90C58E6AC6C7}" type="presOf" srcId="{24EA0251-E145-473C-ACEB-9787F639E4FC}" destId="{27572090-327D-4655-A370-188E4A450F5D}" srcOrd="0" destOrd="0" presId="urn:microsoft.com/office/officeart/2005/8/layout/hierarchy6"/>
    <dgm:cxn modelId="{3EE77722-6175-4B18-A60E-B9CD53DF5BB3}" srcId="{8EDE50DD-B3BD-46EE-AE0A-585FE40BBE3D}" destId="{24EA0251-E145-473C-ACEB-9787F639E4FC}" srcOrd="0" destOrd="0" parTransId="{E6B9F32E-4522-4CAD-9E5B-635D08EFA745}" sibTransId="{30F1504E-18EB-45F4-B6A4-BFF7EE133508}"/>
    <dgm:cxn modelId="{B912237F-6006-4AAB-B5E1-78E066D5BA03}" type="presOf" srcId="{8EDE50DD-B3BD-46EE-AE0A-585FE40BBE3D}" destId="{3D9EF6AB-AA5F-415B-9FDC-5C09A2209DCA}" srcOrd="0" destOrd="0" presId="urn:microsoft.com/office/officeart/2005/8/layout/hierarchy6"/>
    <dgm:cxn modelId="{6755EB19-FFBE-47A0-9C84-8A240EE0696A}" type="presParOf" srcId="{3D9EF6AB-AA5F-415B-9FDC-5C09A2209DCA}" destId="{BFD5BC53-AD5A-46A7-AE26-DF7AB1212984}" srcOrd="0" destOrd="0" presId="urn:microsoft.com/office/officeart/2005/8/layout/hierarchy6"/>
    <dgm:cxn modelId="{D37A0863-C684-4C88-9F72-FCE2BB07B8FF}" type="presParOf" srcId="{BFD5BC53-AD5A-46A7-AE26-DF7AB1212984}" destId="{F5A11D30-C89A-4E3C-B90C-AFF824E5B337}" srcOrd="0" destOrd="0" presId="urn:microsoft.com/office/officeart/2005/8/layout/hierarchy6"/>
    <dgm:cxn modelId="{D8654513-7CD3-4EF8-87ED-60C4A422123E}" type="presParOf" srcId="{F5A11D30-C89A-4E3C-B90C-AFF824E5B337}" destId="{0440B138-6A2A-4E14-A7E8-FC8A75888C5B}" srcOrd="0" destOrd="0" presId="urn:microsoft.com/office/officeart/2005/8/layout/hierarchy6"/>
    <dgm:cxn modelId="{FD5B1811-1C86-4FFA-9468-265EBCBEA7CD}" type="presParOf" srcId="{0440B138-6A2A-4E14-A7E8-FC8A75888C5B}" destId="{27572090-327D-4655-A370-188E4A450F5D}" srcOrd="0" destOrd="0" presId="urn:microsoft.com/office/officeart/2005/8/layout/hierarchy6"/>
    <dgm:cxn modelId="{099D396E-28D1-45A6-8F21-BE13F9184DAF}" type="presParOf" srcId="{0440B138-6A2A-4E14-A7E8-FC8A75888C5B}" destId="{A279C6B0-16E4-45A0-8D18-46220D619679}" srcOrd="1" destOrd="0" presId="urn:microsoft.com/office/officeart/2005/8/layout/hierarchy6"/>
    <dgm:cxn modelId="{F2C89C27-74C8-45B4-ABC9-E0FF50275BB7}" type="presParOf" srcId="{3D9EF6AB-AA5F-415B-9FDC-5C09A2209DCA}" destId="{86B1F0B2-2576-4905-BDA0-1F5EE80D7A6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DE50DD-B3BD-46EE-AE0A-585FE40BBE3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EA0251-E145-473C-ACEB-9787F639E4FC}">
      <dgm:prSet phldrT="[Text]" custT="1"/>
      <dgm:spPr/>
      <dgm:t>
        <a:bodyPr/>
        <a:lstStyle/>
        <a:p>
          <a:pPr algn="ctr"/>
          <a:r>
            <a:rPr lang="en-US" sz="800"/>
            <a:t>General Assembly</a:t>
          </a:r>
        </a:p>
      </dgm:t>
    </dgm:pt>
    <dgm:pt modelId="{E6B9F32E-4522-4CAD-9E5B-635D08EFA745}" type="parTrans" cxnId="{3EE77722-6175-4B18-A60E-B9CD53DF5BB3}">
      <dgm:prSet/>
      <dgm:spPr/>
      <dgm:t>
        <a:bodyPr/>
        <a:lstStyle/>
        <a:p>
          <a:endParaRPr lang="en-US" sz="800"/>
        </a:p>
      </dgm:t>
    </dgm:pt>
    <dgm:pt modelId="{30F1504E-18EB-45F4-B6A4-BFF7EE133508}" type="sibTrans" cxnId="{3EE77722-6175-4B18-A60E-B9CD53DF5BB3}">
      <dgm:prSet/>
      <dgm:spPr/>
      <dgm:t>
        <a:bodyPr/>
        <a:lstStyle/>
        <a:p>
          <a:endParaRPr lang="en-US" sz="800"/>
        </a:p>
      </dgm:t>
    </dgm:pt>
    <dgm:pt modelId="{73F5165A-325F-4F6E-94AB-0A926F436234}">
      <dgm:prSet phldrT="[Text]" custT="1"/>
      <dgm:spPr/>
      <dgm:t>
        <a:bodyPr/>
        <a:lstStyle/>
        <a:p>
          <a:r>
            <a:rPr lang="en-US" sz="800"/>
            <a:t>Governing Board</a:t>
          </a:r>
        </a:p>
      </dgm:t>
    </dgm:pt>
    <dgm:pt modelId="{9BA524D4-4680-4CEC-A0F4-22B92B4E74FD}" type="parTrans" cxnId="{D33FC703-7683-4AD8-9EA8-3B39C687B43E}">
      <dgm:prSet/>
      <dgm:spPr/>
      <dgm:t>
        <a:bodyPr/>
        <a:lstStyle/>
        <a:p>
          <a:endParaRPr lang="en-US" sz="800"/>
        </a:p>
      </dgm:t>
    </dgm:pt>
    <dgm:pt modelId="{6E82A74B-5244-4FBA-BA0B-1657B8A0A47E}" type="sibTrans" cxnId="{D33FC703-7683-4AD8-9EA8-3B39C687B43E}">
      <dgm:prSet/>
      <dgm:spPr/>
      <dgm:t>
        <a:bodyPr/>
        <a:lstStyle/>
        <a:p>
          <a:endParaRPr lang="en-US" sz="800"/>
        </a:p>
      </dgm:t>
    </dgm:pt>
    <dgm:pt modelId="{CA82B194-6E3E-46A8-BE26-516619D9402A}">
      <dgm:prSet phldrT="[Text]" custT="1"/>
      <dgm:spPr/>
      <dgm:t>
        <a:bodyPr/>
        <a:lstStyle/>
        <a:p>
          <a:r>
            <a:rPr lang="en-US" sz="800"/>
            <a:t>Secretariat</a:t>
          </a:r>
        </a:p>
      </dgm:t>
    </dgm:pt>
    <dgm:pt modelId="{B039BE7A-24B9-479E-91F0-3B43E5E94896}" type="parTrans" cxnId="{9777B49C-6903-4B0A-ABB0-926AB450D085}">
      <dgm:prSet/>
      <dgm:spPr/>
      <dgm:t>
        <a:bodyPr/>
        <a:lstStyle/>
        <a:p>
          <a:endParaRPr lang="en-US"/>
        </a:p>
      </dgm:t>
    </dgm:pt>
    <dgm:pt modelId="{7420C90E-25B8-46F5-83FD-7CEF8764BE3D}" type="sibTrans" cxnId="{9777B49C-6903-4B0A-ABB0-926AB450D085}">
      <dgm:prSet/>
      <dgm:spPr/>
      <dgm:t>
        <a:bodyPr/>
        <a:lstStyle/>
        <a:p>
          <a:endParaRPr lang="en-US"/>
        </a:p>
      </dgm:t>
    </dgm:pt>
    <dgm:pt modelId="{3D9EF6AB-AA5F-415B-9FDC-5C09A2209DCA}" type="pres">
      <dgm:prSet presAssocID="{8EDE50DD-B3BD-46EE-AE0A-585FE40BBE3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FD5BC53-AD5A-46A7-AE26-DF7AB1212984}" type="pres">
      <dgm:prSet presAssocID="{8EDE50DD-B3BD-46EE-AE0A-585FE40BBE3D}" presName="hierFlow" presStyleCnt="0"/>
      <dgm:spPr/>
    </dgm:pt>
    <dgm:pt modelId="{F5A11D30-C89A-4E3C-B90C-AFF824E5B337}" type="pres">
      <dgm:prSet presAssocID="{8EDE50DD-B3BD-46EE-AE0A-585FE40BBE3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440B138-6A2A-4E14-A7E8-FC8A75888C5B}" type="pres">
      <dgm:prSet presAssocID="{24EA0251-E145-473C-ACEB-9787F639E4FC}" presName="Name14" presStyleCnt="0"/>
      <dgm:spPr/>
    </dgm:pt>
    <dgm:pt modelId="{27572090-327D-4655-A370-188E4A450F5D}" type="pres">
      <dgm:prSet presAssocID="{24EA0251-E145-473C-ACEB-9787F639E4F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9C6B0-16E4-45A0-8D18-46220D619679}" type="pres">
      <dgm:prSet presAssocID="{24EA0251-E145-473C-ACEB-9787F639E4FC}" presName="hierChild2" presStyleCnt="0"/>
      <dgm:spPr/>
    </dgm:pt>
    <dgm:pt modelId="{F1C7D757-9CB5-47EC-81BC-246369DF01D7}" type="pres">
      <dgm:prSet presAssocID="{9BA524D4-4680-4CEC-A0F4-22B92B4E74FD}" presName="Name19" presStyleLbl="parChTrans1D2" presStyleIdx="0" presStyleCnt="1"/>
      <dgm:spPr/>
      <dgm:t>
        <a:bodyPr/>
        <a:lstStyle/>
        <a:p>
          <a:endParaRPr lang="en-US"/>
        </a:p>
      </dgm:t>
    </dgm:pt>
    <dgm:pt modelId="{84CEF2BA-159B-487A-8DED-CD544BE1FC7B}" type="pres">
      <dgm:prSet presAssocID="{73F5165A-325F-4F6E-94AB-0A926F436234}" presName="Name21" presStyleCnt="0"/>
      <dgm:spPr/>
    </dgm:pt>
    <dgm:pt modelId="{6B0F15F8-9A25-4861-AE6C-6477817E2EC7}" type="pres">
      <dgm:prSet presAssocID="{73F5165A-325F-4F6E-94AB-0A926F436234}" presName="level2Shape" presStyleLbl="node2" presStyleIdx="0" presStyleCnt="1"/>
      <dgm:spPr/>
      <dgm:t>
        <a:bodyPr/>
        <a:lstStyle/>
        <a:p>
          <a:endParaRPr lang="en-US"/>
        </a:p>
      </dgm:t>
    </dgm:pt>
    <dgm:pt modelId="{F0FCB22B-FF26-4D6B-A7ED-7FC6B401205D}" type="pres">
      <dgm:prSet presAssocID="{73F5165A-325F-4F6E-94AB-0A926F436234}" presName="hierChild3" presStyleCnt="0"/>
      <dgm:spPr/>
    </dgm:pt>
    <dgm:pt modelId="{CCA8BF11-36C5-46E3-9BD9-EAF7412401A2}" type="pres">
      <dgm:prSet presAssocID="{B039BE7A-24B9-479E-91F0-3B43E5E94896}" presName="Name19" presStyleLbl="parChTrans1D3" presStyleIdx="0" presStyleCnt="1"/>
      <dgm:spPr/>
      <dgm:t>
        <a:bodyPr/>
        <a:lstStyle/>
        <a:p>
          <a:endParaRPr lang="en-US"/>
        </a:p>
      </dgm:t>
    </dgm:pt>
    <dgm:pt modelId="{87A9CAFE-75CC-4D75-8F90-24135F58206D}" type="pres">
      <dgm:prSet presAssocID="{CA82B194-6E3E-46A8-BE26-516619D9402A}" presName="Name21" presStyleCnt="0"/>
      <dgm:spPr/>
    </dgm:pt>
    <dgm:pt modelId="{8E9E1880-23DA-4A68-9B3A-658AB9087ADA}" type="pres">
      <dgm:prSet presAssocID="{CA82B194-6E3E-46A8-BE26-516619D9402A}" presName="level2Shape" presStyleLbl="node3" presStyleIdx="0" presStyleCnt="1"/>
      <dgm:spPr/>
      <dgm:t>
        <a:bodyPr/>
        <a:lstStyle/>
        <a:p>
          <a:endParaRPr lang="en-US"/>
        </a:p>
      </dgm:t>
    </dgm:pt>
    <dgm:pt modelId="{322F7FD2-B831-45F5-A595-090EB9C8ADA0}" type="pres">
      <dgm:prSet presAssocID="{CA82B194-6E3E-46A8-BE26-516619D9402A}" presName="hierChild3" presStyleCnt="0"/>
      <dgm:spPr/>
    </dgm:pt>
    <dgm:pt modelId="{86B1F0B2-2576-4905-BDA0-1F5EE80D7A62}" type="pres">
      <dgm:prSet presAssocID="{8EDE50DD-B3BD-46EE-AE0A-585FE40BBE3D}" presName="bgShapesFlow" presStyleCnt="0"/>
      <dgm:spPr/>
    </dgm:pt>
  </dgm:ptLst>
  <dgm:cxnLst>
    <dgm:cxn modelId="{FEF8A3A2-D416-4596-8B42-2C6C326AECB1}" type="presOf" srcId="{B039BE7A-24B9-479E-91F0-3B43E5E94896}" destId="{CCA8BF11-36C5-46E3-9BD9-EAF7412401A2}" srcOrd="0" destOrd="0" presId="urn:microsoft.com/office/officeart/2005/8/layout/hierarchy6"/>
    <dgm:cxn modelId="{20EF5828-558E-4579-8E91-510C4AE71721}" type="presOf" srcId="{24EA0251-E145-473C-ACEB-9787F639E4FC}" destId="{27572090-327D-4655-A370-188E4A450F5D}" srcOrd="0" destOrd="0" presId="urn:microsoft.com/office/officeart/2005/8/layout/hierarchy6"/>
    <dgm:cxn modelId="{ED8421C0-6864-4093-817E-C0B1403DB1F1}" type="presOf" srcId="{CA82B194-6E3E-46A8-BE26-516619D9402A}" destId="{8E9E1880-23DA-4A68-9B3A-658AB9087ADA}" srcOrd="0" destOrd="0" presId="urn:microsoft.com/office/officeart/2005/8/layout/hierarchy6"/>
    <dgm:cxn modelId="{3EE77722-6175-4B18-A60E-B9CD53DF5BB3}" srcId="{8EDE50DD-B3BD-46EE-AE0A-585FE40BBE3D}" destId="{24EA0251-E145-473C-ACEB-9787F639E4FC}" srcOrd="0" destOrd="0" parTransId="{E6B9F32E-4522-4CAD-9E5B-635D08EFA745}" sibTransId="{30F1504E-18EB-45F4-B6A4-BFF7EE133508}"/>
    <dgm:cxn modelId="{9777B49C-6903-4B0A-ABB0-926AB450D085}" srcId="{73F5165A-325F-4F6E-94AB-0A926F436234}" destId="{CA82B194-6E3E-46A8-BE26-516619D9402A}" srcOrd="0" destOrd="0" parTransId="{B039BE7A-24B9-479E-91F0-3B43E5E94896}" sibTransId="{7420C90E-25B8-46F5-83FD-7CEF8764BE3D}"/>
    <dgm:cxn modelId="{D33FC703-7683-4AD8-9EA8-3B39C687B43E}" srcId="{24EA0251-E145-473C-ACEB-9787F639E4FC}" destId="{73F5165A-325F-4F6E-94AB-0A926F436234}" srcOrd="0" destOrd="0" parTransId="{9BA524D4-4680-4CEC-A0F4-22B92B4E74FD}" sibTransId="{6E82A74B-5244-4FBA-BA0B-1657B8A0A47E}"/>
    <dgm:cxn modelId="{E18F92F9-822A-4371-A7DB-234A4B99C82C}" type="presOf" srcId="{8EDE50DD-B3BD-46EE-AE0A-585FE40BBE3D}" destId="{3D9EF6AB-AA5F-415B-9FDC-5C09A2209DCA}" srcOrd="0" destOrd="0" presId="urn:microsoft.com/office/officeart/2005/8/layout/hierarchy6"/>
    <dgm:cxn modelId="{B6219140-9E05-43C3-8CAF-661CFE374594}" type="presOf" srcId="{9BA524D4-4680-4CEC-A0F4-22B92B4E74FD}" destId="{F1C7D757-9CB5-47EC-81BC-246369DF01D7}" srcOrd="0" destOrd="0" presId="urn:microsoft.com/office/officeart/2005/8/layout/hierarchy6"/>
    <dgm:cxn modelId="{8B600506-F855-4762-A902-F9564EBFF13A}" type="presOf" srcId="{73F5165A-325F-4F6E-94AB-0A926F436234}" destId="{6B0F15F8-9A25-4861-AE6C-6477817E2EC7}" srcOrd="0" destOrd="0" presId="urn:microsoft.com/office/officeart/2005/8/layout/hierarchy6"/>
    <dgm:cxn modelId="{6568BFB2-A0D9-4202-98D7-9B651C032D22}" type="presParOf" srcId="{3D9EF6AB-AA5F-415B-9FDC-5C09A2209DCA}" destId="{BFD5BC53-AD5A-46A7-AE26-DF7AB1212984}" srcOrd="0" destOrd="0" presId="urn:microsoft.com/office/officeart/2005/8/layout/hierarchy6"/>
    <dgm:cxn modelId="{D98527AC-76B3-4085-A269-123CA668C412}" type="presParOf" srcId="{BFD5BC53-AD5A-46A7-AE26-DF7AB1212984}" destId="{F5A11D30-C89A-4E3C-B90C-AFF824E5B337}" srcOrd="0" destOrd="0" presId="urn:microsoft.com/office/officeart/2005/8/layout/hierarchy6"/>
    <dgm:cxn modelId="{6EA29436-4FCC-4AB9-BA30-B5662574FF9D}" type="presParOf" srcId="{F5A11D30-C89A-4E3C-B90C-AFF824E5B337}" destId="{0440B138-6A2A-4E14-A7E8-FC8A75888C5B}" srcOrd="0" destOrd="0" presId="urn:microsoft.com/office/officeart/2005/8/layout/hierarchy6"/>
    <dgm:cxn modelId="{EBDC8E8E-D42E-407E-831C-52E461DE2955}" type="presParOf" srcId="{0440B138-6A2A-4E14-A7E8-FC8A75888C5B}" destId="{27572090-327D-4655-A370-188E4A450F5D}" srcOrd="0" destOrd="0" presId="urn:microsoft.com/office/officeart/2005/8/layout/hierarchy6"/>
    <dgm:cxn modelId="{EFC5A137-58ED-43FD-B8E6-8583A56B6C8B}" type="presParOf" srcId="{0440B138-6A2A-4E14-A7E8-FC8A75888C5B}" destId="{A279C6B0-16E4-45A0-8D18-46220D619679}" srcOrd="1" destOrd="0" presId="urn:microsoft.com/office/officeart/2005/8/layout/hierarchy6"/>
    <dgm:cxn modelId="{E560D3C8-E0B7-4D19-9104-D018E83ECD50}" type="presParOf" srcId="{A279C6B0-16E4-45A0-8D18-46220D619679}" destId="{F1C7D757-9CB5-47EC-81BC-246369DF01D7}" srcOrd="0" destOrd="0" presId="urn:microsoft.com/office/officeart/2005/8/layout/hierarchy6"/>
    <dgm:cxn modelId="{3898F9BF-4400-40EE-8C6F-8DB283E10190}" type="presParOf" srcId="{A279C6B0-16E4-45A0-8D18-46220D619679}" destId="{84CEF2BA-159B-487A-8DED-CD544BE1FC7B}" srcOrd="1" destOrd="0" presId="urn:microsoft.com/office/officeart/2005/8/layout/hierarchy6"/>
    <dgm:cxn modelId="{C20CF444-A22A-4A1C-A661-70CCDF80334C}" type="presParOf" srcId="{84CEF2BA-159B-487A-8DED-CD544BE1FC7B}" destId="{6B0F15F8-9A25-4861-AE6C-6477817E2EC7}" srcOrd="0" destOrd="0" presId="urn:microsoft.com/office/officeart/2005/8/layout/hierarchy6"/>
    <dgm:cxn modelId="{60F26395-793E-4042-A186-06122BA03F7B}" type="presParOf" srcId="{84CEF2BA-159B-487A-8DED-CD544BE1FC7B}" destId="{F0FCB22B-FF26-4D6B-A7ED-7FC6B401205D}" srcOrd="1" destOrd="0" presId="urn:microsoft.com/office/officeart/2005/8/layout/hierarchy6"/>
    <dgm:cxn modelId="{FD48D67F-7C6B-465F-A787-67BFA7E6719D}" type="presParOf" srcId="{F0FCB22B-FF26-4D6B-A7ED-7FC6B401205D}" destId="{CCA8BF11-36C5-46E3-9BD9-EAF7412401A2}" srcOrd="0" destOrd="0" presId="urn:microsoft.com/office/officeart/2005/8/layout/hierarchy6"/>
    <dgm:cxn modelId="{4568D996-407B-4958-B3A3-7CBDAED12FB9}" type="presParOf" srcId="{F0FCB22B-FF26-4D6B-A7ED-7FC6B401205D}" destId="{87A9CAFE-75CC-4D75-8F90-24135F58206D}" srcOrd="1" destOrd="0" presId="urn:microsoft.com/office/officeart/2005/8/layout/hierarchy6"/>
    <dgm:cxn modelId="{5637435F-AF54-48C0-BB69-30CF76CF4849}" type="presParOf" srcId="{87A9CAFE-75CC-4D75-8F90-24135F58206D}" destId="{8E9E1880-23DA-4A68-9B3A-658AB9087ADA}" srcOrd="0" destOrd="0" presId="urn:microsoft.com/office/officeart/2005/8/layout/hierarchy6"/>
    <dgm:cxn modelId="{7433F2EA-2B6F-43EA-8592-7EFA1BE16CD2}" type="presParOf" srcId="{87A9CAFE-75CC-4D75-8F90-24135F58206D}" destId="{322F7FD2-B831-45F5-A595-090EB9C8ADA0}" srcOrd="1" destOrd="0" presId="urn:microsoft.com/office/officeart/2005/8/layout/hierarchy6"/>
    <dgm:cxn modelId="{B79DC81A-84B1-43AC-91DA-91336CF592AD}" type="presParOf" srcId="{3D9EF6AB-AA5F-415B-9FDC-5C09A2209DCA}" destId="{86B1F0B2-2576-4905-BDA0-1F5EE80D7A6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572090-327D-4655-A370-188E4A450F5D}">
      <dsp:nvSpPr>
        <dsp:cNvPr id="0" name=""/>
        <dsp:cNvSpPr/>
      </dsp:nvSpPr>
      <dsp:spPr>
        <a:xfrm>
          <a:off x="0" y="0"/>
          <a:ext cx="976783" cy="6511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Technical Advisory Group</a:t>
          </a:r>
        </a:p>
      </dsp:txBody>
      <dsp:txXfrm>
        <a:off x="19073" y="19073"/>
        <a:ext cx="938637" cy="6130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572090-327D-4655-A370-188E4A450F5D}">
      <dsp:nvSpPr>
        <dsp:cNvPr id="0" name=""/>
        <dsp:cNvSpPr/>
      </dsp:nvSpPr>
      <dsp:spPr>
        <a:xfrm>
          <a:off x="1034562" y="1762"/>
          <a:ext cx="894209" cy="596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General Assembly</a:t>
          </a:r>
        </a:p>
      </dsp:txBody>
      <dsp:txXfrm>
        <a:off x="1052022" y="19222"/>
        <a:ext cx="859289" cy="561219"/>
      </dsp:txXfrm>
    </dsp:sp>
    <dsp:sp modelId="{F1C7D757-9CB5-47EC-81BC-246369DF01D7}">
      <dsp:nvSpPr>
        <dsp:cNvPr id="0" name=""/>
        <dsp:cNvSpPr/>
      </dsp:nvSpPr>
      <dsp:spPr>
        <a:xfrm>
          <a:off x="1435947" y="597901"/>
          <a:ext cx="91440" cy="238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F15F8-9A25-4861-AE6C-6477817E2EC7}">
      <dsp:nvSpPr>
        <dsp:cNvPr id="0" name=""/>
        <dsp:cNvSpPr/>
      </dsp:nvSpPr>
      <dsp:spPr>
        <a:xfrm>
          <a:off x="1034562" y="836357"/>
          <a:ext cx="894209" cy="596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Governing Board</a:t>
          </a:r>
        </a:p>
      </dsp:txBody>
      <dsp:txXfrm>
        <a:off x="1052022" y="853817"/>
        <a:ext cx="859289" cy="561219"/>
      </dsp:txXfrm>
    </dsp:sp>
    <dsp:sp modelId="{CCA8BF11-36C5-46E3-9BD9-EAF7412401A2}">
      <dsp:nvSpPr>
        <dsp:cNvPr id="0" name=""/>
        <dsp:cNvSpPr/>
      </dsp:nvSpPr>
      <dsp:spPr>
        <a:xfrm>
          <a:off x="1435947" y="1432497"/>
          <a:ext cx="91440" cy="238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E1880-23DA-4A68-9B3A-658AB9087ADA}">
      <dsp:nvSpPr>
        <dsp:cNvPr id="0" name=""/>
        <dsp:cNvSpPr/>
      </dsp:nvSpPr>
      <dsp:spPr>
        <a:xfrm>
          <a:off x="1034562" y="1670953"/>
          <a:ext cx="894209" cy="596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Secretariat</a:t>
          </a:r>
        </a:p>
      </dsp:txBody>
      <dsp:txXfrm>
        <a:off x="1052022" y="1688413"/>
        <a:ext cx="859289" cy="561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Attard</dc:creator>
  <cp:keywords/>
  <dc:description/>
  <cp:lastModifiedBy>Jamie Attard</cp:lastModifiedBy>
  <cp:revision>12</cp:revision>
  <dcterms:created xsi:type="dcterms:W3CDTF">2015-10-12T21:56:00Z</dcterms:created>
  <dcterms:modified xsi:type="dcterms:W3CDTF">2015-10-22T23:56:00Z</dcterms:modified>
</cp:coreProperties>
</file>